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0FF60" w14:textId="77777777" w:rsidR="00243B69" w:rsidRPr="0064746E" w:rsidRDefault="00243B69" w:rsidP="0064746E">
      <w:pPr>
        <w:pStyle w:val="afffa"/>
        <w:spacing w:before="240" w:after="0" w:line="520" w:lineRule="exact"/>
        <w:jc w:val="center"/>
        <w:rPr>
          <w:rFonts w:eastAsia="標楷體" w:cstheme="majorBidi"/>
          <w:kern w:val="52"/>
          <w:sz w:val="32"/>
          <w:lang w:eastAsia="zh-TW"/>
        </w:rPr>
      </w:pPr>
      <w:r w:rsidRPr="0064746E">
        <w:rPr>
          <w:rFonts w:eastAsia="標楷體" w:cstheme="majorBidi"/>
          <w:kern w:val="52"/>
          <w:sz w:val="32"/>
          <w:lang w:eastAsia="zh-TW"/>
        </w:rPr>
        <w:t>Transformative Paths to Economic Growth Through Circular Supply Chain Enablers and Environmental Initiatives - A Structural Equation Modeling Perspective</w:t>
      </w:r>
    </w:p>
    <w:p w14:paraId="155E2D91" w14:textId="02BBC65E" w:rsidR="00F948B3" w:rsidRPr="009A3785" w:rsidRDefault="00F948B3" w:rsidP="00824E69">
      <w:pPr>
        <w:spacing w:line="300" w:lineRule="auto"/>
        <w:contextualSpacing/>
        <w:jc w:val="center"/>
        <w:rPr>
          <w:sz w:val="26"/>
          <w:szCs w:val="26"/>
          <w:lang w:val="en-US"/>
        </w:rPr>
      </w:pPr>
    </w:p>
    <w:p w14:paraId="2D3D1091" w14:textId="2F16B7EA" w:rsidR="006512F2" w:rsidRPr="009A3785" w:rsidRDefault="002030FC" w:rsidP="00824E69">
      <w:pPr>
        <w:spacing w:line="300" w:lineRule="auto"/>
        <w:contextualSpacing/>
        <w:jc w:val="center"/>
        <w:rPr>
          <w:rFonts w:eastAsiaTheme="minorEastAsia"/>
          <w:kern w:val="2"/>
          <w:sz w:val="26"/>
          <w:szCs w:val="26"/>
          <w:lang w:val="en-US"/>
        </w:rPr>
      </w:pPr>
      <w:bookmarkStart w:id="0" w:name="_Hlk185843920"/>
      <w:r w:rsidRPr="009A3785">
        <w:rPr>
          <w:rFonts w:eastAsiaTheme="minorEastAsia"/>
          <w:kern w:val="2"/>
          <w:sz w:val="26"/>
          <w:szCs w:val="26"/>
          <w:lang w:val="en-US"/>
        </w:rPr>
        <w:t>Fatima Zahra Fatih</w:t>
      </w:r>
    </w:p>
    <w:p w14:paraId="5B8838B1" w14:textId="4D912B30" w:rsidR="006512F2" w:rsidRPr="009A3785" w:rsidRDefault="00586385" w:rsidP="00824E69">
      <w:pPr>
        <w:spacing w:line="300" w:lineRule="auto"/>
        <w:contextualSpacing/>
        <w:jc w:val="center"/>
        <w:rPr>
          <w:rFonts w:eastAsiaTheme="minorEastAsia"/>
          <w:kern w:val="2"/>
          <w:sz w:val="26"/>
          <w:szCs w:val="26"/>
          <w:lang w:val="en-US" w:eastAsia="zh-TW"/>
        </w:rPr>
      </w:pPr>
      <w:bookmarkStart w:id="1" w:name="_Hlk185843878"/>
      <w:r w:rsidRPr="009A3785">
        <w:rPr>
          <w:rFonts w:eastAsiaTheme="minorEastAsia"/>
          <w:kern w:val="2"/>
          <w:sz w:val="26"/>
          <w:szCs w:val="26"/>
          <w:lang w:val="en-US" w:eastAsia="zh-TW"/>
        </w:rPr>
        <w:t>Universitas Islam Internasional Indonesia</w:t>
      </w:r>
    </w:p>
    <w:bookmarkEnd w:id="1"/>
    <w:p w14:paraId="4DBE29DF" w14:textId="13130C59" w:rsidR="00F948B3" w:rsidRPr="009A3785" w:rsidRDefault="00F948B3" w:rsidP="00824E69">
      <w:pPr>
        <w:spacing w:line="300" w:lineRule="auto"/>
        <w:contextualSpacing/>
        <w:jc w:val="center"/>
        <w:rPr>
          <w:rFonts w:eastAsiaTheme="minorEastAsia"/>
          <w:kern w:val="2"/>
          <w:sz w:val="26"/>
          <w:szCs w:val="26"/>
          <w:lang w:val="en-US"/>
        </w:rPr>
      </w:pPr>
      <w:r w:rsidRPr="009A3785">
        <w:rPr>
          <w:rFonts w:eastAsiaTheme="minorEastAsia"/>
          <w:kern w:val="2"/>
          <w:sz w:val="26"/>
          <w:szCs w:val="26"/>
          <w:lang w:val="en-US"/>
        </w:rPr>
        <w:t xml:space="preserve">E-Mail: </w:t>
      </w:r>
      <w:r w:rsidR="00586385" w:rsidRPr="009A3785">
        <w:rPr>
          <w:rFonts w:eastAsiaTheme="minorEastAsia"/>
          <w:kern w:val="2"/>
          <w:sz w:val="26"/>
          <w:szCs w:val="26"/>
          <w:lang w:val="en-US"/>
        </w:rPr>
        <w:t>fatima.zahra@uiii.ac.id</w:t>
      </w:r>
    </w:p>
    <w:p w14:paraId="13592775" w14:textId="200371E9" w:rsidR="00F948B3" w:rsidRPr="009A3785" w:rsidRDefault="00F948B3" w:rsidP="00824E69">
      <w:pPr>
        <w:spacing w:line="300" w:lineRule="auto"/>
        <w:contextualSpacing/>
        <w:jc w:val="center"/>
        <w:rPr>
          <w:rFonts w:eastAsiaTheme="minorEastAsia"/>
          <w:kern w:val="2"/>
          <w:sz w:val="26"/>
          <w:szCs w:val="26"/>
          <w:lang w:val="en-US"/>
        </w:rPr>
      </w:pPr>
    </w:p>
    <w:p w14:paraId="28E9C09D" w14:textId="04F41E4C" w:rsidR="006512F2" w:rsidRPr="009A3785" w:rsidRDefault="002030FC" w:rsidP="00824E69">
      <w:pPr>
        <w:spacing w:line="300" w:lineRule="auto"/>
        <w:contextualSpacing/>
        <w:jc w:val="center"/>
        <w:rPr>
          <w:rFonts w:eastAsiaTheme="minorEastAsia"/>
          <w:kern w:val="2"/>
          <w:sz w:val="26"/>
          <w:szCs w:val="26"/>
          <w:vertAlign w:val="superscript"/>
          <w:lang w:val="en-US"/>
        </w:rPr>
      </w:pPr>
      <w:r w:rsidRPr="009A3785">
        <w:rPr>
          <w:rFonts w:eastAsiaTheme="minorEastAsia"/>
          <w:kern w:val="2"/>
          <w:sz w:val="26"/>
          <w:szCs w:val="26"/>
          <w:lang w:val="en-US"/>
        </w:rPr>
        <w:t xml:space="preserve">Sadia </w:t>
      </w:r>
      <w:proofErr w:type="spellStart"/>
      <w:r w:rsidRPr="009A3785">
        <w:rPr>
          <w:rFonts w:eastAsiaTheme="minorEastAsia"/>
          <w:kern w:val="2"/>
          <w:sz w:val="26"/>
          <w:szCs w:val="26"/>
          <w:lang w:val="en-US"/>
        </w:rPr>
        <w:t>Abbassy</w:t>
      </w:r>
      <w:proofErr w:type="spellEnd"/>
    </w:p>
    <w:p w14:paraId="3D16412D" w14:textId="77777777" w:rsidR="00586385" w:rsidRPr="009A3785" w:rsidRDefault="00586385" w:rsidP="00824E69">
      <w:pPr>
        <w:spacing w:line="300" w:lineRule="auto"/>
        <w:contextualSpacing/>
        <w:jc w:val="center"/>
        <w:rPr>
          <w:rFonts w:eastAsiaTheme="minorEastAsia"/>
          <w:kern w:val="2"/>
          <w:sz w:val="26"/>
          <w:szCs w:val="26"/>
          <w:lang w:val="en-US"/>
        </w:rPr>
      </w:pPr>
      <w:r w:rsidRPr="009A3785">
        <w:rPr>
          <w:rFonts w:eastAsiaTheme="minorEastAsia"/>
          <w:kern w:val="2"/>
          <w:sz w:val="26"/>
          <w:szCs w:val="26"/>
          <w:lang w:val="en-US"/>
        </w:rPr>
        <w:t>Universitas Islam Internasional Indonesia</w:t>
      </w:r>
    </w:p>
    <w:p w14:paraId="4B5557F1" w14:textId="0FFD74CE" w:rsidR="006512F2" w:rsidRPr="009A3785" w:rsidRDefault="006512F2" w:rsidP="00824E69">
      <w:pPr>
        <w:spacing w:line="300" w:lineRule="auto"/>
        <w:contextualSpacing/>
        <w:jc w:val="center"/>
        <w:rPr>
          <w:rFonts w:eastAsiaTheme="minorEastAsia"/>
          <w:kern w:val="2"/>
          <w:sz w:val="26"/>
          <w:szCs w:val="26"/>
          <w:lang w:val="en-US"/>
        </w:rPr>
      </w:pPr>
      <w:r w:rsidRPr="009A3785">
        <w:rPr>
          <w:rFonts w:eastAsiaTheme="minorEastAsia"/>
          <w:kern w:val="2"/>
          <w:sz w:val="26"/>
          <w:szCs w:val="26"/>
          <w:lang w:val="en-US"/>
        </w:rPr>
        <w:t xml:space="preserve">E-Mail: </w:t>
      </w:r>
      <w:r w:rsidR="00F9290A" w:rsidRPr="009A3785">
        <w:rPr>
          <w:rFonts w:eastAsiaTheme="minorEastAsia"/>
          <w:kern w:val="2"/>
          <w:sz w:val="26"/>
          <w:szCs w:val="26"/>
          <w:lang w:val="en-US"/>
        </w:rPr>
        <w:t>sadia.abbassy@uiii.ac.id</w:t>
      </w:r>
    </w:p>
    <w:bookmarkEnd w:id="0"/>
    <w:p w14:paraId="7C2ACDF7" w14:textId="77777777" w:rsidR="00F9290A" w:rsidRPr="009A3785" w:rsidRDefault="00F9290A" w:rsidP="00824E69">
      <w:pPr>
        <w:spacing w:line="300" w:lineRule="auto"/>
        <w:contextualSpacing/>
        <w:jc w:val="center"/>
        <w:rPr>
          <w:rFonts w:eastAsiaTheme="minorEastAsia"/>
          <w:kern w:val="2"/>
          <w:sz w:val="26"/>
          <w:szCs w:val="26"/>
          <w:lang w:val="en-US"/>
        </w:rPr>
      </w:pPr>
    </w:p>
    <w:p w14:paraId="112C766B" w14:textId="35DF9594" w:rsidR="00F9290A" w:rsidRPr="009A3785" w:rsidRDefault="002030FC" w:rsidP="00824E69">
      <w:pPr>
        <w:spacing w:line="300" w:lineRule="auto"/>
        <w:contextualSpacing/>
        <w:jc w:val="center"/>
        <w:rPr>
          <w:rFonts w:eastAsiaTheme="minorEastAsia"/>
          <w:kern w:val="2"/>
          <w:sz w:val="26"/>
          <w:szCs w:val="26"/>
          <w:vertAlign w:val="superscript"/>
          <w:lang w:val="en-US"/>
        </w:rPr>
      </w:pPr>
      <w:r w:rsidRPr="009A3785">
        <w:rPr>
          <w:rFonts w:eastAsiaTheme="minorEastAsia"/>
          <w:kern w:val="2"/>
          <w:sz w:val="26"/>
          <w:szCs w:val="26"/>
          <w:lang w:val="en-US"/>
        </w:rPr>
        <w:t>Fajar B.</w:t>
      </w:r>
      <w:r>
        <w:rPr>
          <w:rFonts w:eastAsiaTheme="minorEastAsia"/>
          <w:kern w:val="2"/>
          <w:sz w:val="26"/>
          <w:szCs w:val="26"/>
          <w:lang w:val="en-US"/>
        </w:rPr>
        <w:t xml:space="preserve"> </w:t>
      </w:r>
      <w:proofErr w:type="spellStart"/>
      <w:r w:rsidRPr="009A3785">
        <w:rPr>
          <w:rFonts w:eastAsiaTheme="minorEastAsia"/>
          <w:kern w:val="2"/>
          <w:sz w:val="26"/>
          <w:szCs w:val="26"/>
          <w:lang w:val="en-US"/>
        </w:rPr>
        <w:t>Hirawan</w:t>
      </w:r>
      <w:proofErr w:type="spellEnd"/>
    </w:p>
    <w:p w14:paraId="71C799BF" w14:textId="77777777" w:rsidR="00F9290A" w:rsidRPr="009A3785" w:rsidRDefault="00F9290A" w:rsidP="00824E69">
      <w:pPr>
        <w:spacing w:line="300" w:lineRule="auto"/>
        <w:contextualSpacing/>
        <w:jc w:val="center"/>
        <w:rPr>
          <w:rFonts w:eastAsiaTheme="minorEastAsia"/>
          <w:kern w:val="2"/>
          <w:sz w:val="26"/>
          <w:szCs w:val="26"/>
          <w:lang w:val="en-US"/>
        </w:rPr>
      </w:pPr>
      <w:r w:rsidRPr="009A3785">
        <w:rPr>
          <w:rFonts w:eastAsiaTheme="minorEastAsia"/>
          <w:kern w:val="2"/>
          <w:sz w:val="26"/>
          <w:szCs w:val="26"/>
          <w:lang w:val="en-US"/>
        </w:rPr>
        <w:t>Universitas Islam Internasional Indonesia</w:t>
      </w:r>
    </w:p>
    <w:p w14:paraId="11621B0B" w14:textId="16377E94" w:rsidR="00F9290A" w:rsidRPr="009B67B6" w:rsidRDefault="00F9290A" w:rsidP="00824E69">
      <w:pPr>
        <w:spacing w:line="300" w:lineRule="auto"/>
        <w:contextualSpacing/>
        <w:jc w:val="center"/>
        <w:rPr>
          <w:rFonts w:eastAsiaTheme="minorEastAsia"/>
          <w:kern w:val="2"/>
          <w:sz w:val="26"/>
          <w:szCs w:val="26"/>
          <w:lang w:val="fr-FR"/>
        </w:rPr>
      </w:pPr>
      <w:r w:rsidRPr="009B67B6">
        <w:rPr>
          <w:rFonts w:eastAsiaTheme="minorEastAsia"/>
          <w:kern w:val="2"/>
          <w:sz w:val="26"/>
          <w:szCs w:val="26"/>
          <w:lang w:val="fr-FR"/>
        </w:rPr>
        <w:t>E-Mail: fajar</w:t>
      </w:r>
      <w:r w:rsidR="0024216F" w:rsidRPr="009B67B6">
        <w:rPr>
          <w:rFonts w:eastAsiaTheme="minorEastAsia"/>
          <w:kern w:val="2"/>
          <w:sz w:val="26"/>
          <w:szCs w:val="26"/>
          <w:lang w:val="fr-FR"/>
        </w:rPr>
        <w:t>.hirawan@uiii.ac.id</w:t>
      </w:r>
    </w:p>
    <w:p w14:paraId="3F35C98B" w14:textId="00B60C62" w:rsidR="006512F2" w:rsidRPr="009B67B6" w:rsidRDefault="006512F2" w:rsidP="00824E69">
      <w:pPr>
        <w:spacing w:line="300" w:lineRule="auto"/>
        <w:contextualSpacing/>
        <w:jc w:val="both"/>
        <w:rPr>
          <w:rFonts w:eastAsiaTheme="minorEastAsia"/>
          <w:kern w:val="2"/>
          <w:sz w:val="26"/>
          <w:szCs w:val="26"/>
          <w:lang w:val="fr-FR"/>
        </w:rPr>
      </w:pPr>
    </w:p>
    <w:p w14:paraId="6305C1B3" w14:textId="77777777" w:rsidR="005D4BBE" w:rsidRPr="009B67B6" w:rsidRDefault="005D4BBE" w:rsidP="00824E69">
      <w:pPr>
        <w:spacing w:line="300" w:lineRule="auto"/>
        <w:contextualSpacing/>
        <w:jc w:val="both"/>
        <w:rPr>
          <w:rFonts w:eastAsiaTheme="minorEastAsia"/>
          <w:kern w:val="2"/>
          <w:sz w:val="26"/>
          <w:szCs w:val="26"/>
          <w:lang w:val="fr-FR"/>
        </w:rPr>
      </w:pPr>
    </w:p>
    <w:p w14:paraId="0D0EDFBB" w14:textId="06B8B424" w:rsidR="001E7987" w:rsidRPr="00916984" w:rsidRDefault="00F40242" w:rsidP="00824E69">
      <w:pPr>
        <w:spacing w:line="300" w:lineRule="auto"/>
        <w:jc w:val="center"/>
        <w:rPr>
          <w:rFonts w:eastAsiaTheme="minorEastAsia"/>
          <w:b/>
          <w:sz w:val="26"/>
          <w:szCs w:val="26"/>
          <w:lang w:val="en-US"/>
        </w:rPr>
      </w:pPr>
      <w:r w:rsidRPr="00916984">
        <w:rPr>
          <w:rFonts w:eastAsiaTheme="minorEastAsia"/>
          <w:b/>
          <w:sz w:val="26"/>
          <w:szCs w:val="26"/>
          <w:lang w:val="en-US"/>
        </w:rPr>
        <w:t>ABSTRACT</w:t>
      </w:r>
    </w:p>
    <w:p w14:paraId="0F7F8CB3" w14:textId="4317EB8D" w:rsidR="001C6137" w:rsidRPr="009A3785" w:rsidRDefault="008A6147" w:rsidP="00824E69">
      <w:pPr>
        <w:autoSpaceDE w:val="0"/>
        <w:autoSpaceDN w:val="0"/>
        <w:adjustRightInd w:val="0"/>
        <w:spacing w:line="300" w:lineRule="auto"/>
        <w:ind w:firstLine="720"/>
        <w:jc w:val="both"/>
        <w:rPr>
          <w:rFonts w:eastAsia="Calibri"/>
          <w:sz w:val="26"/>
          <w:szCs w:val="26"/>
          <w:lang w:val="en-US"/>
        </w:rPr>
      </w:pPr>
      <w:r w:rsidRPr="009A3785">
        <w:rPr>
          <w:rFonts w:eastAsia="Calibri"/>
          <w:sz w:val="26"/>
          <w:szCs w:val="26"/>
          <w:lang w:val="en-US"/>
        </w:rPr>
        <w:t>This paper develops a model to explore the relationships between Circular Supply Chain Enablers, Environmental Sustainability Initiatives, and Economic Growth. We theoretically justified certain observed variables from previous literature for each latent factor consideration in our model. Th</w:t>
      </w:r>
      <w:r w:rsidR="009D49A1">
        <w:rPr>
          <w:rFonts w:eastAsia="Calibri"/>
          <w:sz w:val="26"/>
          <w:szCs w:val="26"/>
          <w:lang w:val="en-US"/>
        </w:rPr>
        <w:t>is study, which utilized</w:t>
      </w:r>
      <w:r w:rsidRPr="009A3785">
        <w:rPr>
          <w:rFonts w:eastAsia="Calibri"/>
          <w:sz w:val="26"/>
          <w:szCs w:val="26"/>
          <w:lang w:val="en-US"/>
        </w:rPr>
        <w:t xml:space="preserve"> data collected from 194 firms in Morocco’s </w:t>
      </w:r>
      <w:r w:rsidR="009D49A1">
        <w:rPr>
          <w:rFonts w:eastAsia="Calibri"/>
          <w:sz w:val="26"/>
          <w:szCs w:val="26"/>
          <w:lang w:val="en-US"/>
        </w:rPr>
        <w:t>t</w:t>
      </w:r>
      <w:r w:rsidRPr="009A3785">
        <w:rPr>
          <w:rFonts w:eastAsia="Calibri"/>
          <w:sz w:val="26"/>
          <w:szCs w:val="26"/>
          <w:lang w:val="en-US"/>
        </w:rPr>
        <w:t xml:space="preserve">extile industry, </w:t>
      </w:r>
      <w:r w:rsidR="009D49A1">
        <w:rPr>
          <w:rFonts w:eastAsia="Calibri"/>
          <w:sz w:val="26"/>
          <w:szCs w:val="26"/>
          <w:lang w:val="en-US"/>
        </w:rPr>
        <w:t>employ</w:t>
      </w:r>
      <w:r w:rsidRPr="009A3785">
        <w:rPr>
          <w:rFonts w:eastAsia="Calibri"/>
          <w:sz w:val="26"/>
          <w:szCs w:val="26"/>
          <w:lang w:val="en-US"/>
        </w:rPr>
        <w:t xml:space="preserve">ed structural equation modeling (SEM) to test the model developed in </w:t>
      </w:r>
      <w:proofErr w:type="spellStart"/>
      <w:r w:rsidRPr="009A3785">
        <w:rPr>
          <w:rFonts w:eastAsia="Calibri"/>
          <w:sz w:val="26"/>
          <w:szCs w:val="26"/>
          <w:lang w:val="en-US"/>
        </w:rPr>
        <w:t>SmartPLS</w:t>
      </w:r>
      <w:proofErr w:type="spellEnd"/>
      <w:r w:rsidRPr="009A3785">
        <w:rPr>
          <w:rFonts w:eastAsia="Calibri"/>
          <w:sz w:val="26"/>
          <w:szCs w:val="26"/>
          <w:lang w:val="en-US"/>
        </w:rPr>
        <w:t xml:space="preserve">. The findings suggest that companies adopting circular supply chain enablers and environmental sustainability initiatives </w:t>
      </w:r>
      <w:r w:rsidR="009D49A1">
        <w:rPr>
          <w:rFonts w:eastAsia="Calibri"/>
          <w:sz w:val="26"/>
          <w:szCs w:val="26"/>
          <w:lang w:val="en-US"/>
        </w:rPr>
        <w:t>experienc</w:t>
      </w:r>
      <w:r w:rsidRPr="009A3785">
        <w:rPr>
          <w:rFonts w:eastAsia="Calibri"/>
          <w:sz w:val="26"/>
          <w:szCs w:val="26"/>
          <w:lang w:val="en-US"/>
        </w:rPr>
        <w:t xml:space="preserve">e real benefits </w:t>
      </w:r>
      <w:r w:rsidR="009D49A1">
        <w:rPr>
          <w:rFonts w:eastAsia="Calibri"/>
          <w:sz w:val="26"/>
          <w:szCs w:val="26"/>
          <w:lang w:val="en-US"/>
        </w:rPr>
        <w:t>in terms of</w:t>
      </w:r>
      <w:r w:rsidRPr="009A3785">
        <w:rPr>
          <w:rFonts w:eastAsia="Calibri"/>
          <w:sz w:val="26"/>
          <w:szCs w:val="26"/>
          <w:lang w:val="en-US"/>
        </w:rPr>
        <w:t xml:space="preserve"> economic growth within </w:t>
      </w:r>
      <w:r w:rsidR="009D49A1">
        <w:rPr>
          <w:rFonts w:eastAsia="Calibri"/>
          <w:sz w:val="26"/>
          <w:szCs w:val="26"/>
          <w:lang w:val="en-US"/>
        </w:rPr>
        <w:t>their organization</w:t>
      </w:r>
      <w:r w:rsidRPr="009A3785">
        <w:rPr>
          <w:rFonts w:eastAsia="Calibri"/>
          <w:sz w:val="26"/>
          <w:szCs w:val="26"/>
          <w:lang w:val="en-US"/>
        </w:rPr>
        <w:t xml:space="preserve">s. The findings from </w:t>
      </w:r>
      <w:r w:rsidR="009D49A1">
        <w:rPr>
          <w:rFonts w:eastAsia="Calibri"/>
          <w:sz w:val="26"/>
          <w:szCs w:val="26"/>
          <w:lang w:val="en-US"/>
        </w:rPr>
        <w:t xml:space="preserve">the </w:t>
      </w:r>
      <w:r w:rsidRPr="009A3785">
        <w:rPr>
          <w:rFonts w:eastAsia="Calibri"/>
          <w:sz w:val="26"/>
          <w:szCs w:val="26"/>
          <w:lang w:val="en-US"/>
        </w:rPr>
        <w:t xml:space="preserve">SEM analysis </w:t>
      </w:r>
      <w:r w:rsidR="00B73D1A">
        <w:rPr>
          <w:rFonts w:eastAsia="Calibri"/>
          <w:sz w:val="26"/>
          <w:szCs w:val="26"/>
          <w:lang w:val="en-US"/>
        </w:rPr>
        <w:t>provide a solid foundation for academics and practitioners, offering valuable contextualization that highlights</w:t>
      </w:r>
      <w:r w:rsidR="009D49A1">
        <w:rPr>
          <w:rFonts w:eastAsia="Calibri"/>
          <w:sz w:val="26"/>
          <w:szCs w:val="26"/>
          <w:lang w:val="en-US"/>
        </w:rPr>
        <w:t xml:space="preserve"> how</w:t>
      </w:r>
      <w:r w:rsidRPr="009A3785">
        <w:rPr>
          <w:rFonts w:eastAsia="Calibri"/>
          <w:sz w:val="26"/>
          <w:szCs w:val="26"/>
          <w:lang w:val="en-US"/>
        </w:rPr>
        <w:t xml:space="preserve"> the strategic integration of enablers </w:t>
      </w:r>
      <w:r w:rsidR="009D49A1">
        <w:rPr>
          <w:rFonts w:eastAsia="Calibri"/>
          <w:sz w:val="26"/>
          <w:szCs w:val="26"/>
          <w:lang w:val="en-US"/>
        </w:rPr>
        <w:t>for</w:t>
      </w:r>
      <w:r w:rsidRPr="009A3785">
        <w:rPr>
          <w:rFonts w:eastAsia="Calibri"/>
          <w:sz w:val="26"/>
          <w:szCs w:val="26"/>
          <w:lang w:val="en-US"/>
        </w:rPr>
        <w:t xml:space="preserve"> the circular supply chain and environmental sustainability initiatives can help companies meet their environmental responsibilities and achieve sustained economic success. This </w:t>
      </w:r>
      <w:proofErr w:type="gramStart"/>
      <w:r w:rsidRPr="002030FC">
        <w:rPr>
          <w:rFonts w:eastAsia="新細明體"/>
          <w:sz w:val="26"/>
          <w:szCs w:val="26"/>
          <w:lang w:val="en-US" w:eastAsia="zh-TW"/>
        </w:rPr>
        <w:t>opens</w:t>
      </w:r>
      <w:r w:rsidRPr="009A3785">
        <w:rPr>
          <w:rFonts w:eastAsia="Calibri"/>
          <w:sz w:val="26"/>
          <w:szCs w:val="26"/>
          <w:lang w:val="en-US"/>
        </w:rPr>
        <w:t xml:space="preserve"> </w:t>
      </w:r>
      <w:r w:rsidR="009D49A1">
        <w:rPr>
          <w:rFonts w:eastAsia="Calibri"/>
          <w:sz w:val="26"/>
          <w:szCs w:val="26"/>
          <w:lang w:val="en-US"/>
        </w:rPr>
        <w:t>up</w:t>
      </w:r>
      <w:proofErr w:type="gramEnd"/>
      <w:r w:rsidR="009D49A1">
        <w:rPr>
          <w:rFonts w:eastAsia="Calibri"/>
          <w:sz w:val="26"/>
          <w:szCs w:val="26"/>
          <w:lang w:val="en-US"/>
        </w:rPr>
        <w:t xml:space="preserve"> </w:t>
      </w:r>
      <w:r w:rsidRPr="009A3785">
        <w:rPr>
          <w:rFonts w:eastAsia="Calibri"/>
          <w:sz w:val="26"/>
          <w:szCs w:val="26"/>
          <w:lang w:val="en-US"/>
        </w:rPr>
        <w:t xml:space="preserve">opportunities for </w:t>
      </w:r>
      <w:r w:rsidR="009D49A1">
        <w:rPr>
          <w:rFonts w:eastAsia="Calibri"/>
          <w:sz w:val="26"/>
          <w:szCs w:val="26"/>
          <w:lang w:val="en-US"/>
        </w:rPr>
        <w:t xml:space="preserve">the </w:t>
      </w:r>
      <w:r w:rsidRPr="009A3785">
        <w:rPr>
          <w:rFonts w:eastAsia="Calibri"/>
          <w:sz w:val="26"/>
          <w:szCs w:val="26"/>
          <w:lang w:val="en-US"/>
        </w:rPr>
        <w:t xml:space="preserve">reinvention of corporate strategies that </w:t>
      </w:r>
      <w:r w:rsidR="009D49A1">
        <w:rPr>
          <w:rFonts w:eastAsia="Calibri"/>
          <w:sz w:val="26"/>
          <w:szCs w:val="26"/>
          <w:lang w:val="en-US"/>
        </w:rPr>
        <w:t>integrate</w:t>
      </w:r>
      <w:r w:rsidRPr="009A3785">
        <w:rPr>
          <w:rFonts w:eastAsia="Calibri"/>
          <w:sz w:val="26"/>
          <w:szCs w:val="26"/>
          <w:lang w:val="en-US"/>
        </w:rPr>
        <w:t xml:space="preserve"> the relationships between circular economy practices, ecological sustainability, and financial performance in</w:t>
      </w:r>
      <w:r w:rsidR="009D49A1">
        <w:rPr>
          <w:rFonts w:eastAsia="Calibri"/>
          <w:sz w:val="26"/>
          <w:szCs w:val="26"/>
          <w:lang w:val="en-US"/>
        </w:rPr>
        <w:t>to</w:t>
      </w:r>
      <w:r w:rsidRPr="009A3785">
        <w:rPr>
          <w:rFonts w:eastAsia="Calibri"/>
          <w:sz w:val="26"/>
          <w:szCs w:val="26"/>
          <w:lang w:val="en-US"/>
        </w:rPr>
        <w:t xml:space="preserve"> a business model as a key objective.</w:t>
      </w:r>
      <w:r w:rsidR="001C6137" w:rsidRPr="009A3785">
        <w:rPr>
          <w:sz w:val="26"/>
          <w:szCs w:val="26"/>
        </w:rPr>
        <w:t xml:space="preserve"> </w:t>
      </w:r>
    </w:p>
    <w:p w14:paraId="4C3D2670" w14:textId="721044D6" w:rsidR="00792A17" w:rsidRDefault="00EA7F77" w:rsidP="00824E69">
      <w:pPr>
        <w:autoSpaceDE w:val="0"/>
        <w:autoSpaceDN w:val="0"/>
        <w:adjustRightInd w:val="0"/>
        <w:spacing w:line="300" w:lineRule="auto"/>
        <w:ind w:left="1327" w:hangingChars="510" w:hanging="1327"/>
        <w:jc w:val="both"/>
        <w:rPr>
          <w:rFonts w:eastAsia="Calibri"/>
          <w:sz w:val="26"/>
          <w:szCs w:val="26"/>
          <w:lang w:eastAsia="en-AU"/>
        </w:rPr>
      </w:pPr>
      <w:r w:rsidRPr="009A3785">
        <w:rPr>
          <w:rFonts w:eastAsia="Calibri"/>
          <w:b/>
          <w:sz w:val="26"/>
          <w:szCs w:val="26"/>
          <w:lang w:eastAsia="en-AU"/>
        </w:rPr>
        <w:lastRenderedPageBreak/>
        <w:t>Keywords</w:t>
      </w:r>
      <w:r w:rsidRPr="009A3785">
        <w:rPr>
          <w:rFonts w:eastAsia="Calibri"/>
          <w:sz w:val="26"/>
          <w:szCs w:val="26"/>
          <w:lang w:eastAsia="en-AU"/>
        </w:rPr>
        <w:t>:</w:t>
      </w:r>
      <w:r w:rsidR="00FE079C" w:rsidRPr="009A3785">
        <w:rPr>
          <w:rFonts w:eastAsia="Calibri"/>
          <w:sz w:val="26"/>
          <w:szCs w:val="26"/>
          <w:lang w:eastAsia="en-AU"/>
        </w:rPr>
        <w:t xml:space="preserve"> </w:t>
      </w:r>
      <w:r w:rsidR="00281C89" w:rsidRPr="009A3785">
        <w:rPr>
          <w:rFonts w:eastAsia="Calibri"/>
          <w:sz w:val="26"/>
          <w:szCs w:val="26"/>
          <w:lang w:eastAsia="en-AU"/>
        </w:rPr>
        <w:t xml:space="preserve">Circular </w:t>
      </w:r>
      <w:r w:rsidR="002030FC" w:rsidRPr="009A3785">
        <w:rPr>
          <w:rFonts w:eastAsia="Calibri"/>
          <w:sz w:val="26"/>
          <w:szCs w:val="26"/>
          <w:lang w:eastAsia="en-AU"/>
        </w:rPr>
        <w:t>supply chain</w:t>
      </w:r>
      <w:r w:rsidR="006B1EBC" w:rsidRPr="009A3785">
        <w:rPr>
          <w:rFonts w:eastAsia="Calibri"/>
          <w:sz w:val="26"/>
          <w:szCs w:val="26"/>
          <w:lang w:eastAsia="en-AU"/>
        </w:rPr>
        <w:t xml:space="preserve">, </w:t>
      </w:r>
      <w:r w:rsidR="00281C89" w:rsidRPr="009A3785">
        <w:rPr>
          <w:rFonts w:eastAsia="Calibri"/>
          <w:sz w:val="26"/>
          <w:szCs w:val="26"/>
          <w:lang w:eastAsia="en-AU"/>
        </w:rPr>
        <w:t>Eco</w:t>
      </w:r>
      <w:r w:rsidR="00536545" w:rsidRPr="009A3785">
        <w:rPr>
          <w:rFonts w:eastAsia="Calibri"/>
          <w:sz w:val="26"/>
          <w:szCs w:val="26"/>
          <w:lang w:eastAsia="en-AU"/>
        </w:rPr>
        <w:t xml:space="preserve">nomic </w:t>
      </w:r>
      <w:r w:rsidR="002030FC" w:rsidRPr="009A3785">
        <w:rPr>
          <w:rFonts w:eastAsia="Calibri"/>
          <w:sz w:val="26"/>
          <w:szCs w:val="26"/>
          <w:lang w:eastAsia="en-AU"/>
        </w:rPr>
        <w:t>growth</w:t>
      </w:r>
      <w:r w:rsidR="006B1EBC" w:rsidRPr="009A3785">
        <w:rPr>
          <w:rFonts w:eastAsia="Calibri"/>
          <w:sz w:val="26"/>
          <w:szCs w:val="26"/>
          <w:lang w:eastAsia="en-AU"/>
        </w:rPr>
        <w:t xml:space="preserve">, </w:t>
      </w:r>
      <w:r w:rsidR="006929AF" w:rsidRPr="009A3785">
        <w:rPr>
          <w:rFonts w:eastAsia="Calibri"/>
          <w:sz w:val="26"/>
          <w:szCs w:val="26"/>
          <w:lang w:eastAsia="en-AU"/>
        </w:rPr>
        <w:t xml:space="preserve">Sustainability </w:t>
      </w:r>
      <w:r w:rsidR="002030FC" w:rsidRPr="009A3785">
        <w:rPr>
          <w:rFonts w:eastAsia="Calibri"/>
          <w:sz w:val="26"/>
          <w:szCs w:val="26"/>
          <w:lang w:eastAsia="en-AU"/>
        </w:rPr>
        <w:t>initiatives</w:t>
      </w:r>
      <w:r w:rsidR="006B1EBC" w:rsidRPr="009A3785">
        <w:rPr>
          <w:rFonts w:eastAsia="Calibri"/>
          <w:sz w:val="26"/>
          <w:szCs w:val="26"/>
          <w:lang w:eastAsia="en-AU"/>
        </w:rPr>
        <w:t xml:space="preserve">, </w:t>
      </w:r>
      <w:bookmarkStart w:id="2" w:name="_Toc323222247"/>
      <w:r w:rsidR="006929AF" w:rsidRPr="009A3785">
        <w:rPr>
          <w:rFonts w:eastAsia="Calibri"/>
          <w:sz w:val="26"/>
          <w:szCs w:val="26"/>
          <w:lang w:eastAsia="en-AU"/>
        </w:rPr>
        <w:t xml:space="preserve">Textile </w:t>
      </w:r>
      <w:r w:rsidR="002030FC" w:rsidRPr="009A3785">
        <w:rPr>
          <w:rFonts w:eastAsia="Calibri"/>
          <w:sz w:val="26"/>
          <w:szCs w:val="26"/>
          <w:lang w:eastAsia="en-AU"/>
        </w:rPr>
        <w:t>industry</w:t>
      </w:r>
      <w:r w:rsidR="006929AF" w:rsidRPr="009A3785">
        <w:rPr>
          <w:rFonts w:eastAsia="Calibri"/>
          <w:sz w:val="26"/>
          <w:szCs w:val="26"/>
          <w:lang w:eastAsia="en-AU"/>
        </w:rPr>
        <w:t xml:space="preserve">, </w:t>
      </w:r>
      <w:r w:rsidR="00CD2429" w:rsidRPr="009A3785">
        <w:rPr>
          <w:rFonts w:eastAsia="Calibri"/>
          <w:sz w:val="26"/>
          <w:szCs w:val="26"/>
          <w:lang w:eastAsia="en-AU"/>
        </w:rPr>
        <w:t xml:space="preserve">Structural </w:t>
      </w:r>
      <w:r w:rsidR="002030FC" w:rsidRPr="009A3785">
        <w:rPr>
          <w:rFonts w:eastAsia="Calibri"/>
          <w:sz w:val="26"/>
          <w:szCs w:val="26"/>
          <w:lang w:eastAsia="en-AU"/>
        </w:rPr>
        <w:t>equation modelling</w:t>
      </w:r>
    </w:p>
    <w:p w14:paraId="330E214F" w14:textId="77777777" w:rsidR="0069172C" w:rsidRDefault="0069172C" w:rsidP="00824E69">
      <w:pPr>
        <w:autoSpaceDE w:val="0"/>
        <w:autoSpaceDN w:val="0"/>
        <w:adjustRightInd w:val="0"/>
        <w:spacing w:line="300" w:lineRule="auto"/>
        <w:ind w:left="1326" w:hangingChars="510" w:hanging="1326"/>
        <w:jc w:val="both"/>
        <w:rPr>
          <w:rFonts w:eastAsia="Calibri"/>
          <w:sz w:val="26"/>
          <w:szCs w:val="26"/>
          <w:lang w:eastAsia="en-AU"/>
        </w:rPr>
      </w:pPr>
    </w:p>
    <w:p w14:paraId="72FF68C0" w14:textId="31FC7455" w:rsidR="00F15632" w:rsidRPr="00C07A0C" w:rsidRDefault="0011086F" w:rsidP="00824E69">
      <w:pPr>
        <w:autoSpaceDE w:val="0"/>
        <w:autoSpaceDN w:val="0"/>
        <w:adjustRightInd w:val="0"/>
        <w:spacing w:line="300" w:lineRule="auto"/>
        <w:jc w:val="center"/>
        <w:rPr>
          <w:rFonts w:eastAsiaTheme="minorEastAsia"/>
          <w:b/>
          <w:bCs/>
          <w:sz w:val="26"/>
          <w:szCs w:val="26"/>
          <w:lang w:val="en-US"/>
        </w:rPr>
      </w:pPr>
      <w:r w:rsidRPr="00457419">
        <w:rPr>
          <w:rFonts w:eastAsiaTheme="minorEastAsia"/>
          <w:b/>
          <w:bCs/>
          <w:sz w:val="26"/>
          <w:szCs w:val="26"/>
          <w:lang w:val="en-US"/>
        </w:rPr>
        <w:t>INTRODUCTION</w:t>
      </w:r>
      <w:bookmarkEnd w:id="2"/>
    </w:p>
    <w:p w14:paraId="0C9DF2F7" w14:textId="2E6139E0" w:rsidR="00546B42" w:rsidRPr="00351150" w:rsidRDefault="002015CA" w:rsidP="00824E69">
      <w:pPr>
        <w:pStyle w:val="keywords"/>
        <w:spacing w:after="0" w:line="300" w:lineRule="auto"/>
        <w:ind w:firstLine="0"/>
        <w:rPr>
          <w:rStyle w:val="30"/>
          <w:rFonts w:ascii="Times New Roman" w:eastAsiaTheme="majorEastAsia" w:hAnsi="Times New Roman" w:cs="Times New Roman"/>
          <w:b/>
          <w:bCs/>
          <w:i w:val="0"/>
          <w:iCs w:val="0"/>
          <w:color w:val="auto"/>
        </w:rPr>
      </w:pPr>
      <w:r w:rsidRPr="00351150">
        <w:rPr>
          <w:rStyle w:val="30"/>
          <w:rFonts w:ascii="Times New Roman" w:eastAsiaTheme="majorEastAsia" w:hAnsi="Times New Roman" w:cs="Times New Roman"/>
          <w:b/>
          <w:bCs/>
          <w:i w:val="0"/>
          <w:iCs w:val="0"/>
          <w:color w:val="auto"/>
        </w:rPr>
        <w:t xml:space="preserve">Circular </w:t>
      </w:r>
      <w:r w:rsidR="003D310E" w:rsidRPr="00351150">
        <w:rPr>
          <w:rStyle w:val="30"/>
          <w:rFonts w:ascii="Times New Roman" w:eastAsiaTheme="majorEastAsia" w:hAnsi="Times New Roman" w:cs="Times New Roman"/>
          <w:b/>
          <w:bCs/>
          <w:i w:val="0"/>
          <w:iCs w:val="0"/>
          <w:color w:val="auto"/>
        </w:rPr>
        <w:t>E</w:t>
      </w:r>
      <w:r w:rsidRPr="00351150">
        <w:rPr>
          <w:rStyle w:val="30"/>
          <w:rFonts w:ascii="Times New Roman" w:eastAsiaTheme="majorEastAsia" w:hAnsi="Times New Roman" w:cs="Times New Roman"/>
          <w:b/>
          <w:bCs/>
          <w:i w:val="0"/>
          <w:iCs w:val="0"/>
          <w:color w:val="auto"/>
        </w:rPr>
        <w:t xml:space="preserve">conomy and </w:t>
      </w:r>
      <w:r w:rsidR="003D310E" w:rsidRPr="00351150">
        <w:rPr>
          <w:rStyle w:val="30"/>
          <w:rFonts w:ascii="Times New Roman" w:eastAsiaTheme="majorEastAsia" w:hAnsi="Times New Roman" w:cs="Times New Roman"/>
          <w:b/>
          <w:bCs/>
          <w:i w:val="0"/>
          <w:iCs w:val="0"/>
          <w:color w:val="auto"/>
        </w:rPr>
        <w:t>S</w:t>
      </w:r>
      <w:r w:rsidRPr="00351150">
        <w:rPr>
          <w:rStyle w:val="30"/>
          <w:rFonts w:ascii="Times New Roman" w:eastAsiaTheme="majorEastAsia" w:hAnsi="Times New Roman" w:cs="Times New Roman"/>
          <w:b/>
          <w:bCs/>
          <w:i w:val="0"/>
          <w:iCs w:val="0"/>
          <w:color w:val="auto"/>
        </w:rPr>
        <w:t xml:space="preserve">upply </w:t>
      </w:r>
      <w:r w:rsidR="003D310E" w:rsidRPr="00351150">
        <w:rPr>
          <w:rStyle w:val="30"/>
          <w:rFonts w:ascii="Times New Roman" w:eastAsiaTheme="majorEastAsia" w:hAnsi="Times New Roman" w:cs="Times New Roman"/>
          <w:b/>
          <w:bCs/>
          <w:i w:val="0"/>
          <w:iCs w:val="0"/>
          <w:color w:val="auto"/>
        </w:rPr>
        <w:t>C</w:t>
      </w:r>
      <w:r w:rsidRPr="00351150">
        <w:rPr>
          <w:rStyle w:val="30"/>
          <w:rFonts w:ascii="Times New Roman" w:eastAsiaTheme="majorEastAsia" w:hAnsi="Times New Roman" w:cs="Times New Roman"/>
          <w:b/>
          <w:bCs/>
          <w:i w:val="0"/>
          <w:iCs w:val="0"/>
          <w:color w:val="auto"/>
        </w:rPr>
        <w:t xml:space="preserve">hain </w:t>
      </w:r>
      <w:r w:rsidR="003D310E" w:rsidRPr="00351150">
        <w:rPr>
          <w:rStyle w:val="30"/>
          <w:rFonts w:ascii="Times New Roman" w:eastAsiaTheme="majorEastAsia" w:hAnsi="Times New Roman" w:cs="Times New Roman"/>
          <w:b/>
          <w:bCs/>
          <w:i w:val="0"/>
          <w:iCs w:val="0"/>
          <w:color w:val="auto"/>
        </w:rPr>
        <w:t>M</w:t>
      </w:r>
      <w:r w:rsidRPr="00351150">
        <w:rPr>
          <w:rStyle w:val="30"/>
          <w:rFonts w:ascii="Times New Roman" w:eastAsiaTheme="majorEastAsia" w:hAnsi="Times New Roman" w:cs="Times New Roman"/>
          <w:b/>
          <w:bCs/>
          <w:i w:val="0"/>
          <w:iCs w:val="0"/>
          <w:color w:val="auto"/>
        </w:rPr>
        <w:t>anagement</w:t>
      </w:r>
      <w:r w:rsidR="00AE2309" w:rsidRPr="00351150">
        <w:rPr>
          <w:rStyle w:val="30"/>
          <w:rFonts w:ascii="Times New Roman" w:eastAsiaTheme="majorEastAsia" w:hAnsi="Times New Roman" w:cs="Times New Roman"/>
          <w:b/>
          <w:bCs/>
          <w:i w:val="0"/>
          <w:iCs w:val="0"/>
          <w:color w:val="auto"/>
        </w:rPr>
        <w:t xml:space="preserve">: Concepts and </w:t>
      </w:r>
      <w:r w:rsidR="00AE2309" w:rsidRPr="0005100E">
        <w:rPr>
          <w:rStyle w:val="30"/>
          <w:rFonts w:ascii="Times New Roman" w:eastAsiaTheme="majorEastAsia" w:hAnsi="Times New Roman" w:cs="Times New Roman"/>
          <w:b/>
          <w:bCs/>
          <w:i w:val="0"/>
          <w:iCs w:val="0"/>
          <w:color w:val="auto"/>
        </w:rPr>
        <w:t>Practices</w:t>
      </w:r>
    </w:p>
    <w:p w14:paraId="3946FDC3" w14:textId="14E684A7" w:rsidR="009D75D2" w:rsidRPr="00D47A9A" w:rsidRDefault="009D75D2" w:rsidP="00824E69">
      <w:pPr>
        <w:widowControl w:val="0"/>
        <w:autoSpaceDE w:val="0"/>
        <w:autoSpaceDN w:val="0"/>
        <w:adjustRightInd w:val="0"/>
        <w:spacing w:line="300" w:lineRule="auto"/>
        <w:ind w:firstLine="360"/>
        <w:jc w:val="both"/>
        <w:rPr>
          <w:rFonts w:eastAsia="Calibri"/>
          <w:sz w:val="26"/>
          <w:szCs w:val="26"/>
          <w:lang w:val="en-US"/>
        </w:rPr>
      </w:pPr>
      <w:r w:rsidRPr="00D47A9A">
        <w:rPr>
          <w:rFonts w:eastAsia="Calibri"/>
          <w:sz w:val="26"/>
          <w:szCs w:val="26"/>
          <w:lang w:val="en-US"/>
        </w:rPr>
        <w:t xml:space="preserve">Rapid economic development is often accompanied by </w:t>
      </w:r>
      <w:r w:rsidR="009D49A1">
        <w:rPr>
          <w:rFonts w:eastAsia="Calibri"/>
          <w:sz w:val="26"/>
          <w:szCs w:val="26"/>
          <w:lang w:val="en-US"/>
        </w:rPr>
        <w:t xml:space="preserve">increased </w:t>
      </w:r>
      <w:r w:rsidRPr="00D47A9A">
        <w:rPr>
          <w:rFonts w:eastAsia="Calibri"/>
          <w:sz w:val="26"/>
          <w:szCs w:val="26"/>
          <w:lang w:val="en-US"/>
        </w:rPr>
        <w:t>material/energy consumption</w:t>
      </w:r>
      <w:r w:rsidR="009D49A1">
        <w:rPr>
          <w:rFonts w:eastAsia="Calibri"/>
          <w:sz w:val="26"/>
          <w:szCs w:val="26"/>
          <w:lang w:val="en-US"/>
        </w:rPr>
        <w:t>,</w:t>
      </w:r>
      <w:r w:rsidRPr="00D47A9A">
        <w:rPr>
          <w:rFonts w:eastAsia="Calibri"/>
          <w:sz w:val="26"/>
          <w:szCs w:val="26"/>
          <w:lang w:val="en-US"/>
        </w:rPr>
        <w:t xml:space="preserve"> a</w:t>
      </w:r>
      <w:r w:rsidR="009D49A1">
        <w:rPr>
          <w:rFonts w:eastAsia="Calibri"/>
          <w:sz w:val="26"/>
          <w:szCs w:val="26"/>
          <w:lang w:val="en-US"/>
        </w:rPr>
        <w:t>s well as</w:t>
      </w:r>
      <w:r w:rsidRPr="00D47A9A">
        <w:rPr>
          <w:rFonts w:eastAsia="Calibri"/>
          <w:sz w:val="26"/>
          <w:szCs w:val="26"/>
          <w:lang w:val="en-US"/>
        </w:rPr>
        <w:t xml:space="preserve"> environmental pollution</w:t>
      </w:r>
      <w:r w:rsidR="009D49A1">
        <w:rPr>
          <w:rFonts w:eastAsia="Calibri"/>
          <w:sz w:val="26"/>
          <w:szCs w:val="26"/>
          <w:lang w:val="en-US"/>
        </w:rPr>
        <w:t>. T</w:t>
      </w:r>
      <w:r w:rsidRPr="00D47A9A">
        <w:rPr>
          <w:rFonts w:eastAsia="Calibri"/>
          <w:sz w:val="26"/>
          <w:szCs w:val="26"/>
          <w:lang w:val="en-US"/>
        </w:rPr>
        <w:t xml:space="preserve">herefore, with </w:t>
      </w:r>
      <w:r w:rsidR="009D49A1">
        <w:rPr>
          <w:rFonts w:eastAsia="Calibri"/>
          <w:sz w:val="26"/>
          <w:szCs w:val="26"/>
          <w:lang w:val="en-US"/>
        </w:rPr>
        <w:t>growing</w:t>
      </w:r>
      <w:r w:rsidRPr="00D47A9A">
        <w:rPr>
          <w:rFonts w:eastAsia="Calibri"/>
          <w:sz w:val="26"/>
          <w:szCs w:val="26"/>
          <w:lang w:val="en-US"/>
        </w:rPr>
        <w:t xml:space="preserve"> awareness of ecological problems, scholars </w:t>
      </w:r>
      <w:r w:rsidR="009D49A1">
        <w:rPr>
          <w:rFonts w:eastAsia="Calibri"/>
          <w:sz w:val="26"/>
          <w:szCs w:val="26"/>
          <w:lang w:val="en-US"/>
        </w:rPr>
        <w:t>have begun to consider</w:t>
      </w:r>
      <w:r w:rsidRPr="00D47A9A">
        <w:rPr>
          <w:rFonts w:eastAsia="Calibri"/>
          <w:sz w:val="26"/>
          <w:szCs w:val="26"/>
          <w:lang w:val="en-US"/>
        </w:rPr>
        <w:t xml:space="preserve"> decoupling economic development from both consumption and pollution by promoting a circular economy</w:t>
      </w:r>
      <w:r w:rsidR="000339D6">
        <w:rPr>
          <w:rFonts w:eastAsia="Calibri"/>
          <w:sz w:val="26"/>
          <w:szCs w:val="26"/>
          <w:lang w:val="en-US"/>
        </w:rPr>
        <w:t xml:space="preserve"> </w:t>
      </w:r>
      <w:r w:rsidRPr="00D47A9A">
        <w:rPr>
          <w:rFonts w:eastAsia="Calibri"/>
          <w:sz w:val="26"/>
          <w:szCs w:val="26"/>
          <w:lang w:val="en-US"/>
        </w:rPr>
        <w:fldChar w:fldCharType="begin"/>
      </w:r>
      <w:r w:rsidRPr="00D47A9A">
        <w:rPr>
          <w:rFonts w:eastAsia="Calibri"/>
          <w:sz w:val="26"/>
          <w:szCs w:val="26"/>
          <w:lang w:val="en-US"/>
        </w:rPr>
        <w:instrText xml:space="preserve"> ADDIN ZOTERO_ITEM CSL_CITATION {"citationID":"806fiQd4","properties":{"formattedCitation":"(Chen et al., 2020)","plainCitation":"(Chen et al., 2020)","noteIndex":0},"citationItems":[{"id":3438,"uris":["http://zotero.org/users/local/Alzi7ROo/items/JJ4N2739"],"itemData":{"id":3438,"type":"article-journal","abstract":"This study aims to assess the impact of circular economy on economic growth. In the process of rapid economic growth, China has been facing with the pressure of insufficient supply of resources and environmental pollution, which makes the development model of circular economy (CE) an imperative transformation. China has carried out two batches of CE pilot cities to promote the construction of ecological economy and change the traditional economic development model, which is employed as a quasi-natural experiment in this study. The effect of this CE policy on the local economic growth is explored using the Propensity Score Matching (PSM) method and Difference-in-Differences (DID) model and a panel data of 163 Chinese cities from the year of 2001–2012 has been used. The results show that the growth rate of GDP of the pilot cities decreases significantly but the economic decline gradually recovers as time goes on. In addition, this study further conducts the regional heterogeneity analysis to compare the economic growth of CE pilot cities in three economic zones, i.e., eastern, central and western economic zones, and the sectoral heterogeneity analysis to compare the economic growth of three main industries, i.e., primary, secondary and tertiary industries. Finally, discussion of above results is presented and recommendations for the promotion of urban CE are proposed.","container-title":"Journal of Cleaner Production","DOI":"10.1016/j.jclepro.2020.122558","ISSN":"0959-6526","journalAbbreviation":"Journal of Cleaner Production","page":"122558","source":"ScienceDirect","title":"The effects of circular economy on economic growth: A quasi-natural experiment in China","title-short":"The effects of circular economy on economic growth","volume":"271","author":[{"family":"Chen","given":"Ziyu"},{"family":"Chen","given":"Shouming"},{"family":"Liu","given":"Chang"},{"family":"Nguyen","given":"Luu Thi"},{"family":"Hasan","given":"Abid"}],"issued":{"date-parts":[["2020",10,20]]}}}],"schema":"https://github.com/citation-style-language/schema/raw/master/csl-citation.json"} </w:instrText>
      </w:r>
      <w:r w:rsidRPr="00D47A9A">
        <w:rPr>
          <w:rFonts w:eastAsia="Calibri"/>
          <w:sz w:val="26"/>
          <w:szCs w:val="26"/>
          <w:lang w:val="en-US"/>
        </w:rPr>
        <w:fldChar w:fldCharType="separate"/>
      </w:r>
      <w:r w:rsidRPr="00D47A9A">
        <w:rPr>
          <w:rFonts w:eastAsia="Calibri"/>
          <w:sz w:val="26"/>
          <w:szCs w:val="26"/>
          <w:lang w:val="en-US"/>
        </w:rPr>
        <w:t>(Chen et al., 2020)</w:t>
      </w:r>
      <w:r w:rsidRPr="00D47A9A">
        <w:rPr>
          <w:rFonts w:eastAsia="Calibri"/>
          <w:sz w:val="26"/>
          <w:szCs w:val="26"/>
          <w:lang w:val="en-US"/>
        </w:rPr>
        <w:fldChar w:fldCharType="end"/>
      </w:r>
      <w:r w:rsidRPr="00D47A9A">
        <w:rPr>
          <w:rFonts w:eastAsia="Calibri"/>
          <w:sz w:val="26"/>
          <w:szCs w:val="26"/>
          <w:lang w:val="en-US"/>
        </w:rPr>
        <w:t>.</w:t>
      </w:r>
    </w:p>
    <w:p w14:paraId="529B475B" w14:textId="6CC6B56F" w:rsidR="00D83BC7" w:rsidRPr="00D47A9A" w:rsidRDefault="00D83BC7" w:rsidP="00824E69">
      <w:pPr>
        <w:widowControl w:val="0"/>
        <w:autoSpaceDE w:val="0"/>
        <w:autoSpaceDN w:val="0"/>
        <w:adjustRightInd w:val="0"/>
        <w:spacing w:line="300" w:lineRule="auto"/>
        <w:ind w:firstLine="360"/>
        <w:jc w:val="both"/>
        <w:rPr>
          <w:rFonts w:eastAsia="Calibri"/>
          <w:sz w:val="26"/>
          <w:szCs w:val="26"/>
          <w:lang w:val="en-US"/>
        </w:rPr>
      </w:pPr>
      <w:r w:rsidRPr="00D47A9A">
        <w:rPr>
          <w:rFonts w:eastAsia="Calibri"/>
          <w:sz w:val="26"/>
          <w:szCs w:val="26"/>
          <w:lang w:val="en-US"/>
        </w:rPr>
        <w:t xml:space="preserve">The circular economy is a restorative and regenerative system </w:t>
      </w:r>
      <w:r w:rsidRPr="00D47A9A">
        <w:rPr>
          <w:rFonts w:eastAsia="Calibri"/>
          <w:sz w:val="26"/>
          <w:szCs w:val="26"/>
          <w:lang w:val="en-US"/>
        </w:rPr>
        <w:fldChar w:fldCharType="begin"/>
      </w:r>
      <w:r w:rsidRPr="00D47A9A">
        <w:rPr>
          <w:rFonts w:eastAsia="Calibri"/>
          <w:sz w:val="26"/>
          <w:szCs w:val="26"/>
          <w:lang w:val="en-US"/>
        </w:rPr>
        <w:instrText xml:space="preserve"> ADDIN ZOTERO_ITEM CSL_CITATION {"citationID":"ygpnSTTs","properties":{"formattedCitation":"(Charonis, 2012)","plainCitation":"(Charonis, 2012)","noteIndex":0},"citationItems":[{"id":3443,"uris":["http://zotero.org/users/local/Alzi7ROo/items/93IGY8CF"],"itemData":{"id":3443,"type":"paper-conference","container-title":"World Economic Association Sustainability Conference","page":"1–18","source":"Google Scholar","title":"Degrowth, steady state economics and the circular economy: three distinct yet increasingly converging alternative discourses to economic growth for achieving environmental sustainability and social equity","title-short":"Degrowth, steady state economics and the circular economy","URL":"http://www.t.rrojasdatabank.info/Charonis1.pdf","volume":"24","author":[{"family":"Charonis","given":"George-Konstantinos"}],"accessed":{"date-parts":[["2024",12,15]]},"issued":{"date-parts":[["2012"]]}}}],"schema":"https://github.com/citation-style-language/schema/raw/master/csl-citation.json"} </w:instrText>
      </w:r>
      <w:r w:rsidRPr="00D47A9A">
        <w:rPr>
          <w:rFonts w:eastAsia="Calibri"/>
          <w:sz w:val="26"/>
          <w:szCs w:val="26"/>
          <w:lang w:val="en-US"/>
        </w:rPr>
        <w:fldChar w:fldCharType="separate"/>
      </w:r>
      <w:r w:rsidRPr="00D47A9A">
        <w:rPr>
          <w:rFonts w:eastAsia="Calibri"/>
          <w:sz w:val="26"/>
          <w:szCs w:val="26"/>
          <w:lang w:val="en-US"/>
        </w:rPr>
        <w:t>(Charonis, 20</w:t>
      </w:r>
      <w:r w:rsidR="008809A9" w:rsidRPr="00D47A9A">
        <w:rPr>
          <w:rFonts w:eastAsia="Calibri"/>
          <w:sz w:val="26"/>
          <w:szCs w:val="26"/>
          <w:lang w:val="en-US"/>
        </w:rPr>
        <w:t>21</w:t>
      </w:r>
      <w:r w:rsidRPr="00D47A9A">
        <w:rPr>
          <w:rFonts w:eastAsia="Calibri"/>
          <w:sz w:val="26"/>
          <w:szCs w:val="26"/>
          <w:lang w:val="en-US"/>
        </w:rPr>
        <w:t>)</w:t>
      </w:r>
      <w:r w:rsidRPr="00D47A9A">
        <w:rPr>
          <w:rFonts w:eastAsia="Calibri"/>
          <w:sz w:val="26"/>
          <w:szCs w:val="26"/>
          <w:lang w:val="en-US"/>
        </w:rPr>
        <w:fldChar w:fldCharType="end"/>
      </w:r>
      <w:r w:rsidRPr="00D47A9A">
        <w:rPr>
          <w:rFonts w:eastAsia="Calibri"/>
          <w:sz w:val="26"/>
          <w:szCs w:val="26"/>
          <w:lang w:val="en-US"/>
        </w:rPr>
        <w:t>. It focuses on applying three pillars: the first one is the recovery of any waste throughout the value chain before it goes to landfill or other waste disposal method; the second one is efficiency to optimize energy and materials and thus maximize production output while minimizing inputs and pollutant discharge to the environment, third one is the valorization of waste to be re-economized for further social benefit</w:t>
      </w:r>
      <w:r w:rsidR="00951152" w:rsidRPr="00D47A9A">
        <w:rPr>
          <w:rFonts w:eastAsia="Calibri"/>
          <w:sz w:val="26"/>
          <w:szCs w:val="26"/>
          <w:lang w:val="en-US"/>
        </w:rPr>
        <w:t xml:space="preserve"> </w:t>
      </w:r>
      <w:r w:rsidRPr="00D47A9A">
        <w:rPr>
          <w:rFonts w:eastAsia="Calibri"/>
          <w:sz w:val="26"/>
          <w:szCs w:val="26"/>
          <w:lang w:val="en-US"/>
        </w:rPr>
        <w:fldChar w:fldCharType="begin"/>
      </w:r>
      <w:r w:rsidRPr="00D47A9A">
        <w:rPr>
          <w:rFonts w:eastAsia="Calibri"/>
          <w:sz w:val="26"/>
          <w:szCs w:val="26"/>
          <w:lang w:val="en-US"/>
        </w:rPr>
        <w:instrText xml:space="preserve"> ADDIN ZOTERO_ITEM CSL_CITATION {"citationID":"N7QnAlGg","properties":{"formattedCitation":"(Wang et al., 2018)","plainCitation":"(Wang et al., 2018)","noteIndex":0},"citationItems":[{"id":3445,"uris":["http://zotero.org/users/local/Alzi7ROo/items/2J4U7IYE"],"itemData":{"id":3445,"type":"article-journal","container-title":"Journal of Cleaner Production","note":"publisher: Elsevier","page":"876–887","source":"Google Scholar","title":"Evaluation of Urban circular economy development: An empirical research of 40 cities in China","title-short":"Evaluation of Urban circular economy development","volume":"180","author":[{"family":"Wang","given":"Ning"},{"family":"Lee","given":"Jason Chi Kin"},{"family":"Zhang","given":"Jian"},{"family":"Chen","given":"Haitao"},{"family":"Li","given":"Heng"}],"issued":{"date-parts":[["2018"]]}}}],"schema":"https://github.com/citation-style-language/schema/raw/master/csl-citation.json"} </w:instrText>
      </w:r>
      <w:r w:rsidRPr="00D47A9A">
        <w:rPr>
          <w:rFonts w:eastAsia="Calibri"/>
          <w:sz w:val="26"/>
          <w:szCs w:val="26"/>
          <w:lang w:val="en-US"/>
        </w:rPr>
        <w:fldChar w:fldCharType="separate"/>
      </w:r>
      <w:r w:rsidRPr="00D47A9A">
        <w:rPr>
          <w:rFonts w:eastAsia="Calibri"/>
          <w:sz w:val="26"/>
          <w:szCs w:val="26"/>
          <w:lang w:val="en-US"/>
        </w:rPr>
        <w:t>(Wang et al., 2018)</w:t>
      </w:r>
      <w:r w:rsidRPr="00D47A9A">
        <w:rPr>
          <w:rFonts w:eastAsia="Calibri"/>
          <w:sz w:val="26"/>
          <w:szCs w:val="26"/>
          <w:lang w:val="en-US"/>
        </w:rPr>
        <w:fldChar w:fldCharType="end"/>
      </w:r>
      <w:r w:rsidRPr="00D47A9A">
        <w:rPr>
          <w:rFonts w:eastAsia="Calibri"/>
          <w:sz w:val="26"/>
          <w:szCs w:val="26"/>
          <w:lang w:val="en-US"/>
        </w:rPr>
        <w:t xml:space="preserve">. </w:t>
      </w:r>
    </w:p>
    <w:p w14:paraId="43FD1BD0" w14:textId="32CA4D8F" w:rsidR="006A5239" w:rsidRPr="00D47A9A" w:rsidRDefault="005456FC" w:rsidP="00824E69">
      <w:pPr>
        <w:widowControl w:val="0"/>
        <w:autoSpaceDE w:val="0"/>
        <w:autoSpaceDN w:val="0"/>
        <w:adjustRightInd w:val="0"/>
        <w:spacing w:line="300" w:lineRule="auto"/>
        <w:ind w:firstLine="360"/>
        <w:jc w:val="both"/>
        <w:rPr>
          <w:rFonts w:eastAsia="Calibri"/>
          <w:sz w:val="26"/>
          <w:szCs w:val="26"/>
          <w:lang w:val="en-US"/>
        </w:rPr>
      </w:pPr>
      <w:r w:rsidRPr="00D47A9A">
        <w:rPr>
          <w:rFonts w:eastAsia="Calibri"/>
          <w:sz w:val="26"/>
          <w:szCs w:val="26"/>
          <w:lang w:val="en-US"/>
        </w:rPr>
        <w:t>As environmental concerns intensify, there is a common understanding that current supply chain models are unsustainable</w:t>
      </w:r>
      <w:r w:rsidR="0011604C" w:rsidRPr="00D47A9A">
        <w:rPr>
          <w:rFonts w:eastAsia="Calibri"/>
          <w:sz w:val="26"/>
          <w:szCs w:val="26"/>
          <w:lang w:val="en-US"/>
        </w:rPr>
        <w:t xml:space="preserve"> </w:t>
      </w:r>
      <w:r w:rsidRPr="00D47A9A">
        <w:rPr>
          <w:rFonts w:eastAsia="Calibri"/>
          <w:sz w:val="26"/>
          <w:szCs w:val="26"/>
          <w:lang w:val="en-US"/>
        </w:rPr>
        <w:fldChar w:fldCharType="begin"/>
      </w:r>
      <w:r w:rsidRPr="00D47A9A">
        <w:rPr>
          <w:rFonts w:eastAsia="Calibri"/>
          <w:sz w:val="26"/>
          <w:szCs w:val="26"/>
          <w:lang w:val="en-US"/>
        </w:rPr>
        <w:instrText xml:space="preserve"> ADDIN ZOTERO_ITEM CSL_CITATION {"citationID":"1OkH8VOI","properties":{"formattedCitation":"(Fatih &amp; Hirawan, 2024)","plainCitation":"(Fatih &amp; Hirawan, 2024)","noteIndex":0},"citationItems":[{"id":3485,"uris":["http://zotero.org/users/local/Alzi7ROo/items/5M8ELU8U"],"itemData":{"id":3485,"type":"article-journal","container-title":"International Journal of Business Performance and Supply Chain Modelling","DOI":"10.1504/IJBPSCM.2024.140034","ISSN":"1758-9401, 1758-941X","issue":"1","journalAbbreviation":"IJBPSCM","language":"en","page":"47-62","source":"DOI.org (Crossref)","title":"Towards a closed-loop future: a systematic examination of circular supply chain literature","title-short":"Towards a closed-loop future","volume":"15","author":[{"family":"Fatih","given":"Fatima Zahra"},{"family":"Hirawan","given":"Fajar B."}],"issued":{"date-parts":[["2024"]]}}}],"schema":"https://github.com/citation-style-language/schema/raw/master/csl-citation.json"} </w:instrText>
      </w:r>
      <w:r w:rsidRPr="00D47A9A">
        <w:rPr>
          <w:rFonts w:eastAsia="Calibri"/>
          <w:sz w:val="26"/>
          <w:szCs w:val="26"/>
          <w:lang w:val="en-US"/>
        </w:rPr>
        <w:fldChar w:fldCharType="separate"/>
      </w:r>
      <w:r w:rsidRPr="00D47A9A">
        <w:rPr>
          <w:rFonts w:eastAsia="Calibri"/>
          <w:sz w:val="26"/>
          <w:szCs w:val="26"/>
          <w:lang w:val="en-US"/>
        </w:rPr>
        <w:t>(Fatih &amp; Hirawan, 2024)</w:t>
      </w:r>
      <w:r w:rsidRPr="00D47A9A">
        <w:rPr>
          <w:rFonts w:eastAsia="Calibri"/>
          <w:sz w:val="26"/>
          <w:szCs w:val="26"/>
          <w:lang w:val="en-US"/>
        </w:rPr>
        <w:fldChar w:fldCharType="end"/>
      </w:r>
      <w:r w:rsidRPr="00D47A9A">
        <w:rPr>
          <w:rFonts w:eastAsia="Calibri"/>
          <w:sz w:val="26"/>
          <w:szCs w:val="26"/>
          <w:lang w:val="en-US"/>
        </w:rPr>
        <w:t>. Therefore, t</w:t>
      </w:r>
      <w:r w:rsidR="00D83BC7" w:rsidRPr="00D47A9A">
        <w:rPr>
          <w:rFonts w:eastAsia="Calibri"/>
          <w:sz w:val="26"/>
          <w:szCs w:val="26"/>
          <w:lang w:val="en-US"/>
        </w:rPr>
        <w:t xml:space="preserve">he circular economy has </w:t>
      </w:r>
      <w:r w:rsidR="006650C9">
        <w:rPr>
          <w:rFonts w:eastAsia="Calibri"/>
          <w:sz w:val="26"/>
          <w:szCs w:val="26"/>
          <w:lang w:val="en-US"/>
        </w:rPr>
        <w:t xml:space="preserve">garnered increasing attention from businesses, policymakers, and academics in recent years to enhance supply chain efficiency </w:t>
      </w:r>
      <w:r w:rsidR="009D49A1">
        <w:rPr>
          <w:rFonts w:eastAsia="Calibri"/>
          <w:sz w:val="26"/>
          <w:szCs w:val="26"/>
          <w:lang w:val="en-US"/>
        </w:rPr>
        <w:t>(</w:t>
      </w:r>
      <w:r w:rsidR="00D83BC7" w:rsidRPr="00D47A9A">
        <w:rPr>
          <w:rFonts w:eastAsia="Calibri"/>
          <w:sz w:val="26"/>
          <w:szCs w:val="26"/>
          <w:lang w:val="en-US"/>
        </w:rPr>
        <w:fldChar w:fldCharType="begin"/>
      </w:r>
      <w:r w:rsidR="00D83BC7" w:rsidRPr="00D47A9A">
        <w:rPr>
          <w:rFonts w:eastAsia="Calibri"/>
          <w:sz w:val="26"/>
          <w:szCs w:val="26"/>
          <w:lang w:val="en-US"/>
        </w:rPr>
        <w:instrText xml:space="preserve"> ADDIN ZOTERO_ITEM CSL_CITATION {"citationID":"p0JZT7lG","properties":{"formattedCitation":"(Dev et al., 2020; Stewart &amp; Niero, 2018)","plainCitation":"(Dev et al., 2020; Stewart &amp; Niero, 2018)","dontUpdate":true,"noteIndex":0},"citationItems":[{"id":964,"uris":["http://zotero.org/users/local/Alzi7ROo/items/PD8AHYAJ"],"itemData":{"id":964,"type":"article-journal","abstract":"The present research proposes a roadmap to the excellence of operations for sustainable reverse supply chain/logistics by the joint implementation of principles of Industry 4.0 (I4.0) and ReSOLVE model of circular economy (CE) approaches. The connection between I4.0 and CE is unveiled by addressing the case-based model affecting the economic and environmental performances imparting two important dimensions: (i) the information sharing with the reverse logistics system is in real-time mode, and (ii) diffusion of green product in the market. The effectiveness of the virtual world in I4.0 environment is explored using simulation of reverse logistics model involving operations such as inventory and production planning policy, family-based dispatching rules of remanufacturing, and additive manufacturing. The remanufacturing model examines the trade-off between set-up delays and the availability of green transportation. For managerial insights, Taguchi experimental design framework has been used for the analysis. Based on the trade-off analysis between environmental and economic performances, the findings of the paper suggest appropriate combinations of information-sharing and family-based dispatching rules. Further, the findings suggest that, given the I4.0 and circular capabilities, it is necessary to focus on the cost of the socially influenced operations involving factors such as collection investment and size of the end-user market that governs the product returns. Therefore, in the present paper, the integration of I4.0 and CE represents a real-time decision model for the sustainable reverse logistics system. © 2019 Elsevier B.V.","container-title":"Resources, Conservation and Recycling","DOI":"10.1016/j.resconrec.2019.104583","ISSN":"09213449","language":"English","note":"publisher: Elsevier B.V.\ntype: Article","title":"Industry 4.0 and circular economy: Operational excellence for sustainable reverse supply chain performance","URL":"https://www.scopus.com/inward/record.uri?eid=2-s2.0-85075058351&amp;doi=10.1016%2fj.resconrec.2019.104583&amp;partnerID=40&amp;md5=c216612fd4c98370f181e631277c950d","volume":"153","author":[{"family":"Dev","given":"Navin K."},{"family":"Shankar","given":"Ravi"},{"family":"Qaiser","given":"Fahham Hasan"}],"issued":{"date-parts":[["2020"]]}}},{"id":3017,"uris":["http://zotero.org/users/local/Alzi7ROo/items/GGAPX97V"],"itemData":{"id":3017,"type":"article-journal","abstract":"Abstract\n            Despite the increasing interest of business and academic research toward Circular Economy, the investigation of its uptake by industry remains limited. To contribute to filling this gap, we perform a systematic review of 46 corporate sustainability reports in the Fast‐Moving Consumer Goods sector aiming to explore how companies incorporate the Circular Economy concept in their sustainability agenda. We focus on (i) companies’ uptake of Circular Economy, (ii) the relationship between Circular Economy and sustainability and (iii) the Circular Economy practices presented. Our results show that Circular Economy has started to be integrated into the corporate sustainability agenda. Most reported activities are oriented toward the main product and packaging, focusing on end‐of‐life management and sourcing strategies, and to a lesser extent on circular product design and business model strategies. Most identified collaborations are with businesses, whereas initiatives addressing consumers are largely missing although considered critical for the transition toward Circular Economy.","container-title":"Business Strategy and the Environment","DOI":"10.1002/bse.2048","ISSN":"0964-4733, 1099-0836","issue":"7","journalAbbreviation":"Bus Strat Env","language":"en","page":"1005-1022","source":"DOI.org (Crossref)","title":"Circular economy in corporate sustainability strategies: A review of corporate sustainability reports in the fast‐moving consumer goods sector","title-short":"Circular economy in corporate sustainability strategies","volume":"27","author":[{"family":"Stewart","given":"Raphaëlle"},{"family":"Niero","given":"Monia"}],"issued":{"date-parts":[["2018",11]]}}}],"schema":"https://github.com/citation-style-language/schema/raw/master/csl-citation.json"} </w:instrText>
      </w:r>
      <w:r w:rsidR="00D83BC7" w:rsidRPr="00D47A9A">
        <w:rPr>
          <w:rFonts w:eastAsia="Calibri"/>
          <w:sz w:val="26"/>
          <w:szCs w:val="26"/>
          <w:lang w:val="en-US"/>
        </w:rPr>
        <w:fldChar w:fldCharType="separate"/>
      </w:r>
      <w:r w:rsidR="008809A9" w:rsidRPr="00D47A9A">
        <w:rPr>
          <w:rFonts w:eastAsia="Calibri"/>
          <w:sz w:val="26"/>
          <w:szCs w:val="26"/>
          <w:lang w:val="en-US"/>
        </w:rPr>
        <w:t>Dev et al., 2019; Stewart &amp; Niero, 2018</w:t>
      </w:r>
      <w:r w:rsidR="00D83BC7" w:rsidRPr="00D47A9A">
        <w:rPr>
          <w:rFonts w:eastAsia="Calibri"/>
          <w:sz w:val="26"/>
          <w:szCs w:val="26"/>
          <w:lang w:val="en-US"/>
        </w:rPr>
        <w:t>)</w:t>
      </w:r>
      <w:r w:rsidR="00D83BC7" w:rsidRPr="00D47A9A">
        <w:rPr>
          <w:rFonts w:eastAsia="Calibri"/>
          <w:sz w:val="26"/>
          <w:szCs w:val="26"/>
          <w:lang w:val="en-US"/>
        </w:rPr>
        <w:fldChar w:fldCharType="end"/>
      </w:r>
      <w:r w:rsidR="00DE25EC" w:rsidRPr="00D47A9A">
        <w:rPr>
          <w:rFonts w:eastAsia="Calibri"/>
          <w:sz w:val="26"/>
          <w:szCs w:val="26"/>
          <w:lang w:val="en-US"/>
        </w:rPr>
        <w:t>.</w:t>
      </w:r>
      <w:r w:rsidR="006A5239" w:rsidRPr="00D47A9A">
        <w:rPr>
          <w:rFonts w:eastAsia="Calibri"/>
          <w:sz w:val="26"/>
          <w:szCs w:val="26"/>
          <w:lang w:val="en-US"/>
        </w:rPr>
        <w:t xml:space="preserve"> </w:t>
      </w:r>
      <w:r w:rsidR="00C33B83" w:rsidRPr="00D47A9A">
        <w:rPr>
          <w:rFonts w:eastAsia="Calibri"/>
          <w:sz w:val="26"/>
          <w:szCs w:val="26"/>
          <w:lang w:val="en-US"/>
        </w:rPr>
        <w:t xml:space="preserve">The integration of the circular economy and supply chain management is known as circular supply chain management </w:t>
      </w:r>
      <w:r w:rsidR="00DE25EC" w:rsidRPr="00D47A9A">
        <w:rPr>
          <w:rFonts w:eastAsia="Calibri"/>
          <w:sz w:val="26"/>
          <w:szCs w:val="26"/>
          <w:lang w:val="en-US"/>
        </w:rPr>
        <w:t>(CSCM)</w:t>
      </w:r>
      <w:r w:rsidR="009D49A1">
        <w:rPr>
          <w:rFonts w:eastAsia="Calibri"/>
          <w:sz w:val="26"/>
          <w:szCs w:val="26"/>
          <w:lang w:val="en-US"/>
        </w:rPr>
        <w:t>, which</w:t>
      </w:r>
      <w:r w:rsidR="00D633B9" w:rsidRPr="00D47A9A">
        <w:rPr>
          <w:rFonts w:eastAsia="Calibri"/>
          <w:sz w:val="26"/>
          <w:szCs w:val="26"/>
          <w:lang w:val="en-US"/>
        </w:rPr>
        <w:t xml:space="preserve"> provides </w:t>
      </w:r>
      <w:r w:rsidR="00DE25EC" w:rsidRPr="00D47A9A">
        <w:rPr>
          <w:rFonts w:eastAsia="Calibri"/>
          <w:sz w:val="26"/>
          <w:szCs w:val="26"/>
          <w:lang w:val="en-US"/>
        </w:rPr>
        <w:t xml:space="preserve">a transformational solution to the complex interplay between market demand and consumer behavior </w:t>
      </w:r>
      <w:r w:rsidR="00DE25EC" w:rsidRPr="00D47A9A">
        <w:rPr>
          <w:rFonts w:eastAsia="Calibri"/>
          <w:sz w:val="26"/>
          <w:szCs w:val="26"/>
          <w:lang w:val="en-US"/>
        </w:rPr>
        <w:fldChar w:fldCharType="begin"/>
      </w:r>
      <w:r w:rsidR="000165CA" w:rsidRPr="00D47A9A">
        <w:rPr>
          <w:rFonts w:eastAsia="Calibri"/>
          <w:sz w:val="26"/>
          <w:szCs w:val="26"/>
          <w:lang w:val="en-US"/>
        </w:rPr>
        <w:instrText xml:space="preserve"> ADDIN ZOTERO_ITEM CSL_CITATION {"citationID":"uTCnPYda","properties":{"formattedCitation":"(Zhang et al., 2021)","plainCitation":"(Zhang et al., 2021)","noteIndex":0},"citationItems":[{"id":113,"uris":["http://zotero.org/users/local/Alzi7ROo/items/SZJV4RYG"],"itemData":{"id":113,"type":"article-journal","abstract":"Y The circular economy (CE) concept has gained wide attention in practice as well as in academia in recent years. This paper reviews the state-of-the-art practices and research in “circular supply chain management” (CSCM), i.e., the integration of CE thinking into supply chain management (SCM) with the goal of achieving “zero wastes”. The review covers 68 real-life CE implementation cases collected by the Ellen MacArthur Foundation and 124 publications in well-established, highranking academic journals in operations and supply chain management. The comparative review shows that CSCM encompasses multiple dimensions, including closed-loop SCM, reverse SCM, remanufacturing SCM, recycling SCM, and industrial symbiosis. A multi-dimensional CSCM (MD-CSCM) framework is developed to synthesize their interrelationships and to categorize academic publications into multiple research themes. Based on the identified research-practice gaps and pressing research needs, this study discusses important directions for future studies to advance supply chain circularity.","container-title":"TRANSPORTATION RESEARCH PART E-LOGISTICS AND TRANSPORTATION REVIEW","DOI":"10.1016/j.tre.2021.102509","ISSN":"1366-5545","language":"English","note":"publisher-place: THE BOULEVARD, LANGFORD LANE, KIDLINGTON, OXFORD OX5 1GB, ENGLAND\npublisher: PERGAMON-ELSEVIER SCIENCE LTD\ntype: Review","title":"Multi-dimensional circular supply chain management: A comparative review of the state-of-the-art practices and research","volume":"155","author":[{"family":"Zhang","given":"Abraham"},{"family":"Wang","given":"Jason X."},{"family":"Farooque","given":"Muhammad"},{"family":"Wang","given":"Yulan"},{"family":"Choi","given":"Tsan-Ming"}],"issued":{"date-parts":[["2021",10]]}}}],"schema":"https://github.com/citation-style-language/schema/raw/master/csl-citation.json"} </w:instrText>
      </w:r>
      <w:r w:rsidR="00DE25EC" w:rsidRPr="00D47A9A">
        <w:rPr>
          <w:rFonts w:eastAsia="Calibri"/>
          <w:sz w:val="26"/>
          <w:szCs w:val="26"/>
          <w:lang w:val="en-US"/>
        </w:rPr>
        <w:fldChar w:fldCharType="separate"/>
      </w:r>
      <w:r w:rsidR="000165CA" w:rsidRPr="00D47A9A">
        <w:rPr>
          <w:rFonts w:eastAsia="Calibri"/>
          <w:sz w:val="26"/>
          <w:szCs w:val="26"/>
          <w:lang w:val="en-US"/>
        </w:rPr>
        <w:t>(Zhang et al., 2021)</w:t>
      </w:r>
      <w:r w:rsidR="00DE25EC" w:rsidRPr="00D47A9A">
        <w:rPr>
          <w:rFonts w:eastAsia="Calibri"/>
          <w:sz w:val="26"/>
          <w:szCs w:val="26"/>
          <w:lang w:val="en-US"/>
        </w:rPr>
        <w:fldChar w:fldCharType="end"/>
      </w:r>
      <w:r w:rsidR="00DE25EC" w:rsidRPr="00D47A9A">
        <w:rPr>
          <w:rFonts w:eastAsia="Calibri"/>
          <w:sz w:val="26"/>
          <w:szCs w:val="26"/>
          <w:lang w:val="en-US"/>
        </w:rPr>
        <w:t xml:space="preserve">. </w:t>
      </w:r>
    </w:p>
    <w:p w14:paraId="22AE74B2" w14:textId="25BBA29E" w:rsidR="00DE25EC" w:rsidRPr="00627B37" w:rsidRDefault="00DE25EC" w:rsidP="00824E69">
      <w:pPr>
        <w:widowControl w:val="0"/>
        <w:autoSpaceDE w:val="0"/>
        <w:autoSpaceDN w:val="0"/>
        <w:adjustRightInd w:val="0"/>
        <w:spacing w:line="300" w:lineRule="auto"/>
        <w:ind w:firstLine="360"/>
        <w:jc w:val="both"/>
        <w:rPr>
          <w:rFonts w:eastAsia="Calibri"/>
          <w:sz w:val="26"/>
          <w:szCs w:val="26"/>
          <w:lang w:val="en-US"/>
        </w:rPr>
      </w:pPr>
      <w:r w:rsidRPr="00627B37">
        <w:rPr>
          <w:rFonts w:eastAsia="Calibri"/>
          <w:sz w:val="26"/>
          <w:szCs w:val="26"/>
          <w:lang w:val="en-US"/>
        </w:rPr>
        <w:t xml:space="preserve">The </w:t>
      </w:r>
      <w:r w:rsidR="00DC21BF" w:rsidRPr="00627B37">
        <w:rPr>
          <w:rFonts w:eastAsia="Calibri"/>
          <w:sz w:val="26"/>
          <w:szCs w:val="26"/>
          <w:lang w:val="en-US"/>
        </w:rPr>
        <w:t>circular supply chain</w:t>
      </w:r>
      <w:r w:rsidRPr="00627B37">
        <w:rPr>
          <w:rFonts w:eastAsia="Calibri"/>
          <w:sz w:val="26"/>
          <w:szCs w:val="26"/>
          <w:lang w:val="en-US"/>
        </w:rPr>
        <w:t xml:space="preserve"> framework functions through the coordination of a networked chain with interdependent activities, players, and resources </w:t>
      </w:r>
      <w:r w:rsidRPr="00627B37">
        <w:rPr>
          <w:rFonts w:eastAsia="Calibri"/>
          <w:sz w:val="26"/>
          <w:szCs w:val="26"/>
          <w:lang w:val="en-US"/>
        </w:rPr>
        <w:fldChar w:fldCharType="begin"/>
      </w:r>
      <w:r w:rsidRPr="00627B37">
        <w:rPr>
          <w:rFonts w:eastAsia="Calibri"/>
          <w:sz w:val="26"/>
          <w:szCs w:val="26"/>
          <w:lang w:val="en-US"/>
        </w:rPr>
        <w:instrText xml:space="preserve"> ADDIN ZOTERO_ITEM CSL_CITATION {"citationID":"IPszeXqU","properties":{"formattedCitation":"(Gonz\\uc0\\u225{}lez-S\\uc0\\u225{}nchez et al., 2020)","plainCitation":"(González-Sánchez et al., 2020)","noteIndex":0},"citationItems":[{"id":806,"uris":["http://zotero.org/users/local/Alzi7ROo/items/LK9Z9M3D"],"itemData":{"id":806,"type":"article-journal","abstract":"Circular economy is an alternative to the traditional production model and has therefore attracted a great deal of attention fromresearchers. The change in the production system is accompanied by new logistical needs related both to resources and waste and to the distribution and recovery of products. The circular supply chain involves return processes and the manufacturer intends to capture additional value in the supply chain. In this paper, value chains have been mapped to visualize the links and interactions between the different stages and actors to understand the complexities of these systems and to make informed decisions. For this reason, and based on thorough literature review, the final objective of this work is to achieve a conceptual framework to study circular supply chain, which uses the main theoretical perspectives in strategic management literature. Four dimensions have been identified to support the development of these new supply chains-greater intensity in the relationships established in the supply chain, adaptation of logistics and organizational, disruptive and smart technologies, and a functioning environment. It can be concluded that to develop a new relationship capacity will allow for reaching more frequent, closer relationships with more actors. These relationships will be developed within an adapted organizational and logistical framework that is framed in new business model archetypes. However, dimensions related to the business environment such as sectoral, legislative, and fiscal frameworks must be incorporated. © 2020 by the authors. Licensee MDPI, Basel, Switzerland.","container-title":"Sustainability (Switzerland)","DOI":"10.3390/su12062459","ISSN":"20711050","issue":"6","language":"English","note":"publisher: MDPI\ntype: Review","title":"Main dimensions in the building of the circular supply chain: A literature review","URL":"https://www.scopus.com/inward/record.uri?eid=2-s2.0-85082868415&amp;doi=10.3390%2fsu12062459&amp;partnerID=40&amp;md5=31bcf973e18a5887ab9d19c7b778b764","volume":"12","author":[{"family":"González-Sánchez","given":"Rocío"},{"family":"Settembre-Blundo","given":"Davide"},{"family":"Ferrari","given":"Anna Maria"},{"family":"García-Muiña","given":"Fernando E."}],"issued":{"date-parts":[["2020"]]}}}],"schema":"https://github.com/citation-style-language/schema/raw/master/csl-citation.json"} </w:instrText>
      </w:r>
      <w:r w:rsidRPr="00627B37">
        <w:rPr>
          <w:rFonts w:eastAsia="Calibri"/>
          <w:sz w:val="26"/>
          <w:szCs w:val="26"/>
          <w:lang w:val="en-US"/>
        </w:rPr>
        <w:fldChar w:fldCharType="separate"/>
      </w:r>
      <w:r w:rsidRPr="00627B37">
        <w:rPr>
          <w:rFonts w:eastAsia="Calibri"/>
          <w:sz w:val="26"/>
          <w:szCs w:val="26"/>
          <w:lang w:val="en-US"/>
        </w:rPr>
        <w:t>(González-Sánchez et al., 2020)</w:t>
      </w:r>
      <w:r w:rsidRPr="00627B37">
        <w:rPr>
          <w:rFonts w:eastAsia="Calibri"/>
          <w:sz w:val="26"/>
          <w:szCs w:val="26"/>
          <w:lang w:val="en-US"/>
        </w:rPr>
        <w:fldChar w:fldCharType="end"/>
      </w:r>
      <w:r w:rsidRPr="00627B37">
        <w:rPr>
          <w:rFonts w:eastAsia="Calibri"/>
          <w:sz w:val="26"/>
          <w:szCs w:val="26"/>
          <w:lang w:val="en-US"/>
        </w:rPr>
        <w:t>. Its main objective is t</w:t>
      </w:r>
      <w:r w:rsidR="009D49A1">
        <w:rPr>
          <w:rFonts w:eastAsia="Calibri"/>
          <w:sz w:val="26"/>
          <w:szCs w:val="26"/>
          <w:lang w:val="en-US"/>
        </w:rPr>
        <w:t>o create</w:t>
      </w:r>
      <w:r w:rsidRPr="00627B37">
        <w:rPr>
          <w:rFonts w:eastAsia="Calibri"/>
          <w:sz w:val="26"/>
          <w:szCs w:val="26"/>
          <w:lang w:val="en-US"/>
        </w:rPr>
        <w:t xml:space="preserve"> value by </w:t>
      </w:r>
      <w:r w:rsidR="009D49A1">
        <w:rPr>
          <w:rFonts w:eastAsia="Calibri"/>
          <w:sz w:val="26"/>
          <w:szCs w:val="26"/>
          <w:lang w:val="en-US"/>
        </w:rPr>
        <w:t>strategic</w:t>
      </w:r>
      <w:r w:rsidRPr="00627B37">
        <w:rPr>
          <w:rFonts w:eastAsia="Calibri"/>
          <w:sz w:val="26"/>
          <w:szCs w:val="26"/>
          <w:lang w:val="en-US"/>
        </w:rPr>
        <w:t>ally implementing recycling, reuse</w:t>
      </w:r>
      <w:r w:rsidR="009D49A1">
        <w:rPr>
          <w:rFonts w:eastAsia="Calibri"/>
          <w:sz w:val="26"/>
          <w:szCs w:val="26"/>
          <w:lang w:val="en-US"/>
        </w:rPr>
        <w:t>,</w:t>
      </w:r>
      <w:r w:rsidRPr="00627B37">
        <w:rPr>
          <w:rFonts w:eastAsia="Calibri"/>
          <w:sz w:val="26"/>
          <w:szCs w:val="26"/>
          <w:lang w:val="en-US"/>
        </w:rPr>
        <w:t xml:space="preserve"> and regeneration processes throughout the life cycle </w:t>
      </w:r>
      <w:r w:rsidRPr="00627B37">
        <w:rPr>
          <w:rFonts w:eastAsia="Calibri"/>
          <w:sz w:val="26"/>
          <w:szCs w:val="26"/>
          <w:lang w:val="en-US"/>
        </w:rPr>
        <w:fldChar w:fldCharType="begin"/>
      </w:r>
      <w:r w:rsidRPr="00627B37">
        <w:rPr>
          <w:rFonts w:eastAsia="Calibri"/>
          <w:sz w:val="26"/>
          <w:szCs w:val="26"/>
          <w:lang w:val="en-US"/>
        </w:rPr>
        <w:instrText xml:space="preserve"> ADDIN ZOTERO_ITEM CSL_CITATION {"citationID":"XvWtmBUR","properties":{"formattedCitation":"(Nag et al., 2021)","plainCitation":"(Nag et al., 2021)","noteIndex":0},"citationItems":[{"id":2454,"uris":["http://zotero.org/users/local/Alzi7ROo/items/QSHTW3YI"],"itemData":{"id":2454,"type":"article-journal","container-title":"Journal of Cleaner Production","note":"publisher: Elsevier","page":"128629","source":"Google Scholar","title":"Investigating drivers of circular supply chain with product-service system in automotive firms of an emerging economy","volume":"319","author":[{"family":"Nag","given":"Ujjwal"},{"family":"Sharma","given":"Satyendra Kumar"},{"family":"Govindan","given":"Kannan"}],"issued":{"date-parts":[["2021"]]}}}],"schema":"https://github.com/citation-style-language/schema/raw/master/csl-citation.json"} </w:instrText>
      </w:r>
      <w:r w:rsidRPr="00627B37">
        <w:rPr>
          <w:rFonts w:eastAsia="Calibri"/>
          <w:sz w:val="26"/>
          <w:szCs w:val="26"/>
          <w:lang w:val="en-US"/>
        </w:rPr>
        <w:fldChar w:fldCharType="separate"/>
      </w:r>
      <w:r w:rsidRPr="00627B37">
        <w:rPr>
          <w:rFonts w:eastAsia="Calibri"/>
          <w:sz w:val="26"/>
          <w:szCs w:val="26"/>
          <w:lang w:val="en-US"/>
        </w:rPr>
        <w:t>(Nag et al., 2021)</w:t>
      </w:r>
      <w:r w:rsidRPr="00627B37">
        <w:rPr>
          <w:rFonts w:eastAsia="Calibri"/>
          <w:sz w:val="26"/>
          <w:szCs w:val="26"/>
          <w:lang w:val="en-US"/>
        </w:rPr>
        <w:fldChar w:fldCharType="end"/>
      </w:r>
      <w:r w:rsidRPr="00627B37">
        <w:rPr>
          <w:rFonts w:eastAsia="Calibri"/>
          <w:sz w:val="26"/>
          <w:szCs w:val="26"/>
          <w:lang w:val="en-US"/>
        </w:rPr>
        <w:t xml:space="preserve">. CSCM enables enterprises to act proactively </w:t>
      </w:r>
      <w:r w:rsidR="009D49A1">
        <w:rPr>
          <w:rFonts w:eastAsia="Calibri"/>
          <w:sz w:val="26"/>
          <w:szCs w:val="26"/>
          <w:lang w:val="en-US"/>
        </w:rPr>
        <w:t>in achieving their</w:t>
      </w:r>
      <w:r w:rsidRPr="00627B37">
        <w:rPr>
          <w:rFonts w:eastAsia="Calibri"/>
          <w:sz w:val="26"/>
          <w:szCs w:val="26"/>
          <w:lang w:val="en-US"/>
        </w:rPr>
        <w:t xml:space="preserve"> sustainability goals. Therefore, this strategy </w:t>
      </w:r>
      <w:r w:rsidR="00B57D08">
        <w:rPr>
          <w:rFonts w:eastAsia="Calibri"/>
          <w:sz w:val="26"/>
          <w:szCs w:val="26"/>
          <w:lang w:val="en-US"/>
        </w:rPr>
        <w:t>allows organizations</w:t>
      </w:r>
      <w:r w:rsidRPr="00627B37">
        <w:rPr>
          <w:rFonts w:eastAsia="Calibri"/>
          <w:sz w:val="26"/>
          <w:szCs w:val="26"/>
          <w:lang w:val="en-US"/>
        </w:rPr>
        <w:t xml:space="preserve"> to simultaneously</w:t>
      </w:r>
      <w:r w:rsidR="00DC21BF" w:rsidRPr="00627B37">
        <w:rPr>
          <w:rFonts w:eastAsia="Calibri"/>
          <w:sz w:val="26"/>
          <w:szCs w:val="26"/>
          <w:lang w:val="en-US"/>
        </w:rPr>
        <w:t xml:space="preserve"> reduce environmental impact, minimize waste, emissions, and </w:t>
      </w:r>
      <w:r w:rsidR="009D49A1">
        <w:rPr>
          <w:rFonts w:eastAsia="Calibri"/>
          <w:sz w:val="26"/>
          <w:szCs w:val="26"/>
          <w:lang w:val="en-US"/>
        </w:rPr>
        <w:t>resource consumption throughout</w:t>
      </w:r>
      <w:r w:rsidR="00DC21BF" w:rsidRPr="00627B37">
        <w:rPr>
          <w:rFonts w:eastAsia="Calibri"/>
          <w:sz w:val="26"/>
          <w:szCs w:val="26"/>
          <w:lang w:val="en-US"/>
        </w:rPr>
        <w:t xml:space="preserve"> the supply chain design</w:t>
      </w:r>
      <w:r w:rsidR="009D49A1">
        <w:rPr>
          <w:rFonts w:eastAsia="Calibri"/>
          <w:sz w:val="26"/>
          <w:szCs w:val="26"/>
          <w:lang w:val="en-US"/>
        </w:rPr>
        <w:t>,</w:t>
      </w:r>
      <w:r w:rsidR="00DC21BF" w:rsidRPr="00627B37">
        <w:rPr>
          <w:rFonts w:eastAsia="Calibri"/>
          <w:sz w:val="26"/>
          <w:szCs w:val="26"/>
          <w:lang w:val="en-US"/>
        </w:rPr>
        <w:t xml:space="preserve"> while also contributing to a more sustainable future </w:t>
      </w:r>
      <w:r w:rsidR="00DC21BF" w:rsidRPr="00627B37">
        <w:rPr>
          <w:rFonts w:eastAsia="Calibri"/>
          <w:sz w:val="26"/>
          <w:szCs w:val="26"/>
          <w:lang w:val="en-US"/>
        </w:rPr>
        <w:fldChar w:fldCharType="begin"/>
      </w:r>
      <w:r w:rsidR="00DC21BF" w:rsidRPr="00627B37">
        <w:rPr>
          <w:rFonts w:eastAsia="Calibri"/>
          <w:sz w:val="26"/>
          <w:szCs w:val="26"/>
          <w:lang w:val="en-US"/>
        </w:rPr>
        <w:instrText xml:space="preserve"> ADDIN ZOTERO_ITEM CSL_CITATION {"citationID":"lxWLqPhB","properties":{"formattedCitation":"(V. K. Jain et al., 2025; Montag, 2023)","plainCitation":"(V. K. Jain et al., 2025; Montag, 2023)","noteIndex":0},"citationItems":[{"id":3797,"uris":["http://zotero.org/users/local/Alzi7ROo/items/K2YF5UCX"],"itemData":{"id":3797,"type":"article-journal","abstract":"The concept of a circular supply chain is becoming increasingly important in view of rising environmental concerns. Because traditional linear supply chains based on the \"take, make, dispose\" concept contribute significantly to resource depletion, waste generation, and environmental damage, implementing a circular supply chain can help organisations reduce their environmental impact, improve resource efficiency, and contribute to a more sustainable future. The objective of the current study is to identify the factors affecting implementation of the circular supply chain in India, examine the ways in which these factors interact, and finally rank them. A total of seventeen drivers were identified based on literature and expert opinions. Data was analysed using hybrid methodology combining Fuzzy Delphi Method, ISM technique and AHP approach. The findings show that environmental regulation (F1), climate change (F3), and green production processes (F2) are the most important and essential factors for creating circular supply chains. According to the study's conclusions, the industry will be encouraged to adopt a circular supply chain, which has major benefits for both businesses and society. By showcasing a dedication to sustainability and drawing in eco-aware clients and investors, a company's reputation can be enhanced by implementing a circular supply chain. A circular supply chain significantly reduces the amount of waste sent to landfills and incinerators, as well as the exploitation of natural resources, from an environmental standpoint.","container-title":"Circular Economy and Sustainability","DOI":"10.1007/s43615-025-00511-9","ISSN":"2730-5988","issue":"3","journalAbbreviation":"Circ.Econ.Sust.","language":"en","page":"2197-2228","source":"Springer Link","title":"Circular Economy: Developing Framework for Circular Supply Chain Implementation for Energy Efficient Solution in Industry 4.0","title-short":"Circular Economy","volume":"5","author":[{"family":"Jain","given":"Vijay Kumar"},{"family":"Singh","given":"Shrish"},{"family":"Sharma","given":"Preeti"}],"issued":{"date-parts":[["2025",6,1]]}}},{"id":2448,"uris":["http://zotero.org/users/local/Alzi7ROo/items/K4278SGT"],"itemData":{"id":2448,"type":"article-journal","abstract":"Circular supply chain management (CSCM) incorporates circular thinking — based on the circular economy paradigm — into supply chain management. In the last 5 years, this emerging research field has developed at a rapid pace and, as a result, has attracted great interest from researchers, policy-makers, and practitioners. As there are few studies on the theoretical conceptualization of the circular supply chain (CSC), especially on its definition, this paper aims to fill this gap and to provide conceptual transparency for the CSC framework. The main research question is “What are the current understandings among scholars of the CSC concept and CSCM framework?”.","container-title":"Circular Economy and Sustainability","DOI":"10.1007/s43615-022-00172-y","ISSN":"2730-5988","issue":"1","journalAbbreviation":"Circ.Econ.Sust.","language":"en","page":"35-75","source":"Springer Link","title":"Circular Economy and Supply Chains: Definitions, Conceptualizations, and Research Agenda of the Circular Supply Chain Framework","title-short":"Circular Economy and Supply Chains","volume":"3","author":[{"family":"Montag","given":"Laura"}],"issued":{"date-parts":[["2023",3,1]]}}}],"schema":"https://github.com/citation-style-language/schema/raw/master/csl-citation.json"} </w:instrText>
      </w:r>
      <w:r w:rsidR="00DC21BF" w:rsidRPr="00627B37">
        <w:rPr>
          <w:rFonts w:eastAsia="Calibri"/>
          <w:sz w:val="26"/>
          <w:szCs w:val="26"/>
          <w:lang w:val="en-US"/>
        </w:rPr>
        <w:fldChar w:fldCharType="separate"/>
      </w:r>
      <w:r w:rsidR="00DC21BF" w:rsidRPr="00627B37">
        <w:rPr>
          <w:rFonts w:eastAsia="Calibri"/>
          <w:sz w:val="26"/>
          <w:szCs w:val="26"/>
          <w:lang w:val="en-US"/>
        </w:rPr>
        <w:t>(</w:t>
      </w:r>
      <w:r w:rsidR="00C4623F" w:rsidRPr="00627B37">
        <w:rPr>
          <w:rFonts w:eastAsia="Calibri"/>
          <w:sz w:val="26"/>
          <w:szCs w:val="26"/>
          <w:lang w:val="en-US"/>
        </w:rPr>
        <w:t xml:space="preserve">V. K. Jain et al., </w:t>
      </w:r>
      <w:r w:rsidR="008809A9" w:rsidRPr="00627B37">
        <w:rPr>
          <w:rFonts w:eastAsia="Calibri"/>
          <w:sz w:val="26"/>
          <w:szCs w:val="26"/>
          <w:lang w:val="en-US"/>
        </w:rPr>
        <w:t>2025; Montag, 2022</w:t>
      </w:r>
      <w:r w:rsidR="00DC21BF" w:rsidRPr="00627B37">
        <w:rPr>
          <w:rFonts w:eastAsia="Calibri"/>
          <w:sz w:val="26"/>
          <w:szCs w:val="26"/>
          <w:lang w:val="en-US"/>
        </w:rPr>
        <w:t>)</w:t>
      </w:r>
      <w:r w:rsidR="00DC21BF" w:rsidRPr="00627B37">
        <w:rPr>
          <w:rFonts w:eastAsia="Calibri"/>
          <w:sz w:val="26"/>
          <w:szCs w:val="26"/>
          <w:lang w:val="en-US"/>
        </w:rPr>
        <w:fldChar w:fldCharType="end"/>
      </w:r>
      <w:r w:rsidRPr="00627B37">
        <w:rPr>
          <w:rFonts w:eastAsia="Calibri"/>
          <w:sz w:val="26"/>
          <w:szCs w:val="26"/>
          <w:lang w:val="en-US"/>
        </w:rPr>
        <w:t xml:space="preserve">. This integrated strategy promotes a more resource- and environmentally conscious supply chain by aligning </w:t>
      </w:r>
      <w:r w:rsidR="009D49A1">
        <w:rPr>
          <w:rFonts w:eastAsia="Calibri"/>
          <w:sz w:val="26"/>
          <w:szCs w:val="26"/>
          <w:lang w:val="en-US"/>
        </w:rPr>
        <w:t xml:space="preserve">perfectly </w:t>
      </w:r>
      <w:r w:rsidRPr="00627B37">
        <w:rPr>
          <w:rFonts w:eastAsia="Calibri"/>
          <w:sz w:val="26"/>
          <w:szCs w:val="26"/>
          <w:lang w:val="en-US"/>
        </w:rPr>
        <w:t xml:space="preserve">with the </w:t>
      </w:r>
      <w:r w:rsidR="009D49A1">
        <w:rPr>
          <w:rFonts w:eastAsia="Calibri"/>
          <w:sz w:val="26"/>
          <w:szCs w:val="26"/>
          <w:lang w:val="en-US"/>
        </w:rPr>
        <w:t xml:space="preserve">tenets of the </w:t>
      </w:r>
      <w:r w:rsidRPr="00627B37">
        <w:rPr>
          <w:rFonts w:eastAsia="Calibri"/>
          <w:sz w:val="26"/>
          <w:szCs w:val="26"/>
          <w:lang w:val="en-US"/>
        </w:rPr>
        <w:t>circular economy.</w:t>
      </w:r>
    </w:p>
    <w:p w14:paraId="3D76A9B5" w14:textId="51CEE76C" w:rsidR="00601C4F" w:rsidRPr="00627B37" w:rsidRDefault="00601C4F" w:rsidP="00824E69">
      <w:pPr>
        <w:widowControl w:val="0"/>
        <w:autoSpaceDE w:val="0"/>
        <w:autoSpaceDN w:val="0"/>
        <w:adjustRightInd w:val="0"/>
        <w:spacing w:line="300" w:lineRule="auto"/>
        <w:ind w:firstLine="360"/>
        <w:jc w:val="both"/>
        <w:rPr>
          <w:rFonts w:eastAsia="Calibri"/>
          <w:sz w:val="26"/>
          <w:szCs w:val="26"/>
          <w:lang w:val="en-US"/>
        </w:rPr>
      </w:pPr>
      <w:r w:rsidRPr="00627B37">
        <w:rPr>
          <w:rFonts w:eastAsia="Calibri"/>
          <w:sz w:val="26"/>
          <w:szCs w:val="26"/>
          <w:lang w:val="en-US"/>
        </w:rPr>
        <w:t>Circular Supply Chain Enablers (CSCE</w:t>
      </w:r>
      <w:r w:rsidR="009D49A1">
        <w:rPr>
          <w:rFonts w:eastAsia="Calibri"/>
          <w:sz w:val="26"/>
          <w:szCs w:val="26"/>
          <w:lang w:val="en-US"/>
        </w:rPr>
        <w:t>s</w:t>
      </w:r>
      <w:r w:rsidRPr="00627B37">
        <w:rPr>
          <w:rFonts w:eastAsia="Calibri"/>
          <w:sz w:val="26"/>
          <w:szCs w:val="26"/>
          <w:lang w:val="en-US"/>
        </w:rPr>
        <w:t>) are essential elements due to their assistance and enabling effect on implementing the principles of the circular economy (CE) in supply chain activit</w:t>
      </w:r>
      <w:r w:rsidR="009D49A1">
        <w:rPr>
          <w:rFonts w:eastAsia="Calibri"/>
          <w:sz w:val="26"/>
          <w:szCs w:val="26"/>
          <w:lang w:val="en-US"/>
        </w:rPr>
        <w:t>ies</w:t>
      </w:r>
      <w:r w:rsidRPr="00627B37">
        <w:rPr>
          <w:rFonts w:eastAsia="Calibri"/>
          <w:sz w:val="26"/>
          <w:szCs w:val="26"/>
          <w:lang w:val="en-US"/>
        </w:rPr>
        <w:t xml:space="preserve">. Circular practices </w:t>
      </w:r>
      <w:r w:rsidR="009D49A1">
        <w:rPr>
          <w:rFonts w:eastAsia="Calibri"/>
          <w:sz w:val="26"/>
          <w:szCs w:val="26"/>
          <w:lang w:val="en-US"/>
        </w:rPr>
        <w:t>remain</w:t>
      </w:r>
      <w:r w:rsidRPr="00627B37">
        <w:rPr>
          <w:rFonts w:eastAsia="Calibri"/>
          <w:sz w:val="26"/>
          <w:szCs w:val="26"/>
          <w:lang w:val="en-US"/>
        </w:rPr>
        <w:t xml:space="preserve"> </w:t>
      </w:r>
      <w:r w:rsidR="006650C9">
        <w:rPr>
          <w:rFonts w:eastAsia="Calibri"/>
          <w:sz w:val="26"/>
          <w:szCs w:val="26"/>
          <w:lang w:val="en-US"/>
        </w:rPr>
        <w:t>a significant challenge</w:t>
      </w:r>
      <w:r w:rsidRPr="00627B37">
        <w:rPr>
          <w:rFonts w:eastAsia="Calibri"/>
          <w:sz w:val="26"/>
          <w:szCs w:val="26"/>
          <w:lang w:val="en-US"/>
        </w:rPr>
        <w:t xml:space="preserve"> </w:t>
      </w:r>
      <w:r w:rsidR="009D49A1">
        <w:rPr>
          <w:rFonts w:eastAsia="Calibri"/>
          <w:sz w:val="26"/>
          <w:szCs w:val="26"/>
          <w:lang w:val="en-US"/>
        </w:rPr>
        <w:t>for</w:t>
      </w:r>
      <w:r w:rsidRPr="00627B37">
        <w:rPr>
          <w:rFonts w:eastAsia="Calibri"/>
          <w:sz w:val="26"/>
          <w:szCs w:val="26"/>
          <w:lang w:val="en-US"/>
        </w:rPr>
        <w:t xml:space="preserve"> most organizations </w:t>
      </w:r>
      <w:r w:rsidR="008743E8" w:rsidRPr="00627B37">
        <w:rPr>
          <w:rFonts w:eastAsia="Calibri"/>
          <w:sz w:val="26"/>
          <w:szCs w:val="26"/>
          <w:lang w:val="en-US"/>
        </w:rPr>
        <w:fldChar w:fldCharType="begin"/>
      </w:r>
      <w:r w:rsidR="008743E8" w:rsidRPr="00627B37">
        <w:rPr>
          <w:rFonts w:eastAsia="Calibri"/>
          <w:sz w:val="26"/>
          <w:szCs w:val="26"/>
          <w:lang w:val="en-US"/>
        </w:rPr>
        <w:instrText xml:space="preserve"> ADDIN ZOTERO_ITEM CSL_CITATION {"citationID":"xaoeh4gE","properties":{"formattedCitation":"(Lieder &amp; Rashid, 2016)","plainCitation":"(Lieder &amp; Rashid, 2016)","noteIndex":0},"citationItems":[{"id":1268,"uris":["http://zotero.org/users/local/Alzi7ROo/items/MU7B2BBH"],"itemData":{"id":1268,"type":"article-journal","container-title":"Journal of cleaner production","note":"publisher: Elsevier","page":"36–51","source":"Google Scholar","title":"Towards circular economy implementation: a comprehensive review in context of manufacturing industry","title-short":"Towards circular economy implementation","volume":"115","author":[{"family":"Lieder","given":"Michael"},{"family":"Rashid","given":"Amir"}],"issued":{"date-parts":[["2016"]]}}}],"schema":"https://github.com/citation-style-language/schema/raw/master/csl-citation.json"} </w:instrText>
      </w:r>
      <w:r w:rsidR="008743E8" w:rsidRPr="00627B37">
        <w:rPr>
          <w:rFonts w:eastAsia="Calibri"/>
          <w:sz w:val="26"/>
          <w:szCs w:val="26"/>
          <w:lang w:val="en-US"/>
        </w:rPr>
        <w:fldChar w:fldCharType="separate"/>
      </w:r>
      <w:r w:rsidR="008743E8" w:rsidRPr="00627B37">
        <w:rPr>
          <w:rFonts w:eastAsia="Calibri"/>
          <w:sz w:val="26"/>
          <w:szCs w:val="26"/>
          <w:lang w:val="en-US"/>
        </w:rPr>
        <w:t>(Lieder &amp; Rashid, 201</w:t>
      </w:r>
      <w:r w:rsidR="008809A9" w:rsidRPr="00627B37">
        <w:rPr>
          <w:rFonts w:eastAsia="Calibri"/>
          <w:sz w:val="26"/>
          <w:szCs w:val="26"/>
          <w:lang w:val="en-US"/>
        </w:rPr>
        <w:t>5</w:t>
      </w:r>
      <w:r w:rsidR="008743E8" w:rsidRPr="00627B37">
        <w:rPr>
          <w:rFonts w:eastAsia="Calibri"/>
          <w:sz w:val="26"/>
          <w:szCs w:val="26"/>
          <w:lang w:val="en-US"/>
        </w:rPr>
        <w:t>)</w:t>
      </w:r>
      <w:r w:rsidR="008743E8" w:rsidRPr="00627B37">
        <w:rPr>
          <w:rFonts w:eastAsia="Calibri"/>
          <w:sz w:val="26"/>
          <w:szCs w:val="26"/>
          <w:lang w:val="en-US"/>
        </w:rPr>
        <w:fldChar w:fldCharType="end"/>
      </w:r>
      <w:r w:rsidRPr="00627B37">
        <w:rPr>
          <w:rFonts w:eastAsia="Calibri"/>
          <w:sz w:val="26"/>
          <w:szCs w:val="26"/>
          <w:lang w:val="en-US"/>
        </w:rPr>
        <w:t xml:space="preserve">. Nevertheless, its successful application can also be contingent on the availability of </w:t>
      </w:r>
      <w:r w:rsidR="009D49A1">
        <w:rPr>
          <w:rFonts w:eastAsia="Calibri"/>
          <w:sz w:val="26"/>
          <w:szCs w:val="26"/>
          <w:lang w:val="en-US"/>
        </w:rPr>
        <w:t>specific</w:t>
      </w:r>
      <w:r w:rsidRPr="00627B37">
        <w:rPr>
          <w:rFonts w:eastAsia="Calibri"/>
          <w:sz w:val="26"/>
          <w:szCs w:val="26"/>
          <w:lang w:val="en-US"/>
        </w:rPr>
        <w:t xml:space="preserve"> enabling drivers, which can collectively </w:t>
      </w:r>
      <w:r w:rsidR="009D49A1">
        <w:rPr>
          <w:rFonts w:eastAsia="Calibri"/>
          <w:sz w:val="26"/>
          <w:szCs w:val="26"/>
          <w:lang w:val="en-US"/>
        </w:rPr>
        <w:t>ensure</w:t>
      </w:r>
      <w:r w:rsidRPr="00627B37">
        <w:rPr>
          <w:rFonts w:eastAsia="Calibri"/>
          <w:sz w:val="26"/>
          <w:szCs w:val="26"/>
          <w:lang w:val="en-US"/>
        </w:rPr>
        <w:t xml:space="preserve"> </w:t>
      </w:r>
      <w:r w:rsidR="00CF7C39" w:rsidRPr="00627B37">
        <w:rPr>
          <w:rFonts w:eastAsia="Calibri"/>
          <w:sz w:val="26"/>
          <w:szCs w:val="26"/>
          <w:lang w:val="en-US"/>
        </w:rPr>
        <w:t xml:space="preserve">the </w:t>
      </w:r>
      <w:r w:rsidRPr="00627B37">
        <w:rPr>
          <w:rFonts w:eastAsia="Calibri"/>
          <w:sz w:val="26"/>
          <w:szCs w:val="26"/>
          <w:lang w:val="en-US"/>
        </w:rPr>
        <w:t xml:space="preserve">transition to circularity </w:t>
      </w:r>
      <w:r w:rsidR="00F31754" w:rsidRPr="00627B37">
        <w:rPr>
          <w:rFonts w:eastAsia="Calibri"/>
          <w:sz w:val="26"/>
          <w:szCs w:val="26"/>
          <w:lang w:val="en-US"/>
        </w:rPr>
        <w:fldChar w:fldCharType="begin"/>
      </w:r>
      <w:r w:rsidR="00F31754" w:rsidRPr="00627B37">
        <w:rPr>
          <w:rFonts w:eastAsia="Calibri"/>
          <w:sz w:val="26"/>
          <w:szCs w:val="26"/>
          <w:lang w:val="en-US"/>
        </w:rPr>
        <w:instrText xml:space="preserve"> ADDIN ZOTERO_ITEM CSL_CITATION {"citationID":"l6UGDd9t","properties":{"formattedCitation":"(Sharma &amp; Bhat, 2016)","plainCitation":"(Sharma &amp; Bhat, 2016)","noteIndex":0},"citationItems":[{"id":3801,"uris":["http://zotero.org/users/local/Alzi7ROo/items/PBIPQAXZ"],"itemData":{"id":3801,"type":"article-journal","abstract":"Supply chain (SC) risk management (SCRM) is a high-level concern for SC professionals. Supply chain risk management implementation is a difficult task because it requires involvement of various firms across the SC. For effective SCRM implementation, managers need to know the enabling factors and their relative importance. In this research, an empirical study on SC risk mitigation enablers was carried out in Indian automotive industry to examine the relationship between SCRM enablers and SCRM implementation. This relationship was tested using discriminant analysis. The research shows that the most important enabler is information visibility and it is followed by incentives alignment. Contingency planning is the third-most important enabler and last is risk management governance (RMG). Success of the SCRM implementation in terms of its efficiency and effectiveness can be assured by following the sequence of SCRM enablers suggested in this research.","container-title":"Global Business Review","DOI":"10.1177/0972150916645678","ISSN":"0972-1509, 0973-0664","issue":"4","journalAbbreviation":"Global Business Review","language":"en","page":"790-805","source":"DOI.org (Crossref)","title":"Risk Mitigation in Automotive Supply Chain: An Empirical Exploration of Enablers to Implement Supply Chain Risk Management","title-short":"Risk Mitigation in Automotive Supply Chain","volume":"17","author":[{"family":"Sharma","given":"Satyendra Kumar"},{"family":"Bhat","given":"Anil"}],"issued":{"date-parts":[["2016",8]]}}}],"schema":"https://github.com/citation-style-language/schema/raw/master/csl-citation.json"} </w:instrText>
      </w:r>
      <w:r w:rsidR="00F31754" w:rsidRPr="00627B37">
        <w:rPr>
          <w:rFonts w:eastAsia="Calibri"/>
          <w:sz w:val="26"/>
          <w:szCs w:val="26"/>
          <w:lang w:val="en-US"/>
        </w:rPr>
        <w:fldChar w:fldCharType="separate"/>
      </w:r>
      <w:r w:rsidR="00F31754" w:rsidRPr="00627B37">
        <w:rPr>
          <w:rFonts w:eastAsia="Calibri"/>
          <w:sz w:val="26"/>
          <w:szCs w:val="26"/>
          <w:lang w:val="en-US"/>
        </w:rPr>
        <w:t>(Sharma &amp; Bhat, 2016)</w:t>
      </w:r>
      <w:r w:rsidR="00F31754" w:rsidRPr="00627B37">
        <w:rPr>
          <w:rFonts w:eastAsia="Calibri"/>
          <w:sz w:val="26"/>
          <w:szCs w:val="26"/>
          <w:lang w:val="en-US"/>
        </w:rPr>
        <w:fldChar w:fldCharType="end"/>
      </w:r>
      <w:r w:rsidRPr="00627B37">
        <w:rPr>
          <w:rFonts w:eastAsia="Calibri"/>
          <w:sz w:val="26"/>
          <w:szCs w:val="26"/>
          <w:lang w:val="en-US"/>
        </w:rPr>
        <w:t xml:space="preserve">. Such enablers are crucial in circumventing these impediments and making </w:t>
      </w:r>
      <w:r w:rsidR="009D49A1">
        <w:rPr>
          <w:rFonts w:eastAsia="Calibri"/>
          <w:sz w:val="26"/>
          <w:szCs w:val="26"/>
          <w:lang w:val="en-US"/>
        </w:rPr>
        <w:t>circularity</w:t>
      </w:r>
      <w:r w:rsidRPr="00627B37">
        <w:rPr>
          <w:rFonts w:eastAsia="Calibri"/>
          <w:sz w:val="26"/>
          <w:szCs w:val="26"/>
          <w:lang w:val="en-US"/>
        </w:rPr>
        <w:t xml:space="preserve"> strategies </w:t>
      </w:r>
      <w:r w:rsidR="00171994">
        <w:rPr>
          <w:rFonts w:eastAsia="Calibri"/>
          <w:sz w:val="26"/>
          <w:szCs w:val="26"/>
          <w:lang w:val="en-US"/>
        </w:rPr>
        <w:t>an integral part of</w:t>
      </w:r>
      <w:r w:rsidRPr="00627B37">
        <w:rPr>
          <w:rFonts w:eastAsia="Calibri"/>
          <w:sz w:val="26"/>
          <w:szCs w:val="26"/>
          <w:lang w:val="en-US"/>
        </w:rPr>
        <w:t xml:space="preserve"> the entire </w:t>
      </w:r>
      <w:r w:rsidR="009D49A1">
        <w:rPr>
          <w:rFonts w:eastAsia="Calibri"/>
          <w:sz w:val="26"/>
          <w:szCs w:val="26"/>
          <w:lang w:val="en-US"/>
        </w:rPr>
        <w:t>supply chain</w:t>
      </w:r>
      <w:r w:rsidRPr="00627B37">
        <w:rPr>
          <w:rFonts w:eastAsia="Calibri"/>
          <w:sz w:val="26"/>
          <w:szCs w:val="26"/>
          <w:lang w:val="en-US"/>
        </w:rPr>
        <w:t>.</w:t>
      </w:r>
    </w:p>
    <w:p w14:paraId="1D603644" w14:textId="77777777" w:rsidR="0069172C" w:rsidRPr="009A3785" w:rsidRDefault="0069172C" w:rsidP="00824E69">
      <w:pPr>
        <w:snapToGrid w:val="0"/>
        <w:spacing w:line="300" w:lineRule="auto"/>
        <w:ind w:firstLine="480"/>
        <w:jc w:val="both"/>
        <w:rPr>
          <w:rFonts w:eastAsia="新細明體"/>
          <w:sz w:val="26"/>
          <w:szCs w:val="26"/>
          <w:lang w:val="en-US" w:eastAsia="zh-TW"/>
        </w:rPr>
      </w:pPr>
    </w:p>
    <w:p w14:paraId="0914AA81" w14:textId="181064E1" w:rsidR="00DE25EC" w:rsidRPr="00351150" w:rsidRDefault="002658A2" w:rsidP="00824E69">
      <w:pPr>
        <w:pStyle w:val="keywords"/>
        <w:spacing w:after="0" w:line="300" w:lineRule="auto"/>
        <w:ind w:firstLine="0"/>
        <w:rPr>
          <w:rStyle w:val="30"/>
          <w:rFonts w:ascii="Times New Roman" w:eastAsiaTheme="majorEastAsia" w:hAnsi="Times New Roman" w:cs="Times New Roman"/>
          <w:b/>
          <w:bCs/>
          <w:i w:val="0"/>
          <w:iCs w:val="0"/>
          <w:color w:val="auto"/>
        </w:rPr>
      </w:pPr>
      <w:r w:rsidRPr="00351150">
        <w:rPr>
          <w:rStyle w:val="30"/>
          <w:rFonts w:ascii="Times New Roman" w:eastAsiaTheme="majorEastAsia" w:hAnsi="Times New Roman" w:cs="Times New Roman"/>
          <w:b/>
          <w:bCs/>
          <w:i w:val="0"/>
          <w:iCs w:val="0"/>
          <w:color w:val="auto"/>
        </w:rPr>
        <w:t>Environmental Sustainability</w:t>
      </w:r>
      <w:r w:rsidR="00587D85" w:rsidRPr="00351150">
        <w:rPr>
          <w:rStyle w:val="30"/>
          <w:rFonts w:ascii="Times New Roman" w:eastAsiaTheme="majorEastAsia" w:hAnsi="Times New Roman" w:cs="Times New Roman"/>
          <w:b/>
          <w:bCs/>
          <w:i w:val="0"/>
          <w:iCs w:val="0"/>
          <w:color w:val="auto"/>
        </w:rPr>
        <w:t>: Principles and Approaches</w:t>
      </w:r>
    </w:p>
    <w:p w14:paraId="710CAD3D" w14:textId="55A27E2A" w:rsidR="00DE25EC" w:rsidRPr="00627B37" w:rsidRDefault="005A0CBC" w:rsidP="00824E69">
      <w:pPr>
        <w:widowControl w:val="0"/>
        <w:autoSpaceDE w:val="0"/>
        <w:autoSpaceDN w:val="0"/>
        <w:adjustRightInd w:val="0"/>
        <w:spacing w:line="300" w:lineRule="auto"/>
        <w:ind w:firstLine="360"/>
        <w:jc w:val="both"/>
        <w:rPr>
          <w:rFonts w:eastAsia="Calibri"/>
          <w:sz w:val="26"/>
          <w:szCs w:val="26"/>
          <w:lang w:val="en-US"/>
        </w:rPr>
      </w:pPr>
      <w:r w:rsidRPr="00627B37">
        <w:rPr>
          <w:rFonts w:eastAsia="Calibri"/>
          <w:sz w:val="26"/>
          <w:szCs w:val="26"/>
          <w:lang w:val="en-US"/>
        </w:rPr>
        <w:t>Sustainability is generally considered a development that meets the needs of current generations without limiting the abilit</w:t>
      </w:r>
      <w:r w:rsidR="009D49A1">
        <w:rPr>
          <w:rFonts w:eastAsia="Calibri"/>
          <w:sz w:val="26"/>
          <w:szCs w:val="26"/>
          <w:lang w:val="en-US"/>
        </w:rPr>
        <w:t>y</w:t>
      </w:r>
      <w:r w:rsidRPr="00627B37">
        <w:rPr>
          <w:rFonts w:eastAsia="Calibri"/>
          <w:sz w:val="26"/>
          <w:szCs w:val="26"/>
          <w:lang w:val="en-US"/>
        </w:rPr>
        <w:t xml:space="preserve"> of future generations to satisfy their own needs</w:t>
      </w:r>
      <w:r w:rsidR="00475FEF" w:rsidRPr="00627B37">
        <w:rPr>
          <w:rFonts w:eastAsia="Calibri"/>
          <w:sz w:val="26"/>
          <w:szCs w:val="26"/>
          <w:lang w:val="en-US"/>
        </w:rPr>
        <w:t xml:space="preserve"> </w:t>
      </w:r>
      <w:r w:rsidR="00133F77" w:rsidRPr="00627B37">
        <w:rPr>
          <w:rFonts w:eastAsia="Calibri"/>
          <w:sz w:val="26"/>
          <w:szCs w:val="26"/>
          <w:lang w:val="en-US"/>
        </w:rPr>
        <w:fldChar w:fldCharType="begin"/>
      </w:r>
      <w:r w:rsidR="00133F77" w:rsidRPr="00627B37">
        <w:rPr>
          <w:rFonts w:eastAsia="Calibri"/>
          <w:sz w:val="26"/>
          <w:szCs w:val="26"/>
          <w:lang w:val="en-US"/>
        </w:rPr>
        <w:instrText xml:space="preserve"> ADDIN ZOTERO_ITEM CSL_CITATION {"citationID":"3ZB4xZue","properties":{"formattedCitation":"(Keeble, 1988)","plainCitation":"(Keeble, 1988)","noteIndex":0},"citationItems":[{"id":3803,"uris":["http://zotero.org/users/local/Alzi7ROo/items/VBMIMVWS"],"itemData":{"id":3803,"type":"article-journal","container-title":"Medicine and War","DOI":"10.1080/07488008808408783","ISSN":"0748-8009","issue":"1","journalAbbreviation":"Medicine and War","language":"en","page":"17-25","source":"DOI.org (Crossref)","title":"The Brundtland report: ‘Our common future’","title-short":"The Brundtland report","volume":"4","author":[{"family":"Keeble","given":"Brian R."}],"issued":{"date-parts":[["1988",1]]}}}],"schema":"https://github.com/citation-style-language/schema/raw/master/csl-citation.json"} </w:instrText>
      </w:r>
      <w:r w:rsidR="00133F77" w:rsidRPr="00627B37">
        <w:rPr>
          <w:rFonts w:eastAsia="Calibri"/>
          <w:sz w:val="26"/>
          <w:szCs w:val="26"/>
          <w:lang w:val="en-US"/>
        </w:rPr>
        <w:fldChar w:fldCharType="separate"/>
      </w:r>
      <w:r w:rsidR="00133F77" w:rsidRPr="00627B37">
        <w:rPr>
          <w:rFonts w:eastAsia="Calibri"/>
          <w:sz w:val="26"/>
          <w:szCs w:val="26"/>
          <w:lang w:val="en-US"/>
        </w:rPr>
        <w:t>(Keeble, 1988)</w:t>
      </w:r>
      <w:r w:rsidR="00133F77" w:rsidRPr="00627B37">
        <w:rPr>
          <w:rFonts w:eastAsia="Calibri"/>
          <w:sz w:val="26"/>
          <w:szCs w:val="26"/>
          <w:lang w:val="en-US"/>
        </w:rPr>
        <w:fldChar w:fldCharType="end"/>
      </w:r>
      <w:r w:rsidRPr="00627B37">
        <w:rPr>
          <w:rFonts w:eastAsia="Calibri"/>
          <w:sz w:val="26"/>
          <w:szCs w:val="26"/>
          <w:lang w:val="en-US"/>
        </w:rPr>
        <w:t xml:space="preserve">. This idea </w:t>
      </w:r>
      <w:r w:rsidR="009D49A1">
        <w:rPr>
          <w:rFonts w:eastAsia="Calibri"/>
          <w:sz w:val="26"/>
          <w:szCs w:val="26"/>
          <w:lang w:val="en-US"/>
        </w:rPr>
        <w:t>emphasizes</w:t>
      </w:r>
      <w:r w:rsidRPr="00627B37">
        <w:rPr>
          <w:rFonts w:eastAsia="Calibri"/>
          <w:sz w:val="26"/>
          <w:szCs w:val="26"/>
          <w:lang w:val="en-US"/>
        </w:rPr>
        <w:t xml:space="preserve"> the importance of giving </w:t>
      </w:r>
      <w:r w:rsidR="009D49A1">
        <w:rPr>
          <w:rFonts w:eastAsia="Calibri"/>
          <w:sz w:val="26"/>
          <w:szCs w:val="26"/>
          <w:lang w:val="en-US"/>
        </w:rPr>
        <w:t>equal consideration to</w:t>
      </w:r>
      <w:r w:rsidRPr="00627B37">
        <w:rPr>
          <w:rFonts w:eastAsia="Calibri"/>
          <w:sz w:val="26"/>
          <w:szCs w:val="26"/>
          <w:lang w:val="en-US"/>
        </w:rPr>
        <w:t xml:space="preserve"> economic, social, and environmental concerns in development processes. Sustainable development builds upon this notion, making it a process of </w:t>
      </w:r>
      <w:r w:rsidR="009D49A1">
        <w:rPr>
          <w:rFonts w:eastAsia="Calibri"/>
          <w:sz w:val="26"/>
          <w:szCs w:val="26"/>
          <w:lang w:val="en-US"/>
        </w:rPr>
        <w:t>ongoing societal development that occurs</w:t>
      </w:r>
      <w:r w:rsidRPr="00627B37">
        <w:rPr>
          <w:rFonts w:eastAsia="Calibri"/>
          <w:sz w:val="26"/>
          <w:szCs w:val="26"/>
          <w:lang w:val="en-US"/>
        </w:rPr>
        <w:t xml:space="preserve"> </w:t>
      </w:r>
      <w:r w:rsidR="009D49A1">
        <w:rPr>
          <w:rFonts w:eastAsia="Calibri"/>
          <w:sz w:val="26"/>
          <w:szCs w:val="26"/>
          <w:lang w:val="en-US"/>
        </w:rPr>
        <w:t>responsibly</w:t>
      </w:r>
      <w:r w:rsidRPr="00627B37">
        <w:rPr>
          <w:rFonts w:eastAsia="Calibri"/>
          <w:sz w:val="26"/>
          <w:szCs w:val="26"/>
          <w:lang w:val="en-US"/>
        </w:rPr>
        <w:t xml:space="preserve">, </w:t>
      </w:r>
      <w:r w:rsidR="009D49A1">
        <w:rPr>
          <w:rFonts w:eastAsia="Calibri"/>
          <w:sz w:val="26"/>
          <w:szCs w:val="26"/>
          <w:lang w:val="en-US"/>
        </w:rPr>
        <w:t>combining</w:t>
      </w:r>
      <w:r w:rsidRPr="00627B37">
        <w:rPr>
          <w:rFonts w:eastAsia="Calibri"/>
          <w:sz w:val="26"/>
          <w:szCs w:val="26"/>
          <w:lang w:val="en-US"/>
        </w:rPr>
        <w:t xml:space="preserve"> economic activity with social justice and environmental safeguard</w:t>
      </w:r>
      <w:r w:rsidR="009D49A1">
        <w:rPr>
          <w:rFonts w:eastAsia="Calibri"/>
          <w:sz w:val="26"/>
          <w:szCs w:val="26"/>
          <w:lang w:val="en-US"/>
        </w:rPr>
        <w:t>s</w:t>
      </w:r>
      <w:r w:rsidRPr="00627B37">
        <w:rPr>
          <w:rFonts w:eastAsia="Calibri"/>
          <w:sz w:val="26"/>
          <w:szCs w:val="26"/>
          <w:lang w:val="en-US"/>
        </w:rPr>
        <w:t xml:space="preserve"> </w:t>
      </w:r>
      <w:r w:rsidR="007E5D05" w:rsidRPr="00627B37">
        <w:rPr>
          <w:rFonts w:eastAsia="Calibri"/>
          <w:sz w:val="26"/>
          <w:szCs w:val="26"/>
          <w:lang w:val="en-US"/>
        </w:rPr>
        <w:fldChar w:fldCharType="begin"/>
      </w:r>
      <w:r w:rsidR="007E5D05" w:rsidRPr="00627B37">
        <w:rPr>
          <w:rFonts w:eastAsia="Calibri"/>
          <w:sz w:val="26"/>
          <w:szCs w:val="26"/>
          <w:lang w:val="en-US"/>
        </w:rPr>
        <w:instrText xml:space="preserve"> ADDIN ZOTERO_ITEM CSL_CITATION {"citationID":"6jyxbKIL","properties":{"formattedCitation":"(Glavi\\uc0\\u269{} &amp; Lukman, 2007)","plainCitation":"(Glavič &amp; Lukman, 2007)","noteIndex":0},"citationItems":[{"id":3804,"uris":["http://zotero.org/users/local/Alzi7ROo/items/LKJQGXX3"],"itemData":{"id":3804,"type":"article-journal","container-title":"Journal of cleaner production","issue":"18","note":"publisher: Elsevier","page":"1875–1885","source":"Google Scholar","title":"Review of sustainability terms and their definitions","volume":"15","author":[{"family":"Glavič","given":"Peter"},{"family":"Lukman","given":"Rebeka"}],"issued":{"date-parts":[["2007"]]}}}],"schema":"https://github.com/citation-style-language/schema/raw/master/csl-citation.json"} </w:instrText>
      </w:r>
      <w:r w:rsidR="007E5D05" w:rsidRPr="00627B37">
        <w:rPr>
          <w:rFonts w:eastAsia="Calibri"/>
          <w:sz w:val="26"/>
          <w:szCs w:val="26"/>
          <w:lang w:val="en-US"/>
        </w:rPr>
        <w:fldChar w:fldCharType="separate"/>
      </w:r>
      <w:r w:rsidR="007E5D05" w:rsidRPr="00627B37">
        <w:rPr>
          <w:rFonts w:eastAsia="Calibri"/>
          <w:sz w:val="26"/>
          <w:szCs w:val="26"/>
          <w:lang w:val="en-US"/>
        </w:rPr>
        <w:t>(Glavič &amp; Lukman, 2007)</w:t>
      </w:r>
      <w:r w:rsidR="007E5D05" w:rsidRPr="00627B37">
        <w:rPr>
          <w:rFonts w:eastAsia="Calibri"/>
          <w:sz w:val="26"/>
          <w:szCs w:val="26"/>
          <w:lang w:val="en-US"/>
        </w:rPr>
        <w:fldChar w:fldCharType="end"/>
      </w:r>
      <w:r w:rsidRPr="00627B37">
        <w:rPr>
          <w:rFonts w:eastAsia="Calibri"/>
          <w:sz w:val="26"/>
          <w:szCs w:val="26"/>
          <w:lang w:val="en-US"/>
        </w:rPr>
        <w:t xml:space="preserve">. In this large context, environmental sustainability focuses more on maintaining </w:t>
      </w:r>
      <w:r w:rsidR="009D49A1">
        <w:rPr>
          <w:rFonts w:eastAsia="Calibri"/>
          <w:sz w:val="26"/>
          <w:szCs w:val="26"/>
          <w:lang w:val="en-US"/>
        </w:rPr>
        <w:t xml:space="preserve">the </w:t>
      </w:r>
      <w:r w:rsidR="0054348B" w:rsidRPr="00627B37">
        <w:rPr>
          <w:rFonts w:eastAsia="Calibri"/>
          <w:sz w:val="26"/>
          <w:szCs w:val="26"/>
          <w:lang w:val="en-US"/>
        </w:rPr>
        <w:t>health</w:t>
      </w:r>
      <w:r w:rsidRPr="00627B37">
        <w:rPr>
          <w:rFonts w:eastAsia="Calibri"/>
          <w:sz w:val="26"/>
          <w:szCs w:val="26"/>
          <w:lang w:val="en-US"/>
        </w:rPr>
        <w:t xml:space="preserve"> and resilience of </w:t>
      </w:r>
      <w:r w:rsidR="0060090C" w:rsidRPr="00627B37">
        <w:rPr>
          <w:rFonts w:eastAsia="Calibri"/>
          <w:sz w:val="26"/>
          <w:szCs w:val="26"/>
          <w:lang w:val="en-US"/>
        </w:rPr>
        <w:t>natural</w:t>
      </w:r>
      <w:r w:rsidRPr="00627B37">
        <w:rPr>
          <w:rFonts w:eastAsia="Calibri"/>
          <w:sz w:val="26"/>
          <w:szCs w:val="26"/>
          <w:lang w:val="en-US"/>
        </w:rPr>
        <w:t xml:space="preserve"> ecosystems. According to </w:t>
      </w:r>
      <w:r w:rsidR="00497E4A" w:rsidRPr="00627B37">
        <w:rPr>
          <w:rFonts w:eastAsia="Calibri"/>
          <w:sz w:val="26"/>
          <w:szCs w:val="26"/>
          <w:lang w:val="en-US"/>
        </w:rPr>
        <w:fldChar w:fldCharType="begin"/>
      </w:r>
      <w:r w:rsidR="00FF12F6" w:rsidRPr="00627B37">
        <w:rPr>
          <w:rFonts w:eastAsia="Calibri"/>
          <w:sz w:val="26"/>
          <w:szCs w:val="26"/>
          <w:lang w:val="en-US"/>
        </w:rPr>
        <w:instrText xml:space="preserve"> ADDIN ZOTERO_ITEM CSL_CITATION {"citationID":"kt0hM0G2","properties":{"formattedCitation":"(Goodland, 1995)","plainCitation":"(Goodland, 1995)","dontUpdate":true,"noteIndex":0},"citationItems":[{"id":3806,"uris":["http://zotero.org/users/local/Alzi7ROo/items/KHDDRM52"],"itemData":{"id":3806,"type":"article-journal","container-title":"Annual review of ecology and systematics","note":"publisher: JSTOR","page":"1–24","source":"Google Scholar","title":"The concept of environmental sustainability","author":[{"family":"Goodland","given":"Robert"}],"issued":{"date-parts":[["1995"]]}}}],"schema":"https://github.com/citation-style-language/schema/raw/master/csl-citation.json"} </w:instrText>
      </w:r>
      <w:r w:rsidR="00497E4A" w:rsidRPr="00627B37">
        <w:rPr>
          <w:rFonts w:eastAsia="Calibri"/>
          <w:sz w:val="26"/>
          <w:szCs w:val="26"/>
          <w:lang w:val="en-US"/>
        </w:rPr>
        <w:fldChar w:fldCharType="separate"/>
      </w:r>
      <w:r w:rsidR="00497E4A" w:rsidRPr="00627B37">
        <w:rPr>
          <w:rFonts w:eastAsia="Calibri"/>
          <w:sz w:val="26"/>
          <w:szCs w:val="26"/>
          <w:lang w:val="en-US"/>
        </w:rPr>
        <w:t xml:space="preserve">Goodland </w:t>
      </w:r>
      <w:r w:rsidR="00331656" w:rsidRPr="00627B37">
        <w:rPr>
          <w:rFonts w:eastAsia="Calibri"/>
          <w:sz w:val="26"/>
          <w:szCs w:val="26"/>
          <w:lang w:val="en-US"/>
        </w:rPr>
        <w:t>(</w:t>
      </w:r>
      <w:r w:rsidR="00497E4A" w:rsidRPr="00627B37">
        <w:rPr>
          <w:rFonts w:eastAsia="Calibri"/>
          <w:sz w:val="26"/>
          <w:szCs w:val="26"/>
          <w:lang w:val="en-US"/>
        </w:rPr>
        <w:t>1995)</w:t>
      </w:r>
      <w:r w:rsidR="00497E4A" w:rsidRPr="00627B37">
        <w:rPr>
          <w:rFonts w:eastAsia="Calibri"/>
          <w:sz w:val="26"/>
          <w:szCs w:val="26"/>
          <w:lang w:val="en-US"/>
        </w:rPr>
        <w:fldChar w:fldCharType="end"/>
      </w:r>
      <w:r w:rsidR="001D5664">
        <w:rPr>
          <w:rFonts w:eastAsia="Calibri"/>
          <w:sz w:val="26"/>
          <w:szCs w:val="26"/>
          <w:lang w:val="en-US"/>
        </w:rPr>
        <w:t>, the</w:t>
      </w:r>
      <w:r w:rsidR="009D49A1">
        <w:rPr>
          <w:rFonts w:eastAsia="Calibri"/>
          <w:sz w:val="26"/>
          <w:szCs w:val="26"/>
          <w:lang w:val="en-US"/>
        </w:rPr>
        <w:t xml:space="preserve"> definition</w:t>
      </w:r>
      <w:r w:rsidR="007D440D">
        <w:rPr>
          <w:rFonts w:eastAsia="Calibri"/>
          <w:sz w:val="26"/>
          <w:szCs w:val="26"/>
          <w:lang w:val="en-US"/>
        </w:rPr>
        <w:t xml:space="preserve"> of </w:t>
      </w:r>
      <w:r w:rsidRPr="00627B37">
        <w:rPr>
          <w:rFonts w:eastAsia="Calibri"/>
          <w:sz w:val="26"/>
          <w:szCs w:val="26"/>
          <w:lang w:val="en-US"/>
        </w:rPr>
        <w:t xml:space="preserve">environmental sustainability can be </w:t>
      </w:r>
      <w:r w:rsidR="009D49A1">
        <w:rPr>
          <w:rFonts w:eastAsia="Calibri"/>
          <w:sz w:val="26"/>
          <w:szCs w:val="26"/>
          <w:lang w:val="en-US"/>
        </w:rPr>
        <w:t>understoo</w:t>
      </w:r>
      <w:r w:rsidRPr="00627B37">
        <w:rPr>
          <w:rFonts w:eastAsia="Calibri"/>
          <w:sz w:val="26"/>
          <w:szCs w:val="26"/>
          <w:lang w:val="en-US"/>
        </w:rPr>
        <w:t xml:space="preserve">d as </w:t>
      </w:r>
      <w:r w:rsidR="009D49A1">
        <w:rPr>
          <w:rFonts w:eastAsia="Calibri"/>
          <w:sz w:val="26"/>
          <w:szCs w:val="26"/>
          <w:lang w:val="en-US"/>
        </w:rPr>
        <w:t>the</w:t>
      </w:r>
      <w:r w:rsidRPr="00627B37">
        <w:rPr>
          <w:rFonts w:eastAsia="Calibri"/>
          <w:sz w:val="26"/>
          <w:szCs w:val="26"/>
          <w:lang w:val="en-US"/>
        </w:rPr>
        <w:t xml:space="preserve"> use </w:t>
      </w:r>
      <w:r w:rsidR="009D49A1">
        <w:rPr>
          <w:rFonts w:eastAsia="Calibri"/>
          <w:sz w:val="26"/>
          <w:szCs w:val="26"/>
          <w:lang w:val="en-US"/>
        </w:rPr>
        <w:t xml:space="preserve">of </w:t>
      </w:r>
      <w:r w:rsidRPr="00627B37">
        <w:rPr>
          <w:rFonts w:eastAsia="Calibri"/>
          <w:sz w:val="26"/>
          <w:szCs w:val="26"/>
          <w:lang w:val="en-US"/>
        </w:rPr>
        <w:t>natural resources and assimilat</w:t>
      </w:r>
      <w:r w:rsidR="009D49A1">
        <w:rPr>
          <w:rFonts w:eastAsia="Calibri"/>
          <w:sz w:val="26"/>
          <w:szCs w:val="26"/>
          <w:lang w:val="en-US"/>
        </w:rPr>
        <w:t>ion of</w:t>
      </w:r>
      <w:r w:rsidRPr="00627B37">
        <w:rPr>
          <w:rFonts w:eastAsia="Calibri"/>
          <w:sz w:val="26"/>
          <w:szCs w:val="26"/>
          <w:lang w:val="en-US"/>
        </w:rPr>
        <w:t xml:space="preserve"> waste materials </w:t>
      </w:r>
      <w:r w:rsidR="009D49A1">
        <w:rPr>
          <w:rFonts w:eastAsia="Calibri"/>
          <w:sz w:val="26"/>
          <w:szCs w:val="26"/>
          <w:lang w:val="en-US"/>
        </w:rPr>
        <w:t>in a manner</w:t>
      </w:r>
      <w:r w:rsidRPr="00627B37">
        <w:rPr>
          <w:rFonts w:eastAsia="Calibri"/>
          <w:sz w:val="26"/>
          <w:szCs w:val="26"/>
          <w:lang w:val="en-US"/>
        </w:rPr>
        <w:t xml:space="preserve"> that </w:t>
      </w:r>
      <w:r w:rsidR="009D49A1">
        <w:rPr>
          <w:rFonts w:eastAsia="Calibri"/>
          <w:sz w:val="26"/>
          <w:szCs w:val="26"/>
          <w:lang w:val="en-US"/>
        </w:rPr>
        <w:t xml:space="preserve">allows </w:t>
      </w:r>
      <w:r w:rsidRPr="00627B37">
        <w:rPr>
          <w:rFonts w:eastAsia="Calibri"/>
          <w:sz w:val="26"/>
          <w:szCs w:val="26"/>
          <w:lang w:val="en-US"/>
        </w:rPr>
        <w:t xml:space="preserve">economic activities to remain within the </w:t>
      </w:r>
      <w:r w:rsidR="006650C9">
        <w:rPr>
          <w:rFonts w:eastAsia="Calibri"/>
          <w:sz w:val="26"/>
          <w:szCs w:val="26"/>
          <w:lang w:val="en-US"/>
        </w:rPr>
        <w:t>Earth's regenerative capacity</w:t>
      </w:r>
      <w:r w:rsidRPr="00627B37">
        <w:rPr>
          <w:rFonts w:eastAsia="Calibri"/>
          <w:sz w:val="26"/>
          <w:szCs w:val="26"/>
          <w:lang w:val="en-US"/>
        </w:rPr>
        <w:t>. Accordingly, environmental sustainability c</w:t>
      </w:r>
      <w:r w:rsidR="009D49A1">
        <w:rPr>
          <w:rFonts w:eastAsia="Calibri"/>
          <w:sz w:val="26"/>
          <w:szCs w:val="26"/>
          <w:lang w:val="en-US"/>
        </w:rPr>
        <w:t>an</w:t>
      </w:r>
      <w:r w:rsidRPr="00627B37">
        <w:rPr>
          <w:rFonts w:eastAsia="Calibri"/>
          <w:sz w:val="26"/>
          <w:szCs w:val="26"/>
          <w:lang w:val="en-US"/>
        </w:rPr>
        <w:t xml:space="preserve"> be considered one of the pillars of sustainable development, which is necessary to </w:t>
      </w:r>
      <w:r w:rsidR="009D49A1">
        <w:rPr>
          <w:rFonts w:eastAsia="Calibri"/>
          <w:sz w:val="26"/>
          <w:szCs w:val="26"/>
          <w:lang w:val="en-US"/>
        </w:rPr>
        <w:t>ensur</w:t>
      </w:r>
      <w:r w:rsidRPr="00627B37">
        <w:rPr>
          <w:rFonts w:eastAsia="Calibri"/>
          <w:sz w:val="26"/>
          <w:szCs w:val="26"/>
          <w:lang w:val="en-US"/>
        </w:rPr>
        <w:t>e the sustainability of ecosystem services related to the well-being of current and future generations</w:t>
      </w:r>
      <w:r w:rsidR="002422AB" w:rsidRPr="00627B37">
        <w:rPr>
          <w:rFonts w:eastAsia="Calibri"/>
          <w:sz w:val="26"/>
          <w:szCs w:val="26"/>
          <w:lang w:val="en-US"/>
        </w:rPr>
        <w:t xml:space="preserve"> </w:t>
      </w:r>
      <w:r w:rsidR="00521B21" w:rsidRPr="00627B37">
        <w:rPr>
          <w:rFonts w:eastAsia="Calibri"/>
          <w:sz w:val="26"/>
          <w:szCs w:val="26"/>
          <w:lang w:val="en-US"/>
        </w:rPr>
        <w:fldChar w:fldCharType="begin"/>
      </w:r>
      <w:r w:rsidR="00521B21" w:rsidRPr="00627B37">
        <w:rPr>
          <w:rFonts w:eastAsia="Calibri"/>
          <w:sz w:val="26"/>
          <w:szCs w:val="26"/>
          <w:lang w:val="en-US"/>
        </w:rPr>
        <w:instrText xml:space="preserve"> ADDIN ZOTERO_ITEM CSL_CITATION {"citationID":"ROguz3mb","properties":{"formattedCitation":"(Morelli, 2011)","plainCitation":"(Morelli, 2011)","noteIndex":0},"citationItems":[{"id":3807,"uris":["http://zotero.org/users/local/Alzi7ROo/items/BJZNXL7V"],"itemData":{"id":3807,"type":"article-journal","container-title":"Journal of environmental sustainability","issue":"1","page":"2","source":"Google Scholar","title":"Environmental sustainability: A definition for environmental professionals","title-short":"Environmental sustainability","volume":"1","author":[{"family":"Morelli","given":"John"}],"issued":{"date-parts":[["2011"]]}}}],"schema":"https://github.com/citation-style-language/schema/raw/master/csl-citation.json"} </w:instrText>
      </w:r>
      <w:r w:rsidR="00521B21" w:rsidRPr="00627B37">
        <w:rPr>
          <w:rFonts w:eastAsia="Calibri"/>
          <w:sz w:val="26"/>
          <w:szCs w:val="26"/>
          <w:lang w:val="en-US"/>
        </w:rPr>
        <w:fldChar w:fldCharType="separate"/>
      </w:r>
      <w:r w:rsidR="00521B21" w:rsidRPr="00627B37">
        <w:rPr>
          <w:rFonts w:eastAsia="Calibri"/>
          <w:sz w:val="26"/>
          <w:szCs w:val="26"/>
          <w:lang w:val="en-US"/>
        </w:rPr>
        <w:t>(Morelli, 2011)</w:t>
      </w:r>
      <w:r w:rsidR="00521B21" w:rsidRPr="00627B37">
        <w:rPr>
          <w:rFonts w:eastAsia="Calibri"/>
          <w:sz w:val="26"/>
          <w:szCs w:val="26"/>
          <w:lang w:val="en-US"/>
        </w:rPr>
        <w:fldChar w:fldCharType="end"/>
      </w:r>
      <w:r w:rsidRPr="00627B37">
        <w:rPr>
          <w:rFonts w:eastAsia="Calibri"/>
          <w:sz w:val="26"/>
          <w:szCs w:val="26"/>
          <w:lang w:val="en-US"/>
        </w:rPr>
        <w:t>.</w:t>
      </w:r>
    </w:p>
    <w:p w14:paraId="3A8F88C0" w14:textId="482B8D3F" w:rsidR="00ED53C8" w:rsidRPr="00627B37" w:rsidRDefault="00C6115A" w:rsidP="00824E69">
      <w:pPr>
        <w:widowControl w:val="0"/>
        <w:autoSpaceDE w:val="0"/>
        <w:autoSpaceDN w:val="0"/>
        <w:adjustRightInd w:val="0"/>
        <w:spacing w:line="300" w:lineRule="auto"/>
        <w:ind w:firstLine="360"/>
        <w:jc w:val="both"/>
        <w:rPr>
          <w:rFonts w:eastAsia="Calibri"/>
          <w:sz w:val="26"/>
          <w:szCs w:val="26"/>
          <w:lang w:val="en-US"/>
        </w:rPr>
      </w:pPr>
      <w:r w:rsidRPr="00627B37">
        <w:rPr>
          <w:rFonts w:eastAsia="Calibri"/>
          <w:sz w:val="26"/>
          <w:szCs w:val="26"/>
          <w:lang w:val="en-US"/>
        </w:rPr>
        <w:t xml:space="preserve">The circular economy focuses on environmental sustainability, </w:t>
      </w:r>
      <w:r w:rsidR="009D49A1">
        <w:rPr>
          <w:rFonts w:eastAsia="Calibri"/>
          <w:sz w:val="26"/>
          <w:szCs w:val="26"/>
          <w:lang w:val="en-US"/>
        </w:rPr>
        <w:t>providing</w:t>
      </w:r>
      <w:r w:rsidRPr="00627B37">
        <w:rPr>
          <w:rFonts w:eastAsia="Calibri"/>
          <w:sz w:val="26"/>
          <w:szCs w:val="26"/>
          <w:lang w:val="en-US"/>
        </w:rPr>
        <w:t xml:space="preserve"> instruments to redesign consumption and production processes that exclude linear patterns. Nonetheless, being a micro-level, bottom-up strategy, it is much narrower and operational in nature</w:t>
      </w:r>
      <w:r w:rsidR="00D737F9" w:rsidRPr="00627B37">
        <w:rPr>
          <w:rFonts w:eastAsia="Calibri"/>
          <w:sz w:val="26"/>
          <w:szCs w:val="26"/>
          <w:lang w:val="en-US"/>
        </w:rPr>
        <w:t xml:space="preserve"> </w:t>
      </w:r>
      <w:r w:rsidR="000F7D8E" w:rsidRPr="00627B37">
        <w:rPr>
          <w:rFonts w:eastAsia="Calibri"/>
          <w:sz w:val="26"/>
          <w:szCs w:val="26"/>
          <w:lang w:val="en-US"/>
        </w:rPr>
        <w:fldChar w:fldCharType="begin"/>
      </w:r>
      <w:r w:rsidR="000F7D8E" w:rsidRPr="00627B37">
        <w:rPr>
          <w:rFonts w:eastAsia="Calibri"/>
          <w:sz w:val="26"/>
          <w:szCs w:val="26"/>
          <w:lang w:val="en-US"/>
        </w:rPr>
        <w:instrText xml:space="preserve"> ADDIN ZOTERO_ITEM CSL_CITATION {"citationID":"7bz3ZnDV","properties":{"formattedCitation":"(Sauv\\uc0\\u233{} et al., 2016)","plainCitation":"(Sauvé et al., 2016)","noteIndex":0},"citationItems":[{"id":1303,"uris":["http://zotero.org/users/local/Alzi7ROo/items/CACF7KDP"],"itemData":{"id":1303,"type":"article-journal","container-title":"Environmental development","note":"publisher: Elsevier","page":"48–56","source":"Google Scholar","title":"Environmental sciences, sustainable development and circular economy: Alternative concepts for trans-disciplinary research","title-short":"Environmental sciences, sustainable development and circular economy","volume":"17","author":[{"family":"Sauvé","given":"Sébastien"},{"family":"Bernard","given":"Sophie"},{"family":"Sloan","given":"Pamela"}],"issued":{"date-parts":[["2016"]]}}}],"schema":"https://github.com/citation-style-language/schema/raw/master/csl-citation.json"} </w:instrText>
      </w:r>
      <w:r w:rsidR="000F7D8E" w:rsidRPr="00627B37">
        <w:rPr>
          <w:rFonts w:eastAsia="Calibri"/>
          <w:sz w:val="26"/>
          <w:szCs w:val="26"/>
          <w:lang w:val="en-US"/>
        </w:rPr>
        <w:fldChar w:fldCharType="separate"/>
      </w:r>
      <w:r w:rsidR="000F7D8E" w:rsidRPr="00627B37">
        <w:rPr>
          <w:rFonts w:eastAsia="Calibri"/>
          <w:sz w:val="26"/>
          <w:szCs w:val="26"/>
          <w:lang w:val="en-US"/>
        </w:rPr>
        <w:t>(Sauvé et al., 201</w:t>
      </w:r>
      <w:r w:rsidR="008809A9" w:rsidRPr="00627B37">
        <w:rPr>
          <w:rFonts w:eastAsia="Calibri"/>
          <w:sz w:val="26"/>
          <w:szCs w:val="26"/>
          <w:lang w:val="en-US"/>
        </w:rPr>
        <w:t>5</w:t>
      </w:r>
      <w:r w:rsidR="000F7D8E" w:rsidRPr="00627B37">
        <w:rPr>
          <w:rFonts w:eastAsia="Calibri"/>
          <w:sz w:val="26"/>
          <w:szCs w:val="26"/>
          <w:lang w:val="en-US"/>
        </w:rPr>
        <w:t>)</w:t>
      </w:r>
      <w:r w:rsidR="000F7D8E" w:rsidRPr="00627B37">
        <w:rPr>
          <w:rFonts w:eastAsia="Calibri"/>
          <w:sz w:val="26"/>
          <w:szCs w:val="26"/>
          <w:lang w:val="en-US"/>
        </w:rPr>
        <w:fldChar w:fldCharType="end"/>
      </w:r>
      <w:r w:rsidRPr="00627B37">
        <w:rPr>
          <w:rFonts w:eastAsia="Calibri"/>
          <w:sz w:val="26"/>
          <w:szCs w:val="26"/>
          <w:lang w:val="en-US"/>
        </w:rPr>
        <w:t xml:space="preserve">. Although it can have positive environmental impacts, it does not necessarily </w:t>
      </w:r>
      <w:r w:rsidR="009D49A1">
        <w:rPr>
          <w:rFonts w:eastAsia="Calibri"/>
          <w:sz w:val="26"/>
          <w:szCs w:val="26"/>
          <w:lang w:val="en-US"/>
        </w:rPr>
        <w:t>align with</w:t>
      </w:r>
      <w:r w:rsidRPr="00627B37">
        <w:rPr>
          <w:rFonts w:eastAsia="Calibri"/>
          <w:sz w:val="26"/>
          <w:szCs w:val="26"/>
          <w:lang w:val="en-US"/>
        </w:rPr>
        <w:t xml:space="preserve"> the b</w:t>
      </w:r>
      <w:r w:rsidR="009D49A1">
        <w:rPr>
          <w:rFonts w:eastAsia="Calibri"/>
          <w:sz w:val="26"/>
          <w:szCs w:val="26"/>
          <w:lang w:val="en-US"/>
        </w:rPr>
        <w:t>roader</w:t>
      </w:r>
      <w:r w:rsidRPr="00627B37">
        <w:rPr>
          <w:rFonts w:eastAsia="Calibri"/>
          <w:sz w:val="26"/>
          <w:szCs w:val="26"/>
          <w:lang w:val="en-US"/>
        </w:rPr>
        <w:t xml:space="preserve"> ecological vision </w:t>
      </w:r>
      <w:r w:rsidR="009D49A1">
        <w:rPr>
          <w:rFonts w:eastAsia="Calibri"/>
          <w:sz w:val="26"/>
          <w:szCs w:val="26"/>
          <w:lang w:val="en-US"/>
        </w:rPr>
        <w:t>and goals of</w:t>
      </w:r>
      <w:r w:rsidRPr="00627B37">
        <w:rPr>
          <w:rFonts w:eastAsia="Calibri"/>
          <w:sz w:val="26"/>
          <w:szCs w:val="26"/>
          <w:lang w:val="en-US"/>
        </w:rPr>
        <w:t xml:space="preserve"> environmental sustainability</w:t>
      </w:r>
      <w:r w:rsidR="00DD30D4" w:rsidRPr="00627B37">
        <w:rPr>
          <w:rFonts w:eastAsia="Calibri"/>
          <w:sz w:val="26"/>
          <w:szCs w:val="26"/>
          <w:lang w:val="en-US"/>
        </w:rPr>
        <w:t xml:space="preserve"> </w:t>
      </w:r>
      <w:r w:rsidR="00DD30D4" w:rsidRPr="00627B37">
        <w:rPr>
          <w:rFonts w:eastAsia="Calibri"/>
          <w:sz w:val="26"/>
          <w:szCs w:val="26"/>
          <w:lang w:val="en-US"/>
        </w:rPr>
        <w:fldChar w:fldCharType="begin"/>
      </w:r>
      <w:r w:rsidR="00DD30D4" w:rsidRPr="00627B37">
        <w:rPr>
          <w:rFonts w:eastAsia="Calibri"/>
          <w:sz w:val="26"/>
          <w:szCs w:val="26"/>
          <w:lang w:val="en-US"/>
        </w:rPr>
        <w:instrText xml:space="preserve"> ADDIN ZOTERO_ITEM CSL_CITATION {"citationID":"YJVxc9t0","properties":{"formattedCitation":"(Bartelmus, 2013)","plainCitation":"(Bartelmus, 2013)","noteIndex":0},"citationItems":[{"id":3809,"uris":["http://zotero.org/users/local/Alzi7ROo/items/APJPSYKF"],"itemData":{"id":3809,"type":"article-journal","container-title":"Environmental Development","note":"publisher: Elsevier","page":"165–170","source":"Google Scholar","title":"The future we want: Green growth or sustainable development?","title-short":"The future we want","volume":"7","author":[{"family":"Bartelmus","given":"Peter"}],"issued":{"date-parts":[["2013"]]}}}],"schema":"https://github.com/citation-style-language/schema/raw/master/csl-citation.json"} </w:instrText>
      </w:r>
      <w:r w:rsidR="00DD30D4" w:rsidRPr="00627B37">
        <w:rPr>
          <w:rFonts w:eastAsia="Calibri"/>
          <w:sz w:val="26"/>
          <w:szCs w:val="26"/>
          <w:lang w:val="en-US"/>
        </w:rPr>
        <w:fldChar w:fldCharType="separate"/>
      </w:r>
      <w:r w:rsidR="00DD30D4" w:rsidRPr="00627B37">
        <w:rPr>
          <w:rFonts w:eastAsia="Calibri"/>
          <w:sz w:val="26"/>
          <w:szCs w:val="26"/>
          <w:lang w:val="en-US"/>
        </w:rPr>
        <w:t>(Bartelmus, 2013)</w:t>
      </w:r>
      <w:r w:rsidR="00DD30D4" w:rsidRPr="00627B37">
        <w:rPr>
          <w:rFonts w:eastAsia="Calibri"/>
          <w:sz w:val="26"/>
          <w:szCs w:val="26"/>
          <w:lang w:val="en-US"/>
        </w:rPr>
        <w:fldChar w:fldCharType="end"/>
      </w:r>
      <w:r w:rsidRPr="00627B37">
        <w:rPr>
          <w:rFonts w:eastAsia="Calibri"/>
          <w:sz w:val="26"/>
          <w:szCs w:val="26"/>
          <w:lang w:val="en-US"/>
        </w:rPr>
        <w:t>. A</w:t>
      </w:r>
      <w:r w:rsidR="009D49A1">
        <w:rPr>
          <w:rFonts w:eastAsia="Calibri"/>
          <w:sz w:val="26"/>
          <w:szCs w:val="26"/>
          <w:lang w:val="en-US"/>
        </w:rPr>
        <w:t>dditionally</w:t>
      </w:r>
      <w:r w:rsidRPr="00627B37">
        <w:rPr>
          <w:rFonts w:eastAsia="Calibri"/>
          <w:sz w:val="26"/>
          <w:szCs w:val="26"/>
          <w:lang w:val="en-US"/>
        </w:rPr>
        <w:t xml:space="preserve">, the connection between the two is conceptually ambiguous, with environmental sustainability being strategic in setting its aims but vague in </w:t>
      </w:r>
      <w:r w:rsidR="009D49A1">
        <w:rPr>
          <w:rFonts w:eastAsia="Calibri"/>
          <w:sz w:val="26"/>
          <w:szCs w:val="26"/>
          <w:lang w:val="en-US"/>
        </w:rPr>
        <w:t>outlining</w:t>
      </w:r>
      <w:r w:rsidRPr="00627B37">
        <w:rPr>
          <w:rFonts w:eastAsia="Calibri"/>
          <w:sz w:val="26"/>
          <w:szCs w:val="26"/>
          <w:lang w:val="en-US"/>
        </w:rPr>
        <w:t xml:space="preserve"> the specific implementation mechanisms, and the circular economy being specific in providing strategies to act but indistinct in its </w:t>
      </w:r>
      <w:r w:rsidR="009D49A1">
        <w:rPr>
          <w:rFonts w:eastAsia="Calibri"/>
          <w:sz w:val="26"/>
          <w:szCs w:val="26"/>
          <w:lang w:val="en-US"/>
        </w:rPr>
        <w:t>goal</w:t>
      </w:r>
      <w:r w:rsidRPr="00627B37">
        <w:rPr>
          <w:rFonts w:eastAsia="Calibri"/>
          <w:sz w:val="26"/>
          <w:szCs w:val="26"/>
          <w:lang w:val="en-US"/>
        </w:rPr>
        <w:t xml:space="preserve">. Hence, our study's framework needs to incorporate environmental sustainability initiatives with circular supply chain enablers </w:t>
      </w:r>
      <w:r w:rsidR="00C908C0" w:rsidRPr="00627B37">
        <w:rPr>
          <w:rFonts w:eastAsia="Calibri"/>
          <w:sz w:val="26"/>
          <w:szCs w:val="26"/>
          <w:lang w:val="en-US"/>
        </w:rPr>
        <w:t>to</w:t>
      </w:r>
      <w:r w:rsidRPr="00627B37">
        <w:rPr>
          <w:rFonts w:eastAsia="Calibri"/>
          <w:sz w:val="26"/>
          <w:szCs w:val="26"/>
          <w:lang w:val="en-US"/>
        </w:rPr>
        <w:t xml:space="preserve"> effectively establish an overall framework that </w:t>
      </w:r>
      <w:r w:rsidR="009D49A1">
        <w:rPr>
          <w:rFonts w:eastAsia="Calibri"/>
          <w:sz w:val="26"/>
          <w:szCs w:val="26"/>
          <w:lang w:val="en-US"/>
        </w:rPr>
        <w:t>maintains</w:t>
      </w:r>
      <w:r w:rsidRPr="00627B37">
        <w:rPr>
          <w:rFonts w:eastAsia="Calibri"/>
          <w:sz w:val="26"/>
          <w:szCs w:val="26"/>
          <w:lang w:val="en-US"/>
        </w:rPr>
        <w:t xml:space="preserve"> a connection between practical actions informed by overarching goals of eco-friendly activities.</w:t>
      </w:r>
    </w:p>
    <w:p w14:paraId="0DDCA13A" w14:textId="4717D644" w:rsidR="00ED53C8" w:rsidRPr="00627B37" w:rsidRDefault="009D338F" w:rsidP="00824E69">
      <w:pPr>
        <w:widowControl w:val="0"/>
        <w:autoSpaceDE w:val="0"/>
        <w:autoSpaceDN w:val="0"/>
        <w:adjustRightInd w:val="0"/>
        <w:spacing w:line="300" w:lineRule="auto"/>
        <w:ind w:firstLine="360"/>
        <w:jc w:val="both"/>
        <w:rPr>
          <w:rFonts w:eastAsia="Calibri"/>
          <w:sz w:val="26"/>
          <w:szCs w:val="26"/>
          <w:lang w:val="en-US"/>
        </w:rPr>
      </w:pPr>
      <w:r w:rsidRPr="00627B37">
        <w:rPr>
          <w:rFonts w:eastAsia="Calibri"/>
          <w:sz w:val="26"/>
          <w:szCs w:val="26"/>
          <w:lang w:val="en-US"/>
        </w:rPr>
        <w:t xml:space="preserve">Environmental sustainability initiatives, in this context, are tangible undertakings practiced in all operations of a supply chain </w:t>
      </w:r>
      <w:r w:rsidR="006714FC" w:rsidRPr="00627B37">
        <w:rPr>
          <w:rFonts w:eastAsia="Calibri"/>
          <w:sz w:val="26"/>
          <w:szCs w:val="26"/>
          <w:lang w:val="en-US"/>
        </w:rPr>
        <w:t>to</w:t>
      </w:r>
      <w:r w:rsidRPr="00627B37">
        <w:rPr>
          <w:rFonts w:eastAsia="Calibri"/>
          <w:sz w:val="26"/>
          <w:szCs w:val="26"/>
          <w:lang w:val="en-US"/>
        </w:rPr>
        <w:t xml:space="preserve"> curb ecological degradation and </w:t>
      </w:r>
      <w:r w:rsidR="009D49A1">
        <w:rPr>
          <w:rFonts w:eastAsia="Calibri"/>
          <w:sz w:val="26"/>
          <w:szCs w:val="26"/>
          <w:lang w:val="en-US"/>
        </w:rPr>
        <w:t>preserve the</w:t>
      </w:r>
      <w:r w:rsidRPr="00627B37">
        <w:rPr>
          <w:rFonts w:eastAsia="Calibri"/>
          <w:sz w:val="26"/>
          <w:szCs w:val="26"/>
          <w:lang w:val="en-US"/>
        </w:rPr>
        <w:t xml:space="preserve"> regeneration capacity of natural systems. The measures related to such initiatives are </w:t>
      </w:r>
      <w:r w:rsidR="009D49A1">
        <w:rPr>
          <w:rFonts w:eastAsia="Calibri"/>
          <w:sz w:val="26"/>
          <w:szCs w:val="26"/>
          <w:lang w:val="en-US"/>
        </w:rPr>
        <w:t>gener</w:t>
      </w:r>
      <w:r w:rsidRPr="00627B37">
        <w:rPr>
          <w:rFonts w:eastAsia="Calibri"/>
          <w:sz w:val="26"/>
          <w:szCs w:val="26"/>
          <w:lang w:val="en-US"/>
        </w:rPr>
        <w:t>ally aimed at reducing gas emissions</w:t>
      </w:r>
      <w:r w:rsidR="006714FC" w:rsidRPr="00627B37">
        <w:rPr>
          <w:rFonts w:eastAsia="Calibri"/>
          <w:sz w:val="26"/>
          <w:szCs w:val="26"/>
          <w:lang w:val="en-US"/>
        </w:rPr>
        <w:t xml:space="preserve"> </w:t>
      </w:r>
      <w:r w:rsidR="006714FC" w:rsidRPr="00627B37">
        <w:rPr>
          <w:rFonts w:eastAsia="Calibri"/>
          <w:sz w:val="26"/>
          <w:szCs w:val="26"/>
          <w:lang w:val="en-US"/>
        </w:rPr>
        <w:fldChar w:fldCharType="begin"/>
      </w:r>
      <w:r w:rsidR="006714FC" w:rsidRPr="00627B37">
        <w:rPr>
          <w:rFonts w:eastAsia="Calibri"/>
          <w:sz w:val="26"/>
          <w:szCs w:val="26"/>
          <w:lang w:val="en-US"/>
        </w:rPr>
        <w:instrText xml:space="preserve"> ADDIN ZOTERO_ITEM CSL_CITATION {"citationID":"S3ZUtRsl","properties":{"formattedCitation":"(Setiawan &amp; Iswati, 2019)","plainCitation":"(Setiawan &amp; Iswati, 2019)","noteIndex":0},"citationItems":[{"id":3119,"uris":["http://zotero.org/users/local/Alzi7ROo/items/UJ5TL5UZ"],"itemData":{"id":3119,"type":"article-journal","container-title":"Indonesian Journal of Sustainability Accounting and Management","issue":"2","page":"215â–226","source":"Google Scholar","title":"Carbon emissions disclosure, environmental management system, and environmental performance: evidence from the plantation industries in indonesia","title-short":"Carbon emissions disclosure, environmental management system, and environmental performance","volume":"3","author":[{"family":"Setiawan","given":"Pikar"},{"family":"Iswati","given":"Sri"}],"issued":{"date-parts":[["2019"]]}}}],"schema":"https://github.com/citation-style-language/schema/raw/master/csl-citation.json"} </w:instrText>
      </w:r>
      <w:r w:rsidR="006714FC" w:rsidRPr="00627B37">
        <w:rPr>
          <w:rFonts w:eastAsia="Calibri"/>
          <w:sz w:val="26"/>
          <w:szCs w:val="26"/>
          <w:lang w:val="en-US"/>
        </w:rPr>
        <w:fldChar w:fldCharType="separate"/>
      </w:r>
      <w:r w:rsidR="006714FC" w:rsidRPr="00627B37">
        <w:rPr>
          <w:rFonts w:eastAsia="Calibri"/>
          <w:sz w:val="26"/>
          <w:szCs w:val="26"/>
          <w:lang w:val="en-US"/>
        </w:rPr>
        <w:t>(Setiawan &amp; Iswati, 2019)</w:t>
      </w:r>
      <w:r w:rsidR="006714FC" w:rsidRPr="00627B37">
        <w:rPr>
          <w:rFonts w:eastAsia="Calibri"/>
          <w:sz w:val="26"/>
          <w:szCs w:val="26"/>
          <w:lang w:val="en-US"/>
        </w:rPr>
        <w:fldChar w:fldCharType="end"/>
      </w:r>
      <w:r w:rsidRPr="00627B37">
        <w:rPr>
          <w:rFonts w:eastAsia="Calibri"/>
          <w:sz w:val="26"/>
          <w:szCs w:val="26"/>
          <w:lang w:val="en-US"/>
        </w:rPr>
        <w:t>, minimizing waste</w:t>
      </w:r>
      <w:r w:rsidR="00C908C0" w:rsidRPr="00627B37">
        <w:rPr>
          <w:rFonts w:eastAsia="Calibri"/>
          <w:sz w:val="26"/>
          <w:szCs w:val="26"/>
          <w:lang w:val="en-US"/>
        </w:rPr>
        <w:t xml:space="preserve"> </w:t>
      </w:r>
      <w:r w:rsidR="00C908C0" w:rsidRPr="00627B37">
        <w:rPr>
          <w:rFonts w:eastAsia="Calibri"/>
          <w:sz w:val="26"/>
          <w:szCs w:val="26"/>
          <w:lang w:val="en-US"/>
        </w:rPr>
        <w:fldChar w:fldCharType="begin"/>
      </w:r>
      <w:r w:rsidR="00C908C0" w:rsidRPr="00627B37">
        <w:rPr>
          <w:rFonts w:eastAsia="Calibri"/>
          <w:sz w:val="26"/>
          <w:szCs w:val="26"/>
          <w:lang w:val="en-US"/>
        </w:rPr>
        <w:instrText xml:space="preserve"> ADDIN ZOTERO_ITEM CSL_CITATION {"citationID":"pBDr8TJY","properties":{"formattedCitation":"(Esposito et al., 2017)","plainCitation":"(Esposito et al., 2017)","noteIndex":0},"citationItems":[{"id":2713,"uris":["http://zotero.org/users/local/Alzi7ROo/items/GYF9SWC7"],"itemData":{"id":2713,"type":"article-journal","abstract":"The circular pathway, also called the “cradle‐to‐cradle” model, is more than just recycling and environmental concerns. It is about a new way of thinking how we could grow without resorting to just expending resources. Its rapid expansion, as a new norm for companies, has characteristics of a Fast Expanding Market, given its exponential growth. In this article, we examine how the circular model is pushing companies and entities to come up with disruptive technology and business models that are based on longevity, renewability, reuse, repair, upgrade, refurbishment, servitization, capacity sharing and dematerialization. © 2015 Wiley Periodicals, Inc.","container-title":"Thunderbird International Business Review","DOI":"10.1002/tie.21764","ISSN":"1096-4762, 1520-6874","issue":"1","journalAbbreviation":"Thunderbird Intl Bus Rev","language":"en","page":"9-14","source":"DOI.org (Crossref)","title":"Is the Circular Economy a New Fast‐Expanding Market?","volume":"59","author":[{"family":"Esposito","given":"Mark"},{"family":"Tse","given":"Terence"},{"family":"Soufani","given":"Khaled"}],"issued":{"date-parts":[["2017",1]]}}}],"schema":"https://github.com/citation-style-language/schema/raw/master/csl-citation.json"} </w:instrText>
      </w:r>
      <w:r w:rsidR="00C908C0" w:rsidRPr="00627B37">
        <w:rPr>
          <w:rFonts w:eastAsia="Calibri"/>
          <w:sz w:val="26"/>
          <w:szCs w:val="26"/>
          <w:lang w:val="en-US"/>
        </w:rPr>
        <w:fldChar w:fldCharType="separate"/>
      </w:r>
      <w:r w:rsidR="00C908C0" w:rsidRPr="00627B37">
        <w:rPr>
          <w:rFonts w:eastAsia="Calibri"/>
          <w:sz w:val="26"/>
          <w:szCs w:val="26"/>
          <w:lang w:val="en-US"/>
        </w:rPr>
        <w:t>(Esposito et al., 201</w:t>
      </w:r>
      <w:r w:rsidR="008809A9" w:rsidRPr="00627B37">
        <w:rPr>
          <w:rFonts w:eastAsia="Calibri"/>
          <w:sz w:val="26"/>
          <w:szCs w:val="26"/>
          <w:lang w:val="en-US"/>
        </w:rPr>
        <w:t>5</w:t>
      </w:r>
      <w:r w:rsidR="00C908C0" w:rsidRPr="00627B37">
        <w:rPr>
          <w:rFonts w:eastAsia="Calibri"/>
          <w:sz w:val="26"/>
          <w:szCs w:val="26"/>
          <w:lang w:val="en-US"/>
        </w:rPr>
        <w:t>)</w:t>
      </w:r>
      <w:r w:rsidR="00C908C0" w:rsidRPr="00627B37">
        <w:rPr>
          <w:rFonts w:eastAsia="Calibri"/>
          <w:sz w:val="26"/>
          <w:szCs w:val="26"/>
          <w:lang w:val="en-US"/>
        </w:rPr>
        <w:fldChar w:fldCharType="end"/>
      </w:r>
      <w:r w:rsidRPr="00627B37">
        <w:rPr>
          <w:rFonts w:eastAsia="Calibri"/>
          <w:sz w:val="26"/>
          <w:szCs w:val="26"/>
          <w:lang w:val="en-US"/>
        </w:rPr>
        <w:t>, decreasing the use of virgin input materials</w:t>
      </w:r>
      <w:r w:rsidR="00D51AA4" w:rsidRPr="00627B37">
        <w:rPr>
          <w:rFonts w:eastAsia="Calibri"/>
          <w:sz w:val="26"/>
          <w:szCs w:val="26"/>
          <w:lang w:val="en-US"/>
        </w:rPr>
        <w:t xml:space="preserve"> </w:t>
      </w:r>
      <w:r w:rsidR="00D51AA4" w:rsidRPr="00627B37">
        <w:rPr>
          <w:rFonts w:eastAsia="Calibri"/>
          <w:sz w:val="26"/>
          <w:szCs w:val="26"/>
          <w:lang w:val="en-US"/>
        </w:rPr>
        <w:fldChar w:fldCharType="begin"/>
      </w:r>
      <w:r w:rsidR="00D51AA4" w:rsidRPr="00627B37">
        <w:rPr>
          <w:rFonts w:eastAsia="Calibri"/>
          <w:sz w:val="26"/>
          <w:szCs w:val="26"/>
          <w:lang w:val="en-US"/>
        </w:rPr>
        <w:instrText xml:space="preserve"> ADDIN ZOTERO_ITEM CSL_CITATION {"citationID":"b6X4owQ4","properties":{"formattedCitation":"(Patricio et al., 2018)","plainCitation":"(Patricio et al., 2018)","noteIndex":0},"citationItems":[{"id":1212,"uris":["http://zotero.org/users/local/Alzi7ROo/items/WKC3ZMHM"],"itemData":{"id":1212,"type":"article-journal","abstract":"Small and Medium Enterprises make up the vast majority of the businesses within the European Union, and are consequently important contributors to local and regional well-being. Nevertheless, Small and Medium Enterprises face many challenges when it comes to fostering innovation and improving environmental performance as part of their day-to-day activities. In parallel, the global consumption of raw materials is increasing, which makes it necessary to define and establish strategies to reduce the amount of, and dependence on, raw material extraction and imports, whilst also improving the sustainability of SMEs. In this context it is essential to promote circular economy strategies, such as industrial symbiosis partnerships, where companies use the waste products of other industries as raw materials. To achieve this, there is a need to find enablers to support industrial symbiosis collaborations among SMEs. These could include regional developers and local authorities. The aims of this study are to investigate whether industrial symbiosis is already a common practice within SMEs in the Västra Götaland Region of Sweden, as well as identifying barriers and motivations for partnerships. For this purpose, case studies of two industries were carried out: beer production and mushroom farming. Information was collected using on-site visits and semi-structured interviews, and the key findings where combined with a literature review, then used to propose new industrial symbiosis opportunities. The results show that industrial symbiosis is already used by some of the beer and mushroom producers. Economic gains and better environmental performance were presented as the main motivations for the companies to be involved in these partnerships. Nevertheless, industrial symbiosis could be extended to also include those companies that do not yet share their waste, mostly due to a lack of time or knowledge. Consequently, the study suggests potential industrial symbiosis partnerships that could be implemented within a short period of time, and be used by the local authorities to help SMEs to achieve circularity of wastes. Future work considers the dissemination of the results among SMEs as well as apply the approach to other types of industries operating in the region to identify additional IS potential partnerships. © 2018 Elsevier Ltd","container-title":"Journal of Cleaner Production","DOI":"10.1016/j.jclepro.2018.07.230","ISSN":"09596526","language":"English","note":"publisher: Elsevier Ltd\ntype: Article","page":"1120 – 1130","title":"Enabling industrial symbiosis collaborations between SMEs from a regional perspective","volume":"202","author":[{"family":"Patricio","given":"Joao"},{"family":"Axelsson","given":"Lovisa"},{"family":"Blomé","given":"Simon"},{"family":"Rosado","given":"Leonardo"}],"issued":{"date-parts":[["2018"]]}}}],"schema":"https://github.com/citation-style-language/schema/raw/master/csl-citation.json"} </w:instrText>
      </w:r>
      <w:r w:rsidR="00D51AA4" w:rsidRPr="00627B37">
        <w:rPr>
          <w:rFonts w:eastAsia="Calibri"/>
          <w:sz w:val="26"/>
          <w:szCs w:val="26"/>
          <w:lang w:val="en-US"/>
        </w:rPr>
        <w:fldChar w:fldCharType="separate"/>
      </w:r>
      <w:r w:rsidR="00D51AA4" w:rsidRPr="00627B37">
        <w:rPr>
          <w:rFonts w:eastAsia="Calibri"/>
          <w:sz w:val="26"/>
          <w:szCs w:val="26"/>
          <w:lang w:val="en-US"/>
        </w:rPr>
        <w:t>(Patricio et al., 2018)</w:t>
      </w:r>
      <w:r w:rsidR="00D51AA4" w:rsidRPr="00627B37">
        <w:rPr>
          <w:rFonts w:eastAsia="Calibri"/>
          <w:sz w:val="26"/>
          <w:szCs w:val="26"/>
          <w:lang w:val="en-US"/>
        </w:rPr>
        <w:fldChar w:fldCharType="end"/>
      </w:r>
      <w:r w:rsidRPr="00627B37">
        <w:rPr>
          <w:rFonts w:eastAsia="Calibri"/>
          <w:sz w:val="26"/>
          <w:szCs w:val="26"/>
          <w:lang w:val="en-US"/>
        </w:rPr>
        <w:t>, and reducing the use of hazardous/toxic materials</w:t>
      </w:r>
      <w:r w:rsidR="00D51AA4" w:rsidRPr="00627B37">
        <w:rPr>
          <w:rFonts w:eastAsia="Calibri"/>
          <w:sz w:val="26"/>
          <w:szCs w:val="26"/>
          <w:lang w:val="en-US"/>
        </w:rPr>
        <w:t xml:space="preserve"> </w:t>
      </w:r>
      <w:r w:rsidR="00D51AA4" w:rsidRPr="00627B37">
        <w:rPr>
          <w:rFonts w:eastAsia="Calibri"/>
          <w:sz w:val="26"/>
          <w:szCs w:val="26"/>
          <w:lang w:val="en-US"/>
        </w:rPr>
        <w:fldChar w:fldCharType="begin"/>
      </w:r>
      <w:r w:rsidR="00D51AA4" w:rsidRPr="00627B37">
        <w:rPr>
          <w:rFonts w:eastAsia="Calibri"/>
          <w:sz w:val="26"/>
          <w:szCs w:val="26"/>
          <w:lang w:val="en-US"/>
        </w:rPr>
        <w:instrText xml:space="preserve"> ADDIN ZOTERO_ITEM CSL_CITATION {"citationID":"KomBbSyM","properties":{"formattedCitation":"(Parvin et al., 2020)","plainCitation":"(Parvin et al., 2020)","noteIndex":0},"citationItems":[{"id":3090,"uris":["http://zotero.org/users/local/Alzi7ROo/items/KB64LGS5"],"itemData":{"id":3090,"type":"article-journal","container-title":"Biomed. J. Sci. Tech. Res","page":"21831–21844","source":"Google Scholar","title":"A study on the solutions of environment pollutions and worker’s health problems caused by textile manufacturing operations","volume":"28","author":[{"family":"Parvin","given":"Forida"},{"family":"Islam","given":"Shariful"},{"family":"Akm","given":"Saiful Islam"},{"family":"Urmy","given":"Zakia"},{"family":"Ahmed","given":"Shaharia"}],"issued":{"date-parts":[["2020"]]}}}],"schema":"https://github.com/citation-style-language/schema/raw/master/csl-citation.json"} </w:instrText>
      </w:r>
      <w:r w:rsidR="00D51AA4" w:rsidRPr="00627B37">
        <w:rPr>
          <w:rFonts w:eastAsia="Calibri"/>
          <w:sz w:val="26"/>
          <w:szCs w:val="26"/>
          <w:lang w:val="en-US"/>
        </w:rPr>
        <w:fldChar w:fldCharType="separate"/>
      </w:r>
      <w:r w:rsidR="00D51AA4" w:rsidRPr="00627B37">
        <w:rPr>
          <w:rFonts w:eastAsia="Calibri"/>
          <w:sz w:val="26"/>
          <w:szCs w:val="26"/>
          <w:lang w:val="en-US"/>
        </w:rPr>
        <w:t>(Parvin et al., 2020)</w:t>
      </w:r>
      <w:r w:rsidR="00D51AA4" w:rsidRPr="00627B37">
        <w:rPr>
          <w:rFonts w:eastAsia="Calibri"/>
          <w:sz w:val="26"/>
          <w:szCs w:val="26"/>
          <w:lang w:val="en-US"/>
        </w:rPr>
        <w:fldChar w:fldCharType="end"/>
      </w:r>
      <w:r w:rsidRPr="00627B37">
        <w:rPr>
          <w:rFonts w:eastAsia="Calibri"/>
          <w:sz w:val="26"/>
          <w:szCs w:val="26"/>
          <w:lang w:val="en-US"/>
        </w:rPr>
        <w:t>. Although the circular supply chain enablers, like cleaner production</w:t>
      </w:r>
      <w:r w:rsidR="00006E41" w:rsidRPr="00627B37">
        <w:rPr>
          <w:rFonts w:eastAsia="Calibri"/>
          <w:sz w:val="26"/>
          <w:szCs w:val="26"/>
          <w:lang w:val="en-US"/>
        </w:rPr>
        <w:t xml:space="preserve"> </w:t>
      </w:r>
      <w:r w:rsidR="00006E41" w:rsidRPr="00627B37">
        <w:rPr>
          <w:rFonts w:eastAsia="Calibri"/>
          <w:sz w:val="26"/>
          <w:szCs w:val="26"/>
          <w:lang w:val="en-US"/>
        </w:rPr>
        <w:fldChar w:fldCharType="begin"/>
      </w:r>
      <w:r w:rsidR="00006E41" w:rsidRPr="00627B37">
        <w:rPr>
          <w:rFonts w:eastAsia="Calibri"/>
          <w:sz w:val="26"/>
          <w:szCs w:val="26"/>
          <w:lang w:val="en-US"/>
        </w:rPr>
        <w:instrText xml:space="preserve"> ADDIN ZOTERO_ITEM CSL_CITATION {"citationID":"mk3f2b69","properties":{"formattedCitation":"(Sousa-Zomer et al., 2018)","plainCitation":"(Sousa-Zomer et al., 2018)","noteIndex":0},"citationItems":[{"id":3047,"uris":["http://zotero.org/users/local/Alzi7ROo/items/XLQWH8NE"],"itemData":{"id":3047,"type":"article-journal","container-title":"Resources, Conservation and Recycling","note":"publisher: Elsevier","page":"3–13","source":"Google Scholar","title":"Exploring the challenges for circular business implementation in manufacturing companies: An empirical investigation of a pay-per-use service provider","title-short":"Exploring the challenges for circular business implementation in manufacturing companies","volume":"135","author":[{"family":"Sousa-Zomer","given":"Thayla T."},{"family":"Magalhães","given":"Lucas"},{"family":"Zancul","given":"Eduardo"},{"family":"Cauchick-Miguel","given":"Paulo A."}],"issued":{"date-parts":[["2018"]]}}}],"schema":"https://github.com/citation-style-language/schema/raw/master/csl-citation.json"} </w:instrText>
      </w:r>
      <w:r w:rsidR="00006E41" w:rsidRPr="00627B37">
        <w:rPr>
          <w:rFonts w:eastAsia="Calibri"/>
          <w:sz w:val="26"/>
          <w:szCs w:val="26"/>
          <w:lang w:val="en-US"/>
        </w:rPr>
        <w:fldChar w:fldCharType="separate"/>
      </w:r>
      <w:r w:rsidR="00006E41" w:rsidRPr="00627B37">
        <w:rPr>
          <w:rFonts w:eastAsia="Calibri"/>
          <w:sz w:val="26"/>
          <w:szCs w:val="26"/>
          <w:lang w:val="en-US"/>
        </w:rPr>
        <w:t>(Sousa-Zomer et al., 201</w:t>
      </w:r>
      <w:r w:rsidR="008809A9" w:rsidRPr="00627B37">
        <w:rPr>
          <w:rFonts w:eastAsia="Calibri"/>
          <w:sz w:val="26"/>
          <w:szCs w:val="26"/>
          <w:lang w:val="en-US"/>
        </w:rPr>
        <w:t>7</w:t>
      </w:r>
      <w:r w:rsidR="00006E41" w:rsidRPr="00627B37">
        <w:rPr>
          <w:rFonts w:eastAsia="Calibri"/>
          <w:sz w:val="26"/>
          <w:szCs w:val="26"/>
          <w:lang w:val="en-US"/>
        </w:rPr>
        <w:t>)</w:t>
      </w:r>
      <w:r w:rsidR="00006E41" w:rsidRPr="00627B37">
        <w:rPr>
          <w:rFonts w:eastAsia="Calibri"/>
          <w:sz w:val="26"/>
          <w:szCs w:val="26"/>
          <w:lang w:val="en-US"/>
        </w:rPr>
        <w:fldChar w:fldCharType="end"/>
      </w:r>
      <w:r w:rsidRPr="00627B37">
        <w:rPr>
          <w:rFonts w:eastAsia="Calibri"/>
          <w:sz w:val="26"/>
          <w:szCs w:val="26"/>
          <w:lang w:val="en-US"/>
        </w:rPr>
        <w:t>, reverse logistics infrastructure</w:t>
      </w:r>
      <w:r w:rsidR="00006E41" w:rsidRPr="00627B37">
        <w:rPr>
          <w:rFonts w:eastAsia="Calibri"/>
          <w:sz w:val="26"/>
          <w:szCs w:val="26"/>
          <w:lang w:val="en-US"/>
        </w:rPr>
        <w:t xml:space="preserve"> </w:t>
      </w:r>
      <w:r w:rsidR="00006E41" w:rsidRPr="00627B37">
        <w:rPr>
          <w:rFonts w:eastAsia="Calibri"/>
          <w:sz w:val="26"/>
          <w:szCs w:val="26"/>
          <w:lang w:val="en-US"/>
        </w:rPr>
        <w:fldChar w:fldCharType="begin"/>
      </w:r>
      <w:r w:rsidR="00006E41" w:rsidRPr="00627B37">
        <w:rPr>
          <w:rFonts w:eastAsia="Calibri"/>
          <w:sz w:val="26"/>
          <w:szCs w:val="26"/>
          <w:lang w:val="en-US"/>
        </w:rPr>
        <w:instrText xml:space="preserve"> ADDIN ZOTERO_ITEM CSL_CITATION {"citationID":"cmfpqon4","properties":{"formattedCitation":"(Scavarda et al., 2019)","plainCitation":"(Scavarda et al., 2019)","noteIndex":0},"citationItems":[{"id":3051,"uris":["http://zotero.org/users/local/Alzi7ROo/items/QJ654P3I"],"itemData":{"id":3051,"type":"article-journal","container-title":"Resources, Conservation and Recycling","note":"publisher: Elsevier","page":"418–430","source":"Google Scholar","title":"A proposed healthcare supply chain management framework in the emerging economies with the sustainable lenses: The theory, the practice, and the policy","title-short":"A proposed healthcare supply chain management framework in the emerging economies with the sustainable lenses","volume":"141","author":[{"family":"Scavarda","given":"Annibal"},{"family":"Daú","given":"Gláucya Lima"},{"family":"Scavarda","given":"Luiz Felipe"},{"family":"Korzenowski","given":"André Luís"}],"issued":{"date-parts":[["2019"]]}}}],"schema":"https://github.com/citation-style-language/schema/raw/master/csl-citation.json"} </w:instrText>
      </w:r>
      <w:r w:rsidR="00006E41" w:rsidRPr="00627B37">
        <w:rPr>
          <w:rFonts w:eastAsia="Calibri"/>
          <w:sz w:val="26"/>
          <w:szCs w:val="26"/>
          <w:lang w:val="en-US"/>
        </w:rPr>
        <w:fldChar w:fldCharType="separate"/>
      </w:r>
      <w:r w:rsidR="00006E41" w:rsidRPr="00627B37">
        <w:rPr>
          <w:rFonts w:eastAsia="Calibri"/>
          <w:sz w:val="26"/>
          <w:szCs w:val="26"/>
          <w:lang w:val="en-US"/>
        </w:rPr>
        <w:t>(Scavarda et al., 201</w:t>
      </w:r>
      <w:r w:rsidR="008809A9" w:rsidRPr="00627B37">
        <w:rPr>
          <w:rFonts w:eastAsia="Calibri"/>
          <w:sz w:val="26"/>
          <w:szCs w:val="26"/>
          <w:lang w:val="en-US"/>
        </w:rPr>
        <w:t>8</w:t>
      </w:r>
      <w:r w:rsidR="00006E41" w:rsidRPr="00627B37">
        <w:rPr>
          <w:rFonts w:eastAsia="Calibri"/>
          <w:sz w:val="26"/>
          <w:szCs w:val="26"/>
          <w:lang w:val="en-US"/>
        </w:rPr>
        <w:t>)</w:t>
      </w:r>
      <w:r w:rsidR="00006E41" w:rsidRPr="00627B37">
        <w:rPr>
          <w:rFonts w:eastAsia="Calibri"/>
          <w:sz w:val="26"/>
          <w:szCs w:val="26"/>
          <w:lang w:val="en-US"/>
        </w:rPr>
        <w:fldChar w:fldCharType="end"/>
      </w:r>
      <w:r w:rsidRPr="00627B37">
        <w:rPr>
          <w:rFonts w:eastAsia="Calibri"/>
          <w:sz w:val="26"/>
          <w:szCs w:val="26"/>
          <w:lang w:val="en-US"/>
        </w:rPr>
        <w:t>, and circular supply chain design</w:t>
      </w:r>
      <w:r w:rsidR="0054348B" w:rsidRPr="00627B37">
        <w:rPr>
          <w:rFonts w:eastAsia="Calibri"/>
          <w:sz w:val="26"/>
          <w:szCs w:val="26"/>
          <w:lang w:val="en-US"/>
        </w:rPr>
        <w:t xml:space="preserve"> </w:t>
      </w:r>
      <w:r w:rsidR="0054348B" w:rsidRPr="00627B37">
        <w:rPr>
          <w:rFonts w:eastAsia="Calibri"/>
          <w:sz w:val="26"/>
          <w:szCs w:val="26"/>
          <w:lang w:val="en-US"/>
        </w:rPr>
        <w:fldChar w:fldCharType="begin"/>
      </w:r>
      <w:r w:rsidR="0054348B" w:rsidRPr="00627B37">
        <w:rPr>
          <w:rFonts w:eastAsia="Calibri"/>
          <w:sz w:val="26"/>
          <w:szCs w:val="26"/>
          <w:lang w:val="en-US"/>
        </w:rPr>
        <w:instrText xml:space="preserve"> ADDIN ZOTERO_ITEM CSL_CITATION {"citationID":"xn9bMD3G","properties":{"formattedCitation":"(Ripanti &amp; Tjahjono, 2019)","plainCitation":"(Ripanti &amp; Tjahjono, 2019)","noteIndex":0},"citationItems":[{"id":44,"uris":["http://zotero.org/users/local/Alzi7ROo/items/EJRPQ7P7"],"itemData":{"id":44,"type":"article-journal","container-title":"The International Journal of Logistics Management","note":"publisher: Emerald Publishing Limited","source":"Google Scholar","title":"Unveiling the potentials of circular economy values in logistics and supply chain management","author":[{"family":"Ripanti","given":"Eva Faja"},{"family":"Tjahjono","given":"Benny"}],"issued":{"date-parts":[["2019"]]}}}],"schema":"https://github.com/citation-style-language/schema/raw/master/csl-citation.json"} </w:instrText>
      </w:r>
      <w:r w:rsidR="0054348B" w:rsidRPr="00627B37">
        <w:rPr>
          <w:rFonts w:eastAsia="Calibri"/>
          <w:sz w:val="26"/>
          <w:szCs w:val="26"/>
          <w:lang w:val="en-US"/>
        </w:rPr>
        <w:fldChar w:fldCharType="separate"/>
      </w:r>
      <w:r w:rsidR="0054348B" w:rsidRPr="00627B37">
        <w:rPr>
          <w:rFonts w:eastAsia="Calibri"/>
          <w:sz w:val="26"/>
          <w:szCs w:val="26"/>
          <w:lang w:val="en-US"/>
        </w:rPr>
        <w:t>(Ripanti &amp; Tjahjono, 2019)</w:t>
      </w:r>
      <w:r w:rsidR="0054348B" w:rsidRPr="00627B37">
        <w:rPr>
          <w:rFonts w:eastAsia="Calibri"/>
          <w:sz w:val="26"/>
          <w:szCs w:val="26"/>
          <w:lang w:val="en-US"/>
        </w:rPr>
        <w:fldChar w:fldCharType="end"/>
      </w:r>
      <w:r w:rsidRPr="00627B37">
        <w:rPr>
          <w:rFonts w:eastAsia="Calibri"/>
          <w:sz w:val="26"/>
          <w:szCs w:val="26"/>
          <w:lang w:val="en-US"/>
        </w:rPr>
        <w:t>, develop the structural and functional settings of circularity, environmental sustainability initiatives are required to ensure that the approach directly addresses and tracks ecological effects. They establish specific measures that strengthen environmental responsibility and facilitate conformity with the environmental standards of performance. Incorporating these initiatives into the framework also allows one to avoid the situation where ecological priorities are considered secondary outcomes, but rather as direct goals being pursued alongside the circular initiatives.</w:t>
      </w:r>
    </w:p>
    <w:p w14:paraId="3AF28CE4" w14:textId="77777777" w:rsidR="0069172C" w:rsidRPr="009A3785" w:rsidRDefault="0069172C" w:rsidP="00824E69">
      <w:pPr>
        <w:snapToGrid w:val="0"/>
        <w:spacing w:line="300" w:lineRule="auto"/>
        <w:ind w:firstLine="480"/>
        <w:jc w:val="both"/>
        <w:rPr>
          <w:rFonts w:eastAsia="新細明體"/>
          <w:sz w:val="26"/>
          <w:szCs w:val="26"/>
          <w:lang w:val="en-US" w:eastAsia="zh-TW"/>
        </w:rPr>
      </w:pPr>
    </w:p>
    <w:p w14:paraId="00BFE197" w14:textId="76530581" w:rsidR="00ED53C8" w:rsidRPr="00351150" w:rsidRDefault="003D310E" w:rsidP="00824E69">
      <w:pPr>
        <w:pStyle w:val="keywords"/>
        <w:spacing w:after="0" w:line="300" w:lineRule="auto"/>
        <w:ind w:firstLine="0"/>
        <w:rPr>
          <w:rStyle w:val="30"/>
          <w:rFonts w:ascii="Times New Roman" w:eastAsiaTheme="majorEastAsia" w:hAnsi="Times New Roman" w:cs="Times New Roman"/>
          <w:b/>
          <w:bCs/>
          <w:i w:val="0"/>
          <w:iCs w:val="0"/>
          <w:color w:val="auto"/>
        </w:rPr>
      </w:pPr>
      <w:r w:rsidRPr="00351150">
        <w:rPr>
          <w:rStyle w:val="30"/>
          <w:rFonts w:ascii="Times New Roman" w:eastAsiaTheme="majorEastAsia" w:hAnsi="Times New Roman" w:cs="Times New Roman"/>
          <w:b/>
          <w:bCs/>
          <w:i w:val="0"/>
          <w:iCs w:val="0"/>
          <w:color w:val="auto"/>
        </w:rPr>
        <w:t xml:space="preserve">Economic </w:t>
      </w:r>
      <w:r w:rsidR="00C32E9C" w:rsidRPr="00351150">
        <w:rPr>
          <w:rStyle w:val="30"/>
          <w:rFonts w:ascii="Times New Roman" w:eastAsiaTheme="majorEastAsia" w:hAnsi="Times New Roman" w:cs="Times New Roman"/>
          <w:b/>
          <w:bCs/>
          <w:i w:val="0"/>
          <w:iCs w:val="0"/>
          <w:color w:val="auto"/>
        </w:rPr>
        <w:t>G</w:t>
      </w:r>
      <w:r w:rsidRPr="00351150">
        <w:rPr>
          <w:rStyle w:val="30"/>
          <w:rFonts w:ascii="Times New Roman" w:eastAsiaTheme="majorEastAsia" w:hAnsi="Times New Roman" w:cs="Times New Roman"/>
          <w:b/>
          <w:bCs/>
          <w:i w:val="0"/>
          <w:iCs w:val="0"/>
          <w:color w:val="auto"/>
        </w:rPr>
        <w:t>rowth</w:t>
      </w:r>
      <w:r w:rsidR="00FD26E7" w:rsidRPr="00351150">
        <w:rPr>
          <w:rStyle w:val="30"/>
          <w:rFonts w:ascii="Times New Roman" w:eastAsiaTheme="majorEastAsia" w:hAnsi="Times New Roman" w:cs="Times New Roman"/>
          <w:b/>
          <w:bCs/>
          <w:i w:val="0"/>
          <w:iCs w:val="0"/>
          <w:color w:val="auto"/>
        </w:rPr>
        <w:t>: Foundations and Indicators</w:t>
      </w:r>
    </w:p>
    <w:p w14:paraId="32EFC33B" w14:textId="3A33BA74" w:rsidR="00ED53C8" w:rsidRPr="009A3785" w:rsidRDefault="001E1313" w:rsidP="00824E69">
      <w:pPr>
        <w:snapToGrid w:val="0"/>
        <w:spacing w:line="300" w:lineRule="auto"/>
        <w:ind w:firstLine="480"/>
        <w:jc w:val="both"/>
        <w:rPr>
          <w:rFonts w:eastAsia="新細明體"/>
          <w:sz w:val="26"/>
          <w:szCs w:val="26"/>
          <w:lang w:val="en-US" w:eastAsia="zh-TW"/>
        </w:rPr>
      </w:pPr>
      <w:r w:rsidRPr="009A3785">
        <w:rPr>
          <w:rFonts w:eastAsia="新細明體"/>
          <w:sz w:val="26"/>
          <w:szCs w:val="26"/>
          <w:lang w:val="en-US" w:eastAsia="zh-TW"/>
        </w:rPr>
        <w:t xml:space="preserve">Economic growth has emerged as </w:t>
      </w:r>
      <w:r w:rsidR="009D49A1">
        <w:rPr>
          <w:rFonts w:eastAsia="新細明體"/>
          <w:sz w:val="26"/>
          <w:szCs w:val="26"/>
          <w:lang w:val="en-US" w:eastAsia="zh-TW"/>
        </w:rPr>
        <w:t>the</w:t>
      </w:r>
      <w:r w:rsidRPr="009A3785">
        <w:rPr>
          <w:rFonts w:eastAsia="新細明體"/>
          <w:sz w:val="26"/>
          <w:szCs w:val="26"/>
          <w:lang w:val="en-US" w:eastAsia="zh-TW"/>
        </w:rPr>
        <w:t xml:space="preserve"> ultimate objective of governments </w:t>
      </w:r>
      <w:r w:rsidR="009D49A1">
        <w:rPr>
          <w:rFonts w:eastAsia="新細明體"/>
          <w:sz w:val="26"/>
          <w:szCs w:val="26"/>
          <w:lang w:val="en-US" w:eastAsia="zh-TW"/>
        </w:rPr>
        <w:t>worldwide</w:t>
      </w:r>
      <w:r w:rsidRPr="009A3785">
        <w:rPr>
          <w:rFonts w:eastAsia="新細明體"/>
          <w:sz w:val="26"/>
          <w:szCs w:val="26"/>
          <w:lang w:val="en-US" w:eastAsia="zh-TW"/>
        </w:rPr>
        <w:t xml:space="preserve">, considered an indicator of good progress and stability. It is </w:t>
      </w:r>
      <w:r w:rsidR="009D49A1">
        <w:rPr>
          <w:rFonts w:eastAsia="新細明體"/>
          <w:sz w:val="26"/>
          <w:szCs w:val="26"/>
          <w:lang w:val="en-US" w:eastAsia="zh-TW"/>
        </w:rPr>
        <w:t>gener</w:t>
      </w:r>
      <w:r w:rsidRPr="009A3785">
        <w:rPr>
          <w:rFonts w:eastAsia="新細明體"/>
          <w:sz w:val="26"/>
          <w:szCs w:val="26"/>
          <w:lang w:val="en-US" w:eastAsia="zh-TW"/>
        </w:rPr>
        <w:t>ally measured through the growth of the Gross Domestic Product (GDP)</w:t>
      </w:r>
      <w:r w:rsidR="009D49A1">
        <w:rPr>
          <w:rFonts w:eastAsia="新細明體"/>
          <w:sz w:val="26"/>
          <w:szCs w:val="26"/>
          <w:lang w:val="en-US" w:eastAsia="zh-TW"/>
        </w:rPr>
        <w:t>,</w:t>
      </w:r>
      <w:r w:rsidRPr="009A3785">
        <w:rPr>
          <w:rFonts w:eastAsia="新細明體"/>
          <w:sz w:val="26"/>
          <w:szCs w:val="26"/>
          <w:lang w:val="en-US" w:eastAsia="zh-TW"/>
        </w:rPr>
        <w:t xml:space="preserve"> </w:t>
      </w:r>
      <w:r w:rsidR="009D49A1">
        <w:rPr>
          <w:rFonts w:eastAsia="新細明體"/>
          <w:sz w:val="26"/>
          <w:szCs w:val="26"/>
          <w:lang w:val="en-US" w:eastAsia="zh-TW"/>
        </w:rPr>
        <w:t>which is</w:t>
      </w:r>
      <w:r w:rsidRPr="009A3785">
        <w:rPr>
          <w:rFonts w:eastAsia="新細明體"/>
          <w:sz w:val="26"/>
          <w:szCs w:val="26"/>
          <w:lang w:val="en-US" w:eastAsia="zh-TW"/>
        </w:rPr>
        <w:t xml:space="preserve"> the increase </w:t>
      </w:r>
      <w:r w:rsidR="007D230A" w:rsidRPr="009A3785">
        <w:rPr>
          <w:rFonts w:eastAsia="新細明體"/>
          <w:sz w:val="26"/>
          <w:szCs w:val="26"/>
          <w:lang w:val="en-US" w:eastAsia="zh-TW"/>
        </w:rPr>
        <w:t>each year</w:t>
      </w:r>
      <w:r w:rsidRPr="009A3785">
        <w:rPr>
          <w:rFonts w:eastAsia="新細明體"/>
          <w:sz w:val="26"/>
          <w:szCs w:val="26"/>
          <w:lang w:val="en-US" w:eastAsia="zh-TW"/>
        </w:rPr>
        <w:t xml:space="preserve"> </w:t>
      </w:r>
      <w:r w:rsidR="009D49A1">
        <w:rPr>
          <w:rFonts w:eastAsia="新細明體"/>
          <w:sz w:val="26"/>
          <w:szCs w:val="26"/>
          <w:lang w:val="en-US" w:eastAsia="zh-TW"/>
        </w:rPr>
        <w:t>in</w:t>
      </w:r>
      <w:r w:rsidRPr="009A3785">
        <w:rPr>
          <w:rFonts w:eastAsia="新細明體"/>
          <w:sz w:val="26"/>
          <w:szCs w:val="26"/>
          <w:lang w:val="en-US" w:eastAsia="zh-TW"/>
        </w:rPr>
        <w:t xml:space="preserve"> the total value of goods and services produced in a Country. The focus on economic growth as a central goal of </w:t>
      </w:r>
      <w:r w:rsidR="005F71CA" w:rsidRPr="009A3785">
        <w:rPr>
          <w:rFonts w:eastAsia="新細明體"/>
          <w:sz w:val="26"/>
          <w:szCs w:val="26"/>
          <w:lang w:val="en-US" w:eastAsia="zh-TW"/>
        </w:rPr>
        <w:t>policymaking</w:t>
      </w:r>
      <w:r w:rsidRPr="009A3785">
        <w:rPr>
          <w:rFonts w:eastAsia="新細明體"/>
          <w:sz w:val="26"/>
          <w:szCs w:val="26"/>
          <w:lang w:val="en-US" w:eastAsia="zh-TW"/>
        </w:rPr>
        <w:t xml:space="preserve"> </w:t>
      </w:r>
      <w:r w:rsidR="009D49A1">
        <w:rPr>
          <w:rFonts w:eastAsia="新細明體"/>
          <w:sz w:val="26"/>
          <w:szCs w:val="26"/>
          <w:lang w:val="en-US" w:eastAsia="zh-TW"/>
        </w:rPr>
        <w:t>gained widespread us</w:t>
      </w:r>
      <w:r w:rsidRPr="009A3785">
        <w:rPr>
          <w:rFonts w:eastAsia="新細明體"/>
          <w:sz w:val="26"/>
          <w:szCs w:val="26"/>
          <w:lang w:val="en-US" w:eastAsia="zh-TW"/>
        </w:rPr>
        <w:t xml:space="preserve">e in the mid-20th century, </w:t>
      </w:r>
      <w:r w:rsidR="009D49A1">
        <w:rPr>
          <w:rFonts w:eastAsia="新細明體"/>
          <w:sz w:val="26"/>
          <w:szCs w:val="26"/>
          <w:lang w:val="en-US" w:eastAsia="zh-TW"/>
        </w:rPr>
        <w:t>particular</w:t>
      </w:r>
      <w:r w:rsidRPr="009A3785">
        <w:rPr>
          <w:rFonts w:eastAsia="新細明體"/>
          <w:sz w:val="26"/>
          <w:szCs w:val="26"/>
          <w:lang w:val="en-US" w:eastAsia="zh-TW"/>
        </w:rPr>
        <w:t xml:space="preserve">ly after World War II, when countries began to systematize the means of measuring and maximizing </w:t>
      </w:r>
      <w:r w:rsidR="009D49A1">
        <w:rPr>
          <w:rFonts w:eastAsia="新細明體"/>
          <w:sz w:val="26"/>
          <w:szCs w:val="26"/>
          <w:lang w:val="en-US" w:eastAsia="zh-TW"/>
        </w:rPr>
        <w:t>economic performance</w:t>
      </w:r>
      <w:r w:rsidRPr="009A3785">
        <w:rPr>
          <w:rFonts w:eastAsia="新細明體"/>
          <w:sz w:val="26"/>
          <w:szCs w:val="26"/>
          <w:lang w:val="en-US" w:eastAsia="zh-TW"/>
        </w:rPr>
        <w:t xml:space="preserve"> </w:t>
      </w:r>
      <w:r w:rsidR="00414911" w:rsidRPr="009A3785">
        <w:rPr>
          <w:rFonts w:eastAsia="新細明體"/>
          <w:sz w:val="26"/>
          <w:szCs w:val="26"/>
          <w:lang w:val="en-US" w:eastAsia="zh-TW"/>
        </w:rPr>
        <w:fldChar w:fldCharType="begin"/>
      </w:r>
      <w:r w:rsidR="00414911" w:rsidRPr="009A3785">
        <w:rPr>
          <w:rFonts w:eastAsia="新細明體"/>
          <w:sz w:val="26"/>
          <w:szCs w:val="26"/>
          <w:lang w:val="en-US" w:eastAsia="zh-TW"/>
        </w:rPr>
        <w:instrText xml:space="preserve"> ADDIN ZOTERO_ITEM CSL_CITATION {"citationID":"atJL94yQ","properties":{"formattedCitation":"(Goodwin et al., 2009)","plainCitation":"(Goodwin et al., 2009)","noteIndex":0},"citationItems":[{"id":3812,"uris":["http://zotero.org/users/local/Alzi7ROo/items/3Q4SCMPY"],"itemData":{"id":3812,"type":"article-journal","container-title":"New York","source":"Google Scholar","title":"Microeconomics in context me sharpe","author":[{"family":"Goodwin","given":"Neva"},{"family":"Nelson","given":"Julie A."},{"family":"Ackerman","given":"Frank"},{"family":"Weisskopf","given":"Thomas"}],"issued":{"date-parts":[["2009"]]}}}],"schema":"https://github.com/citation-style-language/schema/raw/master/csl-citation.json"} </w:instrText>
      </w:r>
      <w:r w:rsidR="00414911" w:rsidRPr="009A3785">
        <w:rPr>
          <w:rFonts w:eastAsia="新細明體"/>
          <w:sz w:val="26"/>
          <w:szCs w:val="26"/>
          <w:lang w:val="en-US" w:eastAsia="zh-TW"/>
        </w:rPr>
        <w:fldChar w:fldCharType="separate"/>
      </w:r>
      <w:r w:rsidR="00414911" w:rsidRPr="009A3785">
        <w:rPr>
          <w:rFonts w:eastAsia="新細明體"/>
          <w:sz w:val="26"/>
          <w:szCs w:val="26"/>
        </w:rPr>
        <w:t>(Goodwin et al., 20</w:t>
      </w:r>
      <w:r w:rsidR="00960169" w:rsidRPr="009A3785">
        <w:rPr>
          <w:rFonts w:eastAsia="新細明體"/>
          <w:sz w:val="26"/>
          <w:szCs w:val="26"/>
        </w:rPr>
        <w:t>14</w:t>
      </w:r>
      <w:r w:rsidR="00414911" w:rsidRPr="009A3785">
        <w:rPr>
          <w:rFonts w:eastAsia="新細明體"/>
          <w:sz w:val="26"/>
          <w:szCs w:val="26"/>
        </w:rPr>
        <w:t>)</w:t>
      </w:r>
      <w:r w:rsidR="00414911" w:rsidRPr="009A3785">
        <w:rPr>
          <w:rFonts w:eastAsia="新細明體"/>
          <w:sz w:val="26"/>
          <w:szCs w:val="26"/>
          <w:lang w:val="en-US" w:eastAsia="zh-TW"/>
        </w:rPr>
        <w:fldChar w:fldCharType="end"/>
      </w:r>
      <w:r w:rsidRPr="009A3785">
        <w:rPr>
          <w:rFonts w:eastAsia="新細明體"/>
          <w:sz w:val="26"/>
          <w:szCs w:val="26"/>
          <w:lang w:val="en-US" w:eastAsia="zh-TW"/>
        </w:rPr>
        <w:t xml:space="preserve">. </w:t>
      </w:r>
    </w:p>
    <w:p w14:paraId="3CD44B6B" w14:textId="4538E298" w:rsidR="00525A7B" w:rsidRPr="009A3785" w:rsidRDefault="00525A7B" w:rsidP="00824E69">
      <w:pPr>
        <w:snapToGrid w:val="0"/>
        <w:spacing w:line="300" w:lineRule="auto"/>
        <w:ind w:firstLine="480"/>
        <w:jc w:val="both"/>
        <w:rPr>
          <w:rFonts w:eastAsia="新細明體"/>
          <w:sz w:val="26"/>
          <w:szCs w:val="26"/>
          <w:lang w:val="en-US" w:eastAsia="zh-TW"/>
        </w:rPr>
      </w:pPr>
      <w:r w:rsidRPr="009A3785">
        <w:rPr>
          <w:rFonts w:eastAsia="新細明體"/>
          <w:sz w:val="26"/>
          <w:szCs w:val="26"/>
          <w:lang w:val="en-US" w:eastAsia="zh-TW"/>
        </w:rPr>
        <w:t xml:space="preserve">Economic growth is also a </w:t>
      </w:r>
      <w:r w:rsidR="009D49A1">
        <w:rPr>
          <w:rFonts w:eastAsia="新細明體"/>
          <w:sz w:val="26"/>
          <w:szCs w:val="26"/>
          <w:lang w:val="en-US" w:eastAsia="zh-TW"/>
        </w:rPr>
        <w:t>crucial</w:t>
      </w:r>
      <w:r w:rsidRPr="009A3785">
        <w:rPr>
          <w:rFonts w:eastAsia="新細明體"/>
          <w:sz w:val="26"/>
          <w:szCs w:val="26"/>
          <w:lang w:val="en-US" w:eastAsia="zh-TW"/>
        </w:rPr>
        <w:t xml:space="preserve"> undertaking in industrial </w:t>
      </w:r>
      <w:r w:rsidR="009D49A1">
        <w:rPr>
          <w:rFonts w:eastAsia="新細明體"/>
          <w:sz w:val="26"/>
          <w:szCs w:val="26"/>
          <w:lang w:val="en-US" w:eastAsia="zh-TW"/>
        </w:rPr>
        <w:t>development</w:t>
      </w:r>
      <w:r w:rsidRPr="009A3785">
        <w:rPr>
          <w:rFonts w:eastAsia="新細明體"/>
          <w:sz w:val="26"/>
          <w:szCs w:val="26"/>
          <w:lang w:val="en-US" w:eastAsia="zh-TW"/>
        </w:rPr>
        <w:t xml:space="preserve"> and </w:t>
      </w:r>
      <w:r w:rsidR="002268A7" w:rsidRPr="009A3785">
        <w:rPr>
          <w:rFonts w:eastAsia="新細明體"/>
          <w:sz w:val="26"/>
          <w:szCs w:val="26"/>
          <w:lang w:val="en-US" w:eastAsia="zh-TW"/>
        </w:rPr>
        <w:t>labor</w:t>
      </w:r>
      <w:r w:rsidRPr="009A3785">
        <w:rPr>
          <w:rFonts w:eastAsia="新細明體"/>
          <w:sz w:val="26"/>
          <w:szCs w:val="26"/>
          <w:lang w:val="en-US" w:eastAsia="zh-TW"/>
        </w:rPr>
        <w:t xml:space="preserve"> markets. A prolonged </w:t>
      </w:r>
      <w:r w:rsidR="009D49A1">
        <w:rPr>
          <w:rFonts w:eastAsia="新細明體"/>
          <w:sz w:val="26"/>
          <w:szCs w:val="26"/>
          <w:lang w:val="en-US" w:eastAsia="zh-TW"/>
        </w:rPr>
        <w:t>period</w:t>
      </w:r>
      <w:r w:rsidRPr="009A3785">
        <w:rPr>
          <w:rFonts w:eastAsia="新細明體"/>
          <w:sz w:val="26"/>
          <w:szCs w:val="26"/>
          <w:lang w:val="en-US" w:eastAsia="zh-TW"/>
        </w:rPr>
        <w:t xml:space="preserve"> of GDP </w:t>
      </w:r>
      <w:r w:rsidR="009D49A1">
        <w:rPr>
          <w:rFonts w:eastAsia="新細明體"/>
          <w:sz w:val="26"/>
          <w:szCs w:val="26"/>
          <w:lang w:val="en-US" w:eastAsia="zh-TW"/>
        </w:rPr>
        <w:t xml:space="preserve">growth </w:t>
      </w:r>
      <w:r w:rsidRPr="009A3785">
        <w:rPr>
          <w:rFonts w:eastAsia="新細明體"/>
          <w:sz w:val="26"/>
          <w:szCs w:val="26"/>
          <w:lang w:val="en-US" w:eastAsia="zh-TW"/>
        </w:rPr>
        <w:t xml:space="preserve">can </w:t>
      </w:r>
      <w:r w:rsidR="009D49A1">
        <w:rPr>
          <w:rFonts w:eastAsia="新細明體"/>
          <w:sz w:val="26"/>
          <w:szCs w:val="26"/>
          <w:lang w:val="en-US" w:eastAsia="zh-TW"/>
        </w:rPr>
        <w:t>lead to</w:t>
      </w:r>
      <w:r w:rsidRPr="009A3785">
        <w:rPr>
          <w:rFonts w:eastAsia="新細明體"/>
          <w:sz w:val="26"/>
          <w:szCs w:val="26"/>
          <w:lang w:val="en-US" w:eastAsia="zh-TW"/>
        </w:rPr>
        <w:t xml:space="preserve"> structural changes in economic affairs, </w:t>
      </w:r>
      <w:r w:rsidR="009D49A1">
        <w:rPr>
          <w:rFonts w:eastAsia="新細明體"/>
          <w:sz w:val="26"/>
          <w:szCs w:val="26"/>
          <w:lang w:val="en-US" w:eastAsia="zh-TW"/>
        </w:rPr>
        <w:t>including</w:t>
      </w:r>
      <w:r w:rsidRPr="009A3785">
        <w:rPr>
          <w:rFonts w:eastAsia="新細明體"/>
          <w:sz w:val="26"/>
          <w:szCs w:val="26"/>
          <w:lang w:val="en-US" w:eastAsia="zh-TW"/>
        </w:rPr>
        <w:t xml:space="preserve"> industrialization, expan</w:t>
      </w:r>
      <w:r w:rsidR="009D49A1">
        <w:rPr>
          <w:rFonts w:eastAsia="新細明體"/>
          <w:sz w:val="26"/>
          <w:szCs w:val="26"/>
          <w:lang w:val="en-US" w:eastAsia="zh-TW"/>
        </w:rPr>
        <w:t>sion of</w:t>
      </w:r>
      <w:r w:rsidRPr="009A3785">
        <w:rPr>
          <w:rFonts w:eastAsia="新細明體"/>
          <w:sz w:val="26"/>
          <w:szCs w:val="26"/>
          <w:lang w:val="en-US" w:eastAsia="zh-TW"/>
        </w:rPr>
        <w:t xml:space="preserve"> the job market, and infrastructure improvement. In areas with high unemployment rates, </w:t>
      </w:r>
      <w:r w:rsidR="009D49A1">
        <w:rPr>
          <w:rFonts w:eastAsia="新細明體"/>
          <w:sz w:val="26"/>
          <w:szCs w:val="26"/>
          <w:lang w:val="en-US" w:eastAsia="zh-TW"/>
        </w:rPr>
        <w:t>economic</w:t>
      </w:r>
      <w:r w:rsidRPr="009A3785">
        <w:rPr>
          <w:rFonts w:eastAsia="新細明體"/>
          <w:sz w:val="26"/>
          <w:szCs w:val="26"/>
          <w:lang w:val="en-US" w:eastAsia="zh-TW"/>
        </w:rPr>
        <w:t xml:space="preserve"> expansion </w:t>
      </w:r>
      <w:r w:rsidR="009D49A1">
        <w:rPr>
          <w:rFonts w:eastAsia="新細明體"/>
          <w:sz w:val="26"/>
          <w:szCs w:val="26"/>
          <w:lang w:val="en-US" w:eastAsia="zh-TW"/>
        </w:rPr>
        <w:t>can help reduce</w:t>
      </w:r>
      <w:r w:rsidRPr="009A3785">
        <w:rPr>
          <w:rFonts w:eastAsia="新細明體"/>
          <w:sz w:val="26"/>
          <w:szCs w:val="26"/>
          <w:lang w:val="en-US" w:eastAsia="zh-TW"/>
        </w:rPr>
        <w:t xml:space="preserve"> unemployment rates </w:t>
      </w:r>
      <w:r w:rsidR="009D49A1">
        <w:rPr>
          <w:rFonts w:eastAsia="新細明體"/>
          <w:sz w:val="26"/>
          <w:szCs w:val="26"/>
          <w:lang w:val="en-US" w:eastAsia="zh-TW"/>
        </w:rPr>
        <w:t>by increasing</w:t>
      </w:r>
      <w:r w:rsidRPr="009A3785">
        <w:rPr>
          <w:rFonts w:eastAsia="新細明體"/>
          <w:sz w:val="26"/>
          <w:szCs w:val="26"/>
          <w:lang w:val="en-US" w:eastAsia="zh-TW"/>
        </w:rPr>
        <w:t xml:space="preserve"> </w:t>
      </w:r>
      <w:r w:rsidR="002268A7" w:rsidRPr="009A3785">
        <w:rPr>
          <w:rFonts w:eastAsia="新細明體"/>
          <w:sz w:val="26"/>
          <w:szCs w:val="26"/>
          <w:lang w:val="en-US" w:eastAsia="zh-TW"/>
        </w:rPr>
        <w:t>labor</w:t>
      </w:r>
      <w:r w:rsidRPr="009A3785">
        <w:rPr>
          <w:rFonts w:eastAsia="新細明體"/>
          <w:sz w:val="26"/>
          <w:szCs w:val="26"/>
          <w:lang w:val="en-US" w:eastAsia="zh-TW"/>
        </w:rPr>
        <w:t xml:space="preserve"> demand in industries </w:t>
      </w:r>
      <w:r w:rsidRPr="009A3785">
        <w:rPr>
          <w:rFonts w:eastAsia="新細明體"/>
          <w:sz w:val="26"/>
          <w:szCs w:val="26"/>
          <w:lang w:val="en-US" w:eastAsia="zh-TW"/>
        </w:rPr>
        <w:fldChar w:fldCharType="begin"/>
      </w:r>
      <w:r w:rsidRPr="009A3785">
        <w:rPr>
          <w:rFonts w:eastAsia="新細明體"/>
          <w:sz w:val="26"/>
          <w:szCs w:val="26"/>
          <w:lang w:val="en-US" w:eastAsia="zh-TW"/>
        </w:rPr>
        <w:instrText xml:space="preserve"> ADDIN ZOTERO_ITEM CSL_CITATION {"citationID":"zYsYtS0m","properties":{"formattedCitation":"(Mitchell &amp; James, 2015)","plainCitation":"(Mitchell &amp; James, 2015)","noteIndex":0},"citationItems":[{"id":3011,"uris":["http://zotero.org/users/local/Alzi7ROo/items/4E4HH8KR"],"itemData":{"id":3011,"type":"article-journal","DOI":"10.13140/RG.2.1.3516.8725","language":"en","note":"publisher: Unpublished","source":"DOI.org (Datacite)","title":"ECONOMIC GROWTH POTENTIAL OF MORE CIRCULAR ECONOMIES","URL":"http://rgdoi.net/10.13140/RG.2.1.3516.8725","author":[{"family":"Mitchell","given":"Peter"},{"family":"James","given":"Keith"}],"accessed":{"date-parts":[["2024",1,17]]},"issued":{"date-parts":[["2015"]]}}}],"schema":"https://github.com/citation-style-language/schema/raw/master/csl-citation.json"} </w:instrText>
      </w:r>
      <w:r w:rsidRPr="009A3785">
        <w:rPr>
          <w:rFonts w:eastAsia="新細明體"/>
          <w:sz w:val="26"/>
          <w:szCs w:val="26"/>
          <w:lang w:val="en-US" w:eastAsia="zh-TW"/>
        </w:rPr>
        <w:fldChar w:fldCharType="separate"/>
      </w:r>
      <w:r w:rsidRPr="009A3785">
        <w:rPr>
          <w:rFonts w:eastAsia="新細明體"/>
          <w:sz w:val="26"/>
          <w:szCs w:val="26"/>
        </w:rPr>
        <w:t>(</w:t>
      </w:r>
      <w:r w:rsidR="009E5A12" w:rsidRPr="009A3785">
        <w:rPr>
          <w:rFonts w:eastAsia="新細明體"/>
          <w:sz w:val="26"/>
          <w:szCs w:val="26"/>
        </w:rPr>
        <w:t>Horbach &amp; Rammer, 2019</w:t>
      </w:r>
      <w:r w:rsidRPr="009A3785">
        <w:rPr>
          <w:rFonts w:eastAsia="新細明體"/>
          <w:sz w:val="26"/>
          <w:szCs w:val="26"/>
        </w:rPr>
        <w:t>)</w:t>
      </w:r>
      <w:r w:rsidRPr="009A3785">
        <w:rPr>
          <w:rFonts w:eastAsia="新細明體"/>
          <w:sz w:val="26"/>
          <w:szCs w:val="26"/>
          <w:lang w:val="en-US" w:eastAsia="zh-TW"/>
        </w:rPr>
        <w:fldChar w:fldCharType="end"/>
      </w:r>
      <w:r w:rsidRPr="009A3785">
        <w:rPr>
          <w:rFonts w:eastAsia="新細明體"/>
          <w:sz w:val="26"/>
          <w:szCs w:val="26"/>
          <w:lang w:val="en-US" w:eastAsia="zh-TW"/>
        </w:rPr>
        <w:t xml:space="preserve">. Although the evolutions in </w:t>
      </w:r>
      <w:r w:rsidR="009D49A1">
        <w:rPr>
          <w:rFonts w:eastAsia="新細明體"/>
          <w:sz w:val="26"/>
          <w:szCs w:val="26"/>
          <w:lang w:val="en-US" w:eastAsia="zh-TW"/>
        </w:rPr>
        <w:t>labo</w:t>
      </w:r>
      <w:r w:rsidRPr="009A3785">
        <w:rPr>
          <w:rFonts w:eastAsia="新細明體"/>
          <w:sz w:val="26"/>
          <w:szCs w:val="26"/>
          <w:lang w:val="en-US" w:eastAsia="zh-TW"/>
        </w:rPr>
        <w:t xml:space="preserve">r productivity during economic expansions in the past have occasionally produced uneven employment patterns, some of these shifts have led to a broad-based improvement in the </w:t>
      </w:r>
      <w:r w:rsidR="009D49A1">
        <w:rPr>
          <w:rFonts w:eastAsia="新細明體"/>
          <w:sz w:val="26"/>
          <w:szCs w:val="26"/>
          <w:lang w:val="en-US" w:eastAsia="zh-TW"/>
        </w:rPr>
        <w:t>national and local employment situations</w:t>
      </w:r>
      <w:r w:rsidRPr="009A3785">
        <w:rPr>
          <w:rFonts w:eastAsia="新細明體"/>
          <w:sz w:val="26"/>
          <w:szCs w:val="26"/>
          <w:lang w:val="en-US" w:eastAsia="zh-TW"/>
        </w:rPr>
        <w:t>.</w:t>
      </w:r>
    </w:p>
    <w:p w14:paraId="3E484EE1" w14:textId="4433EF85" w:rsidR="00695544" w:rsidRPr="009A3785" w:rsidRDefault="00695544" w:rsidP="00824E69">
      <w:pPr>
        <w:snapToGrid w:val="0"/>
        <w:spacing w:line="300" w:lineRule="auto"/>
        <w:ind w:firstLine="480"/>
        <w:jc w:val="both"/>
        <w:rPr>
          <w:rFonts w:eastAsia="新細明體"/>
          <w:sz w:val="26"/>
          <w:szCs w:val="26"/>
          <w:lang w:val="en-US" w:eastAsia="zh-TW"/>
        </w:rPr>
      </w:pPr>
      <w:r w:rsidRPr="009A3785">
        <w:rPr>
          <w:rFonts w:eastAsia="新細明體"/>
          <w:sz w:val="26"/>
          <w:szCs w:val="26"/>
          <w:lang w:val="en-US" w:eastAsia="zh-TW"/>
        </w:rPr>
        <w:t xml:space="preserve">Economic growth at the business level </w:t>
      </w:r>
      <w:r w:rsidR="009D49A1">
        <w:rPr>
          <w:rFonts w:eastAsia="新細明體"/>
          <w:sz w:val="26"/>
          <w:szCs w:val="26"/>
          <w:lang w:val="en-US" w:eastAsia="zh-TW"/>
        </w:rPr>
        <w:t>foster</w:t>
      </w:r>
      <w:r w:rsidRPr="009A3785">
        <w:rPr>
          <w:rFonts w:eastAsia="新細明體"/>
          <w:sz w:val="26"/>
          <w:szCs w:val="26"/>
          <w:lang w:val="en-US" w:eastAsia="zh-TW"/>
        </w:rPr>
        <w:t xml:space="preserve">s an </w:t>
      </w:r>
      <w:r w:rsidR="009D49A1">
        <w:rPr>
          <w:rFonts w:eastAsia="新細明體"/>
          <w:sz w:val="26"/>
          <w:szCs w:val="26"/>
          <w:lang w:val="en-US" w:eastAsia="zh-TW"/>
        </w:rPr>
        <w:t>environment</w:t>
      </w:r>
      <w:r w:rsidRPr="009A3785">
        <w:rPr>
          <w:rFonts w:eastAsia="新細明體"/>
          <w:sz w:val="26"/>
          <w:szCs w:val="26"/>
          <w:lang w:val="en-US" w:eastAsia="zh-TW"/>
        </w:rPr>
        <w:t xml:space="preserve"> </w:t>
      </w:r>
      <w:r w:rsidR="006650C9">
        <w:rPr>
          <w:rFonts w:eastAsia="新細明體"/>
          <w:sz w:val="26"/>
          <w:szCs w:val="26"/>
          <w:lang w:val="en-US" w:eastAsia="zh-TW"/>
        </w:rPr>
        <w:t>that attracts firms</w:t>
      </w:r>
      <w:r w:rsidRPr="009A3785">
        <w:rPr>
          <w:rFonts w:eastAsia="新細明體"/>
          <w:sz w:val="26"/>
          <w:szCs w:val="26"/>
          <w:lang w:val="en-US" w:eastAsia="zh-TW"/>
        </w:rPr>
        <w:t xml:space="preserve"> to research, innovation, and increased productivity. These investments enable companies to be more competitive in responding to emerging </w:t>
      </w:r>
      <w:r w:rsidR="009D49A1">
        <w:rPr>
          <w:rFonts w:eastAsia="新細明體"/>
          <w:sz w:val="26"/>
          <w:szCs w:val="26"/>
          <w:lang w:val="en-US" w:eastAsia="zh-TW"/>
        </w:rPr>
        <w:t>market conditions</w:t>
      </w:r>
      <w:r w:rsidRPr="009A3785">
        <w:rPr>
          <w:rFonts w:eastAsia="新細明體"/>
          <w:sz w:val="26"/>
          <w:szCs w:val="26"/>
          <w:lang w:val="en-US" w:eastAsia="zh-TW"/>
        </w:rPr>
        <w:t xml:space="preserve"> </w:t>
      </w:r>
      <w:r w:rsidRPr="009A3785">
        <w:rPr>
          <w:rFonts w:eastAsia="新細明體"/>
          <w:sz w:val="26"/>
          <w:szCs w:val="26"/>
          <w:lang w:val="en-US" w:eastAsia="zh-TW"/>
        </w:rPr>
        <w:fldChar w:fldCharType="begin"/>
      </w:r>
      <w:r w:rsidRPr="009A3785">
        <w:rPr>
          <w:rFonts w:eastAsia="新細明體"/>
          <w:sz w:val="26"/>
          <w:szCs w:val="26"/>
          <w:lang w:val="en-US" w:eastAsia="zh-TW"/>
        </w:rPr>
        <w:instrText xml:space="preserve"> ADDIN ZOTERO_ITEM CSL_CITATION {"citationID":"0qFhIPQa","properties":{"formattedCitation":"(Flachenecker &amp; Kornejew, 2019)","plainCitation":"(Flachenecker &amp; Kornejew, 2019)","noteIndex":0},"citationItems":[{"id":3096,"uris":["http://zotero.org/users/local/Alzi7ROo/items/WTUJX5NS"],"itemData":{"id":3096,"type":"article-journal","container-title":"Environmental Economics and Policy Studies","DOI":"10.1007/s10018-018-0223-z","ISSN":"1432-847X, 1867-383X","issue":"1","journalAbbreviation":"Environ Econ Policy Stud","language":"en","page":"87-122","source":"DOI.org (Crossref)","title":"The causal impact of material productivity on microeconomic competitiveness and environmental performance in the European Union","volume":"21","author":[{"family":"Flachenecker","given":"Florian"},{"family":"Kornejew","given":"Martin"}],"issued":{"date-parts":[["2019",1]]}}}],"schema":"https://github.com/citation-style-language/schema/raw/master/csl-citation.json"} </w:instrText>
      </w:r>
      <w:r w:rsidRPr="009A3785">
        <w:rPr>
          <w:rFonts w:eastAsia="新細明體"/>
          <w:sz w:val="26"/>
          <w:szCs w:val="26"/>
          <w:lang w:val="en-US" w:eastAsia="zh-TW"/>
        </w:rPr>
        <w:fldChar w:fldCharType="separate"/>
      </w:r>
      <w:r w:rsidRPr="009A3785">
        <w:rPr>
          <w:rFonts w:eastAsia="新細明體"/>
          <w:sz w:val="26"/>
          <w:szCs w:val="26"/>
        </w:rPr>
        <w:t>(Flachenecker &amp; Kornejew, 201</w:t>
      </w:r>
      <w:r w:rsidR="0083484C" w:rsidRPr="009A3785">
        <w:rPr>
          <w:rFonts w:eastAsia="新細明體"/>
          <w:sz w:val="26"/>
          <w:szCs w:val="26"/>
        </w:rPr>
        <w:t>8</w:t>
      </w:r>
      <w:r w:rsidRPr="009A3785">
        <w:rPr>
          <w:rFonts w:eastAsia="新細明體"/>
          <w:sz w:val="26"/>
          <w:szCs w:val="26"/>
        </w:rPr>
        <w:t>)</w:t>
      </w:r>
      <w:r w:rsidRPr="009A3785">
        <w:rPr>
          <w:rFonts w:eastAsia="新細明體"/>
          <w:sz w:val="26"/>
          <w:szCs w:val="26"/>
          <w:lang w:val="en-US" w:eastAsia="zh-TW"/>
        </w:rPr>
        <w:fldChar w:fldCharType="end"/>
      </w:r>
      <w:r w:rsidRPr="009A3785">
        <w:rPr>
          <w:rFonts w:eastAsia="新細明體"/>
          <w:sz w:val="26"/>
          <w:szCs w:val="26"/>
          <w:lang w:val="en-US" w:eastAsia="zh-TW"/>
        </w:rPr>
        <w:t xml:space="preserve">. Although </w:t>
      </w:r>
      <w:r w:rsidR="009D49A1">
        <w:rPr>
          <w:rFonts w:eastAsia="新細明體"/>
          <w:sz w:val="26"/>
          <w:szCs w:val="26"/>
          <w:lang w:val="en-US" w:eastAsia="zh-TW"/>
        </w:rPr>
        <w:t>large</w:t>
      </w:r>
      <w:r w:rsidRPr="009A3785">
        <w:rPr>
          <w:rFonts w:eastAsia="新細明體"/>
          <w:sz w:val="26"/>
          <w:szCs w:val="26"/>
          <w:lang w:val="en-US" w:eastAsia="zh-TW"/>
        </w:rPr>
        <w:t xml:space="preserve"> companies can cover the expenses </w:t>
      </w:r>
      <w:r w:rsidR="009D49A1">
        <w:rPr>
          <w:rFonts w:eastAsia="新細明體"/>
          <w:sz w:val="26"/>
          <w:szCs w:val="26"/>
          <w:lang w:val="en-US" w:eastAsia="zh-TW"/>
        </w:rPr>
        <w:t>associated with</w:t>
      </w:r>
      <w:r w:rsidRPr="009A3785">
        <w:rPr>
          <w:rFonts w:eastAsia="新細明體"/>
          <w:sz w:val="26"/>
          <w:szCs w:val="26"/>
          <w:lang w:val="en-US" w:eastAsia="zh-TW"/>
        </w:rPr>
        <w:t xml:space="preserve"> innovation, small and medium-sized businesses </w:t>
      </w:r>
      <w:r w:rsidR="009D49A1">
        <w:rPr>
          <w:rFonts w:eastAsia="新細明體"/>
          <w:sz w:val="26"/>
          <w:szCs w:val="26"/>
          <w:lang w:val="en-US" w:eastAsia="zh-TW"/>
        </w:rPr>
        <w:t>often</w:t>
      </w:r>
      <w:r w:rsidRPr="009A3785">
        <w:rPr>
          <w:rFonts w:eastAsia="新細明體"/>
          <w:sz w:val="26"/>
          <w:szCs w:val="26"/>
          <w:lang w:val="en-US" w:eastAsia="zh-TW"/>
        </w:rPr>
        <w:t xml:space="preserve"> struggle </w:t>
      </w:r>
      <w:r w:rsidR="009D49A1">
        <w:rPr>
          <w:rFonts w:eastAsia="新細明體"/>
          <w:sz w:val="26"/>
          <w:szCs w:val="26"/>
          <w:lang w:val="en-US" w:eastAsia="zh-TW"/>
        </w:rPr>
        <w:t>due to</w:t>
      </w:r>
      <w:r w:rsidRPr="009A3785">
        <w:rPr>
          <w:rFonts w:eastAsia="新細明體"/>
          <w:sz w:val="26"/>
          <w:szCs w:val="26"/>
          <w:lang w:val="en-US" w:eastAsia="zh-TW"/>
        </w:rPr>
        <w:t xml:space="preserve"> their limited financial </w:t>
      </w:r>
      <w:r w:rsidR="009D49A1">
        <w:rPr>
          <w:rFonts w:eastAsia="新細明體"/>
          <w:sz w:val="26"/>
          <w:szCs w:val="26"/>
          <w:lang w:val="en-US" w:eastAsia="zh-TW"/>
        </w:rPr>
        <w:t>resources</w:t>
      </w:r>
      <w:r w:rsidR="002B1495" w:rsidRPr="009A3785">
        <w:rPr>
          <w:rFonts w:eastAsia="新細明體"/>
          <w:sz w:val="26"/>
          <w:szCs w:val="26"/>
          <w:lang w:val="en-US" w:eastAsia="zh-TW"/>
        </w:rPr>
        <w:t xml:space="preserve"> </w:t>
      </w:r>
      <w:r w:rsidR="002B1495" w:rsidRPr="009A3785">
        <w:rPr>
          <w:rFonts w:eastAsia="新細明體"/>
          <w:sz w:val="26"/>
          <w:szCs w:val="26"/>
          <w:lang w:val="en-US" w:eastAsia="zh-TW"/>
        </w:rPr>
        <w:fldChar w:fldCharType="begin"/>
      </w:r>
      <w:r w:rsidR="002B1495" w:rsidRPr="009A3785">
        <w:rPr>
          <w:rFonts w:eastAsia="新細明體"/>
          <w:sz w:val="26"/>
          <w:szCs w:val="26"/>
          <w:lang w:val="en-US" w:eastAsia="zh-TW"/>
        </w:rPr>
        <w:instrText xml:space="preserve"> ADDIN ZOTERO_ITEM CSL_CITATION {"citationID":"abrdNPNR","properties":{"formattedCitation":"(Antonioli et al., 2022)","plainCitation":"(Antonioli et al., 2022)","noteIndex":0},"citationItems":[{"id":3098,"uris":["http://zotero.org/users/local/Alzi7ROo/items/L5AKQ6PN"],"itemData":{"id":3098,"type":"article-journal","abstract":"Abstract\n            Assessing the economic consequences of sustainable production choices aimed at reducing negative environmental externalities is crucial for policy making, in light of the increasing interest and awareness experienced in recent EU policy packages. This assessment is one of the goals of the current work, which tries to provide new empirical evidence on the economic returns of circular economy practices, drawing on previous literature on the underlying determinants of greener production choices, which are stated to differ from standard technological innovations as they are subject to a knowledge and an environmental externality. Using an original dataset on approximately 3000 Italian manufacturing firms, we provide evidence on the relations among innovations related to the circular economy concept and economic outcome in the short run. The evidence shows that in the short run, it is difficult to obtain economic gains from circular economy related innovations when taken in isolation, especially for Small and medium‐sized enterprises (SMEs), who may also experience negative returns.","container-title":"Business Strategy and the Environment","DOI":"10.1002/bse.3046","ISSN":"0964-4733, 1099-0836","issue":"5","journalAbbreviation":"Bus Strat Env","language":"en","page":"2603-2617","source":"DOI.org (Crossref)","title":"Sustainable production: The economic returns of circular economy practices","title-short":"Sustainable production","volume":"31","author":[{"family":"Antonioli","given":"Davide"},{"family":"Ghisetti","given":"Claudia"},{"family":"Mazzanti","given":"Massimiliano"},{"family":"Nicolli","given":"Francesco"}],"issued":{"date-parts":[["2022",7]]}}}],"schema":"https://github.com/citation-style-language/schema/raw/master/csl-citation.json"} </w:instrText>
      </w:r>
      <w:r w:rsidR="002B1495" w:rsidRPr="009A3785">
        <w:rPr>
          <w:rFonts w:eastAsia="新細明體"/>
          <w:sz w:val="26"/>
          <w:szCs w:val="26"/>
          <w:lang w:val="en-US" w:eastAsia="zh-TW"/>
        </w:rPr>
        <w:fldChar w:fldCharType="separate"/>
      </w:r>
      <w:r w:rsidR="002B1495" w:rsidRPr="009A3785">
        <w:rPr>
          <w:rFonts w:eastAsia="新細明體"/>
          <w:sz w:val="26"/>
          <w:szCs w:val="26"/>
        </w:rPr>
        <w:t>(Antonioli et al., 2022)</w:t>
      </w:r>
      <w:r w:rsidR="002B1495" w:rsidRPr="009A3785">
        <w:rPr>
          <w:rFonts w:eastAsia="新細明體"/>
          <w:sz w:val="26"/>
          <w:szCs w:val="26"/>
          <w:lang w:val="en-US" w:eastAsia="zh-TW"/>
        </w:rPr>
        <w:fldChar w:fldCharType="end"/>
      </w:r>
      <w:r w:rsidRPr="009A3785">
        <w:rPr>
          <w:rFonts w:eastAsia="新細明體"/>
          <w:sz w:val="26"/>
          <w:szCs w:val="26"/>
          <w:lang w:val="en-US" w:eastAsia="zh-TW"/>
        </w:rPr>
        <w:t xml:space="preserve">. However, good economic conditions often lead to higher investor confidence, which motivates </w:t>
      </w:r>
      <w:r w:rsidR="009D49A1">
        <w:rPr>
          <w:rFonts w:eastAsia="新細明體"/>
          <w:sz w:val="26"/>
          <w:szCs w:val="26"/>
          <w:lang w:val="en-US" w:eastAsia="zh-TW"/>
        </w:rPr>
        <w:t>equity</w:t>
      </w:r>
      <w:r w:rsidRPr="009A3785">
        <w:rPr>
          <w:rFonts w:eastAsia="新細明體"/>
          <w:sz w:val="26"/>
          <w:szCs w:val="26"/>
          <w:lang w:val="en-US" w:eastAsia="zh-TW"/>
        </w:rPr>
        <w:t xml:space="preserve"> holders to invest in companies with </w:t>
      </w:r>
      <w:r w:rsidR="009D49A1">
        <w:rPr>
          <w:rFonts w:eastAsia="新細明體"/>
          <w:sz w:val="26"/>
          <w:szCs w:val="26"/>
          <w:lang w:val="en-US" w:eastAsia="zh-TW"/>
        </w:rPr>
        <w:t>effective</w:t>
      </w:r>
      <w:r w:rsidRPr="009A3785">
        <w:rPr>
          <w:rFonts w:eastAsia="新細明體"/>
          <w:sz w:val="26"/>
          <w:szCs w:val="26"/>
          <w:lang w:val="en-US" w:eastAsia="zh-TW"/>
        </w:rPr>
        <w:t xml:space="preserve"> resource management and business turnarounds </w:t>
      </w:r>
      <w:r w:rsidR="00FD12B2" w:rsidRPr="009A3785">
        <w:rPr>
          <w:rFonts w:eastAsia="新細明體"/>
          <w:sz w:val="26"/>
          <w:szCs w:val="26"/>
          <w:lang w:val="en-US" w:eastAsia="zh-TW"/>
        </w:rPr>
        <w:fldChar w:fldCharType="begin"/>
      </w:r>
      <w:r w:rsidR="00F960FC" w:rsidRPr="009A3785">
        <w:rPr>
          <w:rFonts w:eastAsia="新細明體"/>
          <w:sz w:val="26"/>
          <w:szCs w:val="26"/>
          <w:lang w:val="en-US" w:eastAsia="zh-TW"/>
        </w:rPr>
        <w:instrText xml:space="preserve"> ADDIN ZOTERO_ITEM CSL_CITATION {"citationID":"iDkYagX3","properties":{"formattedCitation":"(Demirel &amp; Danisman, 2019; Horbach &amp; Rammer, 2020)","plainCitation":"(Demirel &amp; Danisman, 2019; Horbach &amp; Rammer, 2020)","noteIndex":0},"citationItems":[{"id":3101,"uris":["http://zotero.org/users/local/Alzi7ROo/items/FL6E3R8P"],"itemData":{"id":3101,"type":"article-journal","abstract":"Abstract\n            As the circular economy (CE) concept gains growing popularity among consumers and producers, small‐ and medium‐sized enterprises (SMEs) increasingly look for ways to reorganize their offering and operations to integrate into the CE. This study examines the impact of (a) circular eco‐innovations and (b) external funding available for CE activities on the growth of European SMEs using a data set of 5,100 SMEs across 28 European countries in 2016. Findings reveal that a significant threshold investment (i.e., higher than 10% of revenues) into circular eco‐innovations is required for SMEs to benefit from investing into the CE. Moreover, the majority of circular eco‐innovations fail to boost the growth rates of SMEs, with the exception of investments into eco‐design innovations. Although traditional forms of debt and grant finance targeted to CE activities are found to have no or negative impact on the growth of SMEs, equity finance (i.e., angel and venture capital investments) contributes positively to their growth. The study offers insights into the lower levels of SME engagement in the CE as well as policy implications for improving engagement.","container-title":"Business Strategy and the Environment","DOI":"10.1002/bse.2336","ISSN":"0964-4733, 1099-0836","issue":"8","journalAbbreviation":"Bus Strat Env","language":"en","page":"1608-1618","source":"DOI.org (Crossref)","title":"Eco‐innovation and firm growth in the circular economy: Evidence from European small‐ and medium‐sized enterprises","title-short":"Eco‐innovation and firm growth in the circular economy","volume":"28","author":[{"family":"Demirel","given":"Pelin"},{"family":"Danisman","given":"Gamze Ozturk"}],"issued":{"date-parts":[["2019",12]]}}},{"id":3102,"uris":["http://zotero.org/users/local/Alzi7ROo/items/BQDFJQL4"],"itemData":{"id":3102,"type":"article-journal","abstract":"Abstract\n            Circular economy (CE) describes a concept that aims at saving resources by minimizing the use of material and energy over the entire life‐cycle of products, including production and repair, as well as reuse and recycling. CE innovations help to realize the goals of sustainable development by targeting environmental, economic, and social dimensions of sustainability. This paper looks at the economic and social dimensions by investigating whether firms with CE innovations perform better or worse in terms of sales growth and employment. Our econometric analysis uses data from two waves of the German part of the Community Innovation Survey. Quantile regressions show that CE innovations are positively linked to turnover and employment growth. While there is no statistically significant impact on labor productivity, at the same time, firms with CE innovations show a significantly better financial standing.","container-title":"Journal of Industrial Ecology","DOI":"10.1111/jiec.12977","ISSN":"1088-1980, 1530-9290","issue":"3","journalAbbreviation":"J of Industrial Ecology","language":"en","page":"615-625","source":"DOI.org (Crossref)","title":"Circular economy innovations, growth and employment at the firm level: Empirical evidence from Germany","title-short":"Circular economy innovations, growth and employment at the firm level","volume":"24","author":[{"family":"Horbach","given":"Jens"},{"family":"Rammer","given":"Christian"}],"issued":{"date-parts":[["2020",6]]}}}],"schema":"https://github.com/citation-style-language/schema/raw/master/csl-citation.json"} </w:instrText>
      </w:r>
      <w:r w:rsidR="00FD12B2" w:rsidRPr="009A3785">
        <w:rPr>
          <w:rFonts w:eastAsia="新細明體"/>
          <w:sz w:val="26"/>
          <w:szCs w:val="26"/>
          <w:lang w:val="en-US" w:eastAsia="zh-TW"/>
        </w:rPr>
        <w:fldChar w:fldCharType="separate"/>
      </w:r>
      <w:r w:rsidR="00F960FC" w:rsidRPr="009A3785">
        <w:rPr>
          <w:rFonts w:eastAsia="新細明體"/>
          <w:sz w:val="26"/>
          <w:szCs w:val="26"/>
        </w:rPr>
        <w:t>(Demirel &amp; Danisman, 2019; Horbach &amp; Rammer, 20</w:t>
      </w:r>
      <w:r w:rsidR="009E5A12" w:rsidRPr="009A3785">
        <w:rPr>
          <w:rFonts w:eastAsia="新細明體"/>
          <w:sz w:val="26"/>
          <w:szCs w:val="26"/>
        </w:rPr>
        <w:t>19</w:t>
      </w:r>
      <w:r w:rsidR="00F960FC" w:rsidRPr="009A3785">
        <w:rPr>
          <w:rFonts w:eastAsia="新細明體"/>
          <w:sz w:val="26"/>
          <w:szCs w:val="26"/>
        </w:rPr>
        <w:t>)</w:t>
      </w:r>
      <w:r w:rsidR="00FD12B2" w:rsidRPr="009A3785">
        <w:rPr>
          <w:rFonts w:eastAsia="新細明體"/>
          <w:sz w:val="26"/>
          <w:szCs w:val="26"/>
          <w:lang w:val="en-US" w:eastAsia="zh-TW"/>
        </w:rPr>
        <w:fldChar w:fldCharType="end"/>
      </w:r>
      <w:r w:rsidRPr="009A3785">
        <w:rPr>
          <w:rFonts w:eastAsia="新細明體"/>
          <w:sz w:val="26"/>
          <w:szCs w:val="26"/>
          <w:lang w:val="en-US" w:eastAsia="zh-TW"/>
        </w:rPr>
        <w:t>.</w:t>
      </w:r>
    </w:p>
    <w:p w14:paraId="6475A2DB" w14:textId="2DF51E41" w:rsidR="00D81471" w:rsidRDefault="00D81471" w:rsidP="00824E69">
      <w:pPr>
        <w:snapToGrid w:val="0"/>
        <w:spacing w:line="300" w:lineRule="auto"/>
        <w:ind w:firstLine="480"/>
        <w:jc w:val="both"/>
        <w:rPr>
          <w:rFonts w:eastAsia="新細明體"/>
          <w:sz w:val="26"/>
          <w:szCs w:val="26"/>
          <w:lang w:val="en-US" w:eastAsia="zh-TW"/>
        </w:rPr>
      </w:pPr>
      <w:r w:rsidRPr="009A3785">
        <w:rPr>
          <w:rFonts w:eastAsia="新細明體"/>
          <w:sz w:val="26"/>
          <w:szCs w:val="26"/>
          <w:lang w:val="en-US" w:eastAsia="zh-TW"/>
        </w:rPr>
        <w:t xml:space="preserve">Finally, consumer behavior is </w:t>
      </w:r>
      <w:r w:rsidR="009D49A1">
        <w:rPr>
          <w:rFonts w:eastAsia="新細明體"/>
          <w:sz w:val="26"/>
          <w:szCs w:val="26"/>
          <w:lang w:val="en-US" w:eastAsia="zh-TW"/>
        </w:rPr>
        <w:t>influenc</w:t>
      </w:r>
      <w:r w:rsidRPr="009A3785">
        <w:rPr>
          <w:rFonts w:eastAsia="新細明體"/>
          <w:sz w:val="26"/>
          <w:szCs w:val="26"/>
          <w:lang w:val="en-US" w:eastAsia="zh-TW"/>
        </w:rPr>
        <w:t xml:space="preserve">ed by economic growth, which </w:t>
      </w:r>
      <w:r w:rsidR="009D49A1">
        <w:rPr>
          <w:rFonts w:eastAsia="新細明體"/>
          <w:sz w:val="26"/>
          <w:szCs w:val="26"/>
          <w:lang w:val="en-US" w:eastAsia="zh-TW"/>
        </w:rPr>
        <w:t>increa</w:t>
      </w:r>
      <w:r w:rsidRPr="009A3785">
        <w:rPr>
          <w:rFonts w:eastAsia="新細明體"/>
          <w:sz w:val="26"/>
          <w:szCs w:val="26"/>
          <w:lang w:val="en-US" w:eastAsia="zh-TW"/>
        </w:rPr>
        <w:t>ses demand and</w:t>
      </w:r>
      <w:r w:rsidR="009D49A1">
        <w:rPr>
          <w:rFonts w:eastAsia="新細明體"/>
          <w:sz w:val="26"/>
          <w:szCs w:val="26"/>
          <w:lang w:val="en-US" w:eastAsia="zh-TW"/>
        </w:rPr>
        <w:t>, consequently,</w:t>
      </w:r>
      <w:r w:rsidRPr="009A3785">
        <w:rPr>
          <w:rFonts w:eastAsia="新細明體"/>
          <w:sz w:val="26"/>
          <w:szCs w:val="26"/>
          <w:lang w:val="en-US" w:eastAsia="zh-TW"/>
        </w:rPr>
        <w:t xml:space="preserve"> income levels. This diversion promotes the efficiency of firms </w:t>
      </w:r>
      <w:r w:rsidR="009D49A1">
        <w:rPr>
          <w:rFonts w:eastAsia="新細明體"/>
          <w:sz w:val="26"/>
          <w:szCs w:val="26"/>
          <w:lang w:val="en-US" w:eastAsia="zh-TW"/>
        </w:rPr>
        <w:t>in maximizing</w:t>
      </w:r>
      <w:r w:rsidRPr="009A3785">
        <w:rPr>
          <w:rFonts w:eastAsia="新細明體"/>
          <w:sz w:val="26"/>
          <w:szCs w:val="26"/>
          <w:lang w:val="en-US" w:eastAsia="zh-TW"/>
        </w:rPr>
        <w:t xml:space="preserve"> their production processes to reach further markets and sustain a competitive </w:t>
      </w:r>
      <w:r w:rsidR="009D49A1">
        <w:rPr>
          <w:rFonts w:eastAsia="新細明體"/>
          <w:sz w:val="26"/>
          <w:szCs w:val="26"/>
          <w:lang w:val="en-US" w:eastAsia="zh-TW"/>
        </w:rPr>
        <w:t>advantage</w:t>
      </w:r>
      <w:r w:rsidRPr="009A3785">
        <w:rPr>
          <w:rFonts w:eastAsia="新細明體"/>
          <w:sz w:val="26"/>
          <w:szCs w:val="26"/>
          <w:lang w:val="en-US" w:eastAsia="zh-TW"/>
        </w:rPr>
        <w:t xml:space="preserve"> </w:t>
      </w:r>
      <w:r w:rsidRPr="009A3785">
        <w:rPr>
          <w:rFonts w:eastAsia="新細明體"/>
          <w:sz w:val="26"/>
          <w:szCs w:val="26"/>
          <w:lang w:val="en-US" w:eastAsia="zh-TW"/>
        </w:rPr>
        <w:fldChar w:fldCharType="begin"/>
      </w:r>
      <w:r w:rsidRPr="009A3785">
        <w:rPr>
          <w:rFonts w:eastAsia="新細明體"/>
          <w:sz w:val="26"/>
          <w:szCs w:val="26"/>
          <w:lang w:val="en-US" w:eastAsia="zh-TW"/>
        </w:rPr>
        <w:instrText xml:space="preserve"> ADDIN ZOTERO_ITEM CSL_CITATION {"citationID":"I57pJDxG","properties":{"formattedCitation":"(Esposito et al., 2017)","plainCitation":"(Esposito et al., 2017)","noteIndex":0},"citationItems":[{"id":2713,"uris":["http://zotero.org/users/local/Alzi7ROo/items/GYF9SWC7"],"itemData":{"id":2713,"type":"article-journal","abstract":"The circular pathway, also called the “cradle‐to‐cradle” model, is more than just recycling and environmental concerns. It is about a new way of thinking how we could grow without resorting to just expending resources. Its rapid expansion, as a new norm for companies, has characteristics of a Fast Expanding Market, given its exponential growth. In this article, we examine how the circular model is pushing companies and entities to come up with disruptive technology and business models that are based on longevity, renewability, reuse, repair, upgrade, refurbishment, servitization, capacity sharing and dematerialization. © 2015 Wiley Periodicals, Inc.","container-title":"Thunderbird International Business Review","DOI":"10.1002/tie.21764","ISSN":"1096-4762, 1520-6874","issue":"1","journalAbbreviation":"Thunderbird Intl Bus Rev","language":"en","page":"9-14","source":"DOI.org (Crossref)","title":"Is the Circular Economy a New Fast‐Expanding Market?","volume":"59","author":[{"family":"Esposito","given":"Mark"},{"family":"Tse","given":"Terence"},{"family":"Soufani","given":"Khaled"}],"issued":{"date-parts":[["2017",1]]}}}],"schema":"https://github.com/citation-style-language/schema/raw/master/csl-citation.json"} </w:instrText>
      </w:r>
      <w:r w:rsidRPr="009A3785">
        <w:rPr>
          <w:rFonts w:eastAsia="新細明體"/>
          <w:sz w:val="26"/>
          <w:szCs w:val="26"/>
          <w:lang w:val="en-US" w:eastAsia="zh-TW"/>
        </w:rPr>
        <w:fldChar w:fldCharType="separate"/>
      </w:r>
      <w:r w:rsidRPr="009A3785">
        <w:rPr>
          <w:rFonts w:eastAsia="新細明體"/>
          <w:sz w:val="26"/>
          <w:szCs w:val="26"/>
        </w:rPr>
        <w:t>(Esposito et al., 201</w:t>
      </w:r>
      <w:r w:rsidR="009E5A12" w:rsidRPr="009A3785">
        <w:rPr>
          <w:rFonts w:eastAsia="新細明體"/>
          <w:sz w:val="26"/>
          <w:szCs w:val="26"/>
        </w:rPr>
        <w:t>5</w:t>
      </w:r>
      <w:r w:rsidRPr="009A3785">
        <w:rPr>
          <w:rFonts w:eastAsia="新細明體"/>
          <w:sz w:val="26"/>
          <w:szCs w:val="26"/>
        </w:rPr>
        <w:t>)</w:t>
      </w:r>
      <w:r w:rsidRPr="009A3785">
        <w:rPr>
          <w:rFonts w:eastAsia="新細明體"/>
          <w:sz w:val="26"/>
          <w:szCs w:val="26"/>
          <w:lang w:val="en-US" w:eastAsia="zh-TW"/>
        </w:rPr>
        <w:fldChar w:fldCharType="end"/>
      </w:r>
      <w:r w:rsidRPr="009A3785">
        <w:rPr>
          <w:rFonts w:eastAsia="新細明體"/>
          <w:sz w:val="26"/>
          <w:szCs w:val="26"/>
          <w:lang w:val="en-US" w:eastAsia="zh-TW"/>
        </w:rPr>
        <w:t>. In this sense, economic growth is seen as a driver of both large-scale transformation and individual company strategic decisions that lead to economic development.</w:t>
      </w:r>
    </w:p>
    <w:p w14:paraId="44202BF9" w14:textId="77777777" w:rsidR="0069172C" w:rsidRPr="00824E69" w:rsidRDefault="0069172C" w:rsidP="00824E69">
      <w:pPr>
        <w:snapToGrid w:val="0"/>
        <w:spacing w:line="300" w:lineRule="auto"/>
        <w:ind w:firstLine="480"/>
        <w:jc w:val="both"/>
        <w:rPr>
          <w:rFonts w:eastAsia="新細明體"/>
          <w:sz w:val="26"/>
          <w:szCs w:val="26"/>
          <w:lang w:val="en-US" w:eastAsia="zh-TW"/>
        </w:rPr>
      </w:pPr>
    </w:p>
    <w:p w14:paraId="6E04024B" w14:textId="4556EABD" w:rsidR="00ED53C8" w:rsidRPr="009A3785" w:rsidRDefault="00C81961" w:rsidP="00824E69">
      <w:pPr>
        <w:snapToGrid w:val="0"/>
        <w:spacing w:line="300" w:lineRule="auto"/>
        <w:jc w:val="both"/>
        <w:rPr>
          <w:rFonts w:eastAsia="新細明體"/>
          <w:sz w:val="26"/>
          <w:szCs w:val="26"/>
          <w:lang w:val="en-US" w:eastAsia="zh-TW"/>
        </w:rPr>
      </w:pPr>
      <w:r w:rsidRPr="009A3785">
        <w:rPr>
          <w:b/>
          <w:noProof/>
          <w:color w:val="000000"/>
          <w:sz w:val="26"/>
          <w:szCs w:val="26"/>
        </w:rPr>
        <w:t>From Circularity and Environmental Sustainability Initiatives to Economic Growth</w:t>
      </w:r>
    </w:p>
    <w:p w14:paraId="66F58BDB" w14:textId="1D73C300" w:rsidR="002870F6" w:rsidRPr="009A3785" w:rsidRDefault="002870F6" w:rsidP="00824E69">
      <w:pPr>
        <w:spacing w:line="300" w:lineRule="auto"/>
        <w:ind w:firstLineChars="200" w:firstLine="520"/>
        <w:jc w:val="both"/>
        <w:rPr>
          <w:noProof/>
          <w:color w:val="000000"/>
          <w:sz w:val="26"/>
          <w:szCs w:val="26"/>
          <w:lang w:val="en-US"/>
        </w:rPr>
      </w:pPr>
      <w:r w:rsidRPr="009A3785">
        <w:rPr>
          <w:noProof/>
          <w:color w:val="000000"/>
          <w:sz w:val="26"/>
          <w:szCs w:val="26"/>
          <w:lang w:val="en-US"/>
        </w:rPr>
        <w:t xml:space="preserve">The circular economy (CE), which has been </w:t>
      </w:r>
      <w:r w:rsidR="006650C9">
        <w:rPr>
          <w:noProof/>
          <w:color w:val="000000"/>
          <w:sz w:val="26"/>
          <w:szCs w:val="26"/>
          <w:lang w:val="en-US"/>
        </w:rPr>
        <w:t>proposed as a model for sustainable industrial development, is widely accepted globally</w:t>
      </w:r>
      <w:r w:rsidRPr="009A3785">
        <w:rPr>
          <w:noProof/>
          <w:color w:val="000000"/>
          <w:sz w:val="26"/>
          <w:szCs w:val="26"/>
          <w:lang w:val="en-US"/>
        </w:rPr>
        <w:t xml:space="preserve"> </w:t>
      </w:r>
      <w:r w:rsidR="005E24B8" w:rsidRPr="009A3785">
        <w:rPr>
          <w:noProof/>
          <w:color w:val="000000"/>
          <w:sz w:val="26"/>
          <w:szCs w:val="26"/>
          <w:lang w:val="en-US"/>
        </w:rPr>
        <w:fldChar w:fldCharType="begin"/>
      </w:r>
      <w:r w:rsidR="005E24B8" w:rsidRPr="009A3785">
        <w:rPr>
          <w:noProof/>
          <w:color w:val="000000"/>
          <w:sz w:val="26"/>
          <w:szCs w:val="26"/>
          <w:lang w:val="en-US"/>
        </w:rPr>
        <w:instrText xml:space="preserve"> ADDIN ZOTERO_ITEM CSL_CITATION {"citationID":"MNCB5DXZ","properties":{"formattedCitation":"(Bakker et al., 2014)","plainCitation":"(Bakker et al., 2014)","noteIndex":0},"citationItems":[{"id":3829,"uris":["http://zotero.org/users/local/Alzi7ROo/items/VELLF825"],"itemData":{"id":3829,"type":"book","publisher":"Delft University of Technology","source":"Google Scholar","title":"Products that last: Product design for circular business models","title-short":"Products that last","URL":"https://research.tudelft.nl/en/publications/products-that-last-product-design-for-circular-business-models","author":[{"family":"Bakker","given":"Cornelia Ariadne"},{"family":"Den Hollander","given":"M. C."},{"family":"Van Hinte","given":"Ed"},{"family":"Zijlstra","given":"Yvo"}],"accessed":{"date-parts":[["2025",8,3]]},"issued":{"date-parts":[["2014"]]}}}],"schema":"https://github.com/citation-style-language/schema/raw/master/csl-citation.json"} </w:instrText>
      </w:r>
      <w:r w:rsidR="005E24B8" w:rsidRPr="009A3785">
        <w:rPr>
          <w:noProof/>
          <w:color w:val="000000"/>
          <w:sz w:val="26"/>
          <w:szCs w:val="26"/>
          <w:lang w:val="en-US"/>
        </w:rPr>
        <w:fldChar w:fldCharType="separate"/>
      </w:r>
      <w:r w:rsidR="005E24B8" w:rsidRPr="009A3785">
        <w:rPr>
          <w:noProof/>
          <w:color w:val="000000"/>
          <w:sz w:val="26"/>
          <w:szCs w:val="26"/>
          <w:lang w:val="en-US"/>
        </w:rPr>
        <w:t>(Bakker et al., 2014)</w:t>
      </w:r>
      <w:r w:rsidR="005E24B8" w:rsidRPr="009A3785">
        <w:rPr>
          <w:noProof/>
          <w:color w:val="000000"/>
          <w:sz w:val="26"/>
          <w:szCs w:val="26"/>
          <w:lang w:val="en-US"/>
        </w:rPr>
        <w:fldChar w:fldCharType="end"/>
      </w:r>
      <w:r w:rsidRPr="009A3785">
        <w:rPr>
          <w:noProof/>
          <w:color w:val="000000"/>
          <w:sz w:val="26"/>
          <w:szCs w:val="26"/>
          <w:lang w:val="en-US"/>
        </w:rPr>
        <w:t xml:space="preserve">. It has been recognized as a solution to balancing </w:t>
      </w:r>
      <w:r w:rsidR="009D49A1">
        <w:rPr>
          <w:noProof/>
          <w:color w:val="000000"/>
          <w:sz w:val="26"/>
          <w:szCs w:val="26"/>
          <w:lang w:val="en-US"/>
        </w:rPr>
        <w:t xml:space="preserve">the </w:t>
      </w:r>
      <w:r w:rsidRPr="009A3785">
        <w:rPr>
          <w:noProof/>
          <w:color w:val="000000"/>
          <w:sz w:val="26"/>
          <w:szCs w:val="26"/>
          <w:lang w:val="en-US"/>
        </w:rPr>
        <w:t xml:space="preserve">goals of economic development with environmental sustainability by </w:t>
      </w:r>
      <w:r w:rsidR="006650C9">
        <w:rPr>
          <w:noProof/>
          <w:color w:val="000000"/>
          <w:sz w:val="26"/>
          <w:szCs w:val="26"/>
          <w:lang w:val="en-US"/>
        </w:rPr>
        <w:t>addressing the shortcomings of the linear economy, characterized by the ‘take, make, use, then dispose’ approach</w:t>
      </w:r>
      <w:r w:rsidRPr="009A3785">
        <w:rPr>
          <w:noProof/>
          <w:color w:val="000000"/>
          <w:sz w:val="26"/>
          <w:szCs w:val="26"/>
          <w:lang w:val="en-US"/>
        </w:rPr>
        <w:t xml:space="preserve"> </w:t>
      </w:r>
      <w:r w:rsidR="00630F74" w:rsidRPr="009A3785">
        <w:rPr>
          <w:noProof/>
          <w:color w:val="000000"/>
          <w:sz w:val="26"/>
          <w:szCs w:val="26"/>
          <w:lang w:val="en-US"/>
        </w:rPr>
        <w:fldChar w:fldCharType="begin"/>
      </w:r>
      <w:r w:rsidR="00630F74" w:rsidRPr="009A3785">
        <w:rPr>
          <w:noProof/>
          <w:color w:val="000000"/>
          <w:sz w:val="26"/>
          <w:szCs w:val="26"/>
          <w:lang w:val="en-US"/>
        </w:rPr>
        <w:instrText xml:space="preserve"> ADDIN ZOTERO_ITEM CSL_CITATION {"citationID":"7vpsVha2","properties":{"formattedCitation":"(Lieder &amp; Rashid, 2016)","plainCitation":"(Lieder &amp; Rashid, 2016)","noteIndex":0},"citationItems":[{"id":1268,"uris":["http://zotero.org/users/local/Alzi7ROo/items/MU7B2BBH"],"itemData":{"id":1268,"type":"article-journal","container-title":"Journal of cleaner production","note":"publisher: Elsevier","page":"36–51","source":"Google Scholar","title":"Towards circular economy implementation: a comprehensive review in context of manufacturing industry","title-short":"Towards circular economy implementation","volume":"115","author":[{"family":"Lieder","given":"Michael"},{"family":"Rashid","given":"Amir"}],"issued":{"date-parts":[["2016"]]}}}],"schema":"https://github.com/citation-style-language/schema/raw/master/csl-citation.json"} </w:instrText>
      </w:r>
      <w:r w:rsidR="00630F74" w:rsidRPr="009A3785">
        <w:rPr>
          <w:noProof/>
          <w:color w:val="000000"/>
          <w:sz w:val="26"/>
          <w:szCs w:val="26"/>
          <w:lang w:val="en-US"/>
        </w:rPr>
        <w:fldChar w:fldCharType="separate"/>
      </w:r>
      <w:r w:rsidR="00630F74" w:rsidRPr="009A3785">
        <w:rPr>
          <w:noProof/>
          <w:color w:val="000000"/>
          <w:sz w:val="26"/>
          <w:szCs w:val="26"/>
          <w:lang w:val="en-US"/>
        </w:rPr>
        <w:t>(Lieder &amp; Rashid, 201</w:t>
      </w:r>
      <w:r w:rsidR="009E5A12" w:rsidRPr="009A3785">
        <w:rPr>
          <w:noProof/>
          <w:color w:val="000000"/>
          <w:sz w:val="26"/>
          <w:szCs w:val="26"/>
          <w:lang w:val="en-US"/>
        </w:rPr>
        <w:t>5</w:t>
      </w:r>
      <w:r w:rsidR="00630F74" w:rsidRPr="009A3785">
        <w:rPr>
          <w:noProof/>
          <w:color w:val="000000"/>
          <w:sz w:val="26"/>
          <w:szCs w:val="26"/>
          <w:lang w:val="en-US"/>
        </w:rPr>
        <w:t>)</w:t>
      </w:r>
      <w:r w:rsidR="00630F74" w:rsidRPr="009A3785">
        <w:rPr>
          <w:noProof/>
          <w:color w:val="000000"/>
          <w:sz w:val="26"/>
          <w:szCs w:val="26"/>
          <w:lang w:val="en-US"/>
        </w:rPr>
        <w:fldChar w:fldCharType="end"/>
      </w:r>
      <w:r w:rsidRPr="009A3785">
        <w:rPr>
          <w:noProof/>
          <w:color w:val="000000"/>
          <w:sz w:val="26"/>
          <w:szCs w:val="26"/>
          <w:lang w:val="en-US"/>
        </w:rPr>
        <w:t>. As a supporter of CE, the restorative economy model</w:t>
      </w:r>
      <w:r w:rsidR="00E341FC" w:rsidRPr="009A3785">
        <w:rPr>
          <w:noProof/>
          <w:color w:val="000000"/>
          <w:sz w:val="26"/>
          <w:szCs w:val="26"/>
          <w:lang w:val="en-US"/>
        </w:rPr>
        <w:t xml:space="preserve"> </w:t>
      </w:r>
      <w:r w:rsidR="00E04663" w:rsidRPr="009A3785">
        <w:rPr>
          <w:noProof/>
          <w:color w:val="000000"/>
          <w:sz w:val="26"/>
          <w:szCs w:val="26"/>
          <w:lang w:val="en-US"/>
        </w:rPr>
        <w:fldChar w:fldCharType="begin"/>
      </w:r>
      <w:r w:rsidR="00E04663" w:rsidRPr="009A3785">
        <w:rPr>
          <w:noProof/>
          <w:color w:val="000000"/>
          <w:sz w:val="26"/>
          <w:szCs w:val="26"/>
          <w:lang w:val="en-US"/>
        </w:rPr>
        <w:instrText xml:space="preserve"> ADDIN ZOTERO_ITEM CSL_CITATION {"citationID":"f0vW57eF","properties":{"formattedCitation":"(Blomsma &amp; Brennan, 2017)","plainCitation":"(Blomsma &amp; Brennan, 2017)","noteIndex":0},"citationItems":[{"id":3813,"uris":["http://zotero.org/users/local/Alzi7ROo/items/75EE63JZ"],"itemData":{"id":3813,"type":"article-journal","abstract":"Summary\n            \n              In this article, we use Hirsch and Levin's notion of\n              umbrella concepts\n              as an analytical lens, in order to articulate the valuable catalytic function the circular economy (CE) concept could perform in the waste and resource management debate. We realize this goal by anchoring the CE concept in this broader debate through a narrative approach. This leads to the insight that whereas the various resource strategies grouped under the CE's banner are not new individually, the concept offers a new framing of these strategies by drawing attention to their capacity of prolonging resource use as well as to the relationship between these strategies. As such, the CE offers a new perspective on waste and resource management and provides a new cognitive unit and discursive space for debate. We conclude by discussing research opportunities for the industrial ecology (IE) community relating to the concept's theoretical development and its implementation. Specifically, we pose that reinvigorating and growing the social science aspects of IE is required for both. After all, it is in understanding and facilitating the collective implementation of any idea, also the CE concept, that the potential lies for shaping our material future.","container-title":"Journal of Industrial Ecology","DOI":"10.1111/jiec.12603","ISSN":"1088-1980, 1530-9290","issue":"3","journalAbbreviation":"J of Industrial Ecology","language":"en","license":"http://creativecommons.org/licenses/by/4.0/","page":"603-614","source":"DOI.org (Crossref)","title":"The Emergence of Circular Economy: A New Framing Around Prolonging Resource Productivity","title-short":"The Emergence of Circular Economy","volume":"21","author":[{"family":"Blomsma","given":"Fenna"},{"family":"Brennan","given":"Geraldine"}],"issued":{"date-parts":[["2017",6]]}}}],"schema":"https://github.com/citation-style-language/schema/raw/master/csl-citation.json"} </w:instrText>
      </w:r>
      <w:r w:rsidR="00E04663" w:rsidRPr="009A3785">
        <w:rPr>
          <w:noProof/>
          <w:color w:val="000000"/>
          <w:sz w:val="26"/>
          <w:szCs w:val="26"/>
          <w:lang w:val="en-US"/>
        </w:rPr>
        <w:fldChar w:fldCharType="separate"/>
      </w:r>
      <w:r w:rsidR="00E04663" w:rsidRPr="009A3785">
        <w:rPr>
          <w:noProof/>
          <w:color w:val="000000"/>
          <w:sz w:val="26"/>
          <w:szCs w:val="26"/>
          <w:lang w:val="en-US"/>
        </w:rPr>
        <w:t>(Blomsma &amp; Brennan, 2017)</w:t>
      </w:r>
      <w:r w:rsidR="00E04663" w:rsidRPr="009A3785">
        <w:rPr>
          <w:noProof/>
          <w:color w:val="000000"/>
          <w:sz w:val="26"/>
          <w:szCs w:val="26"/>
          <w:lang w:val="en-US"/>
        </w:rPr>
        <w:fldChar w:fldCharType="end"/>
      </w:r>
      <w:r w:rsidRPr="009A3785">
        <w:rPr>
          <w:noProof/>
          <w:color w:val="000000"/>
          <w:sz w:val="26"/>
          <w:szCs w:val="26"/>
          <w:lang w:val="en-US"/>
        </w:rPr>
        <w:t xml:space="preserve"> </w:t>
      </w:r>
      <w:r w:rsidR="009D49A1">
        <w:rPr>
          <w:noProof/>
          <w:color w:val="000000"/>
          <w:sz w:val="26"/>
          <w:szCs w:val="26"/>
          <w:lang w:val="en-US"/>
        </w:rPr>
        <w:t>emphasizes the importance of restoring</w:t>
      </w:r>
      <w:r w:rsidRPr="009A3785">
        <w:rPr>
          <w:noProof/>
          <w:color w:val="000000"/>
          <w:sz w:val="26"/>
          <w:szCs w:val="26"/>
          <w:lang w:val="en-US"/>
        </w:rPr>
        <w:t xml:space="preserve"> natural capital and ecosystems, </w:t>
      </w:r>
      <w:r w:rsidR="009D49A1">
        <w:rPr>
          <w:noProof/>
          <w:color w:val="000000"/>
          <w:sz w:val="26"/>
          <w:szCs w:val="26"/>
          <w:lang w:val="en-US"/>
        </w:rPr>
        <w:t>while promoting</w:t>
      </w:r>
      <w:r w:rsidRPr="009A3785">
        <w:rPr>
          <w:noProof/>
          <w:color w:val="000000"/>
          <w:sz w:val="26"/>
          <w:szCs w:val="26"/>
          <w:lang w:val="en-US"/>
        </w:rPr>
        <w:t xml:space="preserve"> environmental sustainability</w:t>
      </w:r>
      <w:r w:rsidR="00727252" w:rsidRPr="009A3785">
        <w:rPr>
          <w:noProof/>
          <w:color w:val="000000"/>
          <w:sz w:val="26"/>
          <w:szCs w:val="26"/>
          <w:lang w:val="en-US"/>
        </w:rPr>
        <w:t xml:space="preserve"> </w:t>
      </w:r>
      <w:r w:rsidR="009D49A1">
        <w:rPr>
          <w:noProof/>
          <w:color w:val="000000"/>
          <w:sz w:val="26"/>
          <w:szCs w:val="26"/>
          <w:lang w:val="en-US"/>
        </w:rPr>
        <w:t xml:space="preserve">through economic activities </w:t>
      </w:r>
      <w:r w:rsidR="00727252" w:rsidRPr="009A3785">
        <w:rPr>
          <w:noProof/>
          <w:color w:val="000000"/>
          <w:sz w:val="26"/>
          <w:szCs w:val="26"/>
          <w:lang w:val="en-US"/>
        </w:rPr>
        <w:fldChar w:fldCharType="begin"/>
      </w:r>
      <w:r w:rsidR="00727252" w:rsidRPr="009A3785">
        <w:rPr>
          <w:noProof/>
          <w:color w:val="000000"/>
          <w:sz w:val="26"/>
          <w:szCs w:val="26"/>
          <w:lang w:val="en-US"/>
        </w:rPr>
        <w:instrText xml:space="preserve"> ADDIN ZOTERO_ITEM CSL_CITATION {"citationID":"AVCQGGsK","properties":{"formattedCitation":"(Stahel, 2016)","plainCitation":"(Stahel, 2016)","noteIndex":0},"citationItems":[{"id":28,"uris":["http://zotero.org/users/local/Alzi7ROo/items/J4TJLH8Q"],"itemData":{"id":28,"type":"article-journal","container-title":"World Business Council for Sustainable Development.(1999). Corporate Social Responsibility","source":"Google Scholar","title":"The circular economy. nature, 531 (7595), 435–438","author":[{"family":"Stahel","given":"W. R."}],"issued":{"date-parts":[["2016"]]}}}],"schema":"https://github.com/citation-style-language/schema/raw/master/csl-citation.json"} </w:instrText>
      </w:r>
      <w:r w:rsidR="00727252" w:rsidRPr="009A3785">
        <w:rPr>
          <w:noProof/>
          <w:color w:val="000000"/>
          <w:sz w:val="26"/>
          <w:szCs w:val="26"/>
          <w:lang w:val="en-US"/>
        </w:rPr>
        <w:fldChar w:fldCharType="separate"/>
      </w:r>
      <w:r w:rsidR="00727252" w:rsidRPr="009A3785">
        <w:rPr>
          <w:noProof/>
          <w:color w:val="000000"/>
          <w:sz w:val="26"/>
          <w:szCs w:val="26"/>
          <w:lang w:val="en-US"/>
        </w:rPr>
        <w:t>(Stahel, 2016)</w:t>
      </w:r>
      <w:r w:rsidR="00727252" w:rsidRPr="009A3785">
        <w:rPr>
          <w:noProof/>
          <w:color w:val="000000"/>
          <w:sz w:val="26"/>
          <w:szCs w:val="26"/>
          <w:lang w:val="en-US"/>
        </w:rPr>
        <w:fldChar w:fldCharType="end"/>
      </w:r>
      <w:r w:rsidRPr="009A3785">
        <w:rPr>
          <w:noProof/>
          <w:color w:val="000000"/>
          <w:sz w:val="26"/>
          <w:szCs w:val="26"/>
          <w:lang w:val="en-US"/>
        </w:rPr>
        <w:t>. Also, Natural Capital Accounting (NCA) incorporates the cost of natural resources and ecosystem services into economic considerations</w:t>
      </w:r>
      <w:r w:rsidR="009D49A1">
        <w:rPr>
          <w:noProof/>
          <w:color w:val="000000"/>
          <w:sz w:val="26"/>
          <w:szCs w:val="26"/>
          <w:lang w:val="en-US"/>
        </w:rPr>
        <w:t>. It</w:t>
      </w:r>
      <w:r w:rsidRPr="009A3785">
        <w:rPr>
          <w:noProof/>
          <w:color w:val="000000"/>
          <w:sz w:val="26"/>
          <w:szCs w:val="26"/>
          <w:lang w:val="en-US"/>
        </w:rPr>
        <w:t xml:space="preserve"> helps businesses understand the actual costs of depleted resources and </w:t>
      </w:r>
      <w:r w:rsidR="00E341FC" w:rsidRPr="009A3785">
        <w:rPr>
          <w:noProof/>
          <w:color w:val="000000"/>
          <w:sz w:val="26"/>
          <w:szCs w:val="26"/>
          <w:lang w:val="en-US"/>
        </w:rPr>
        <w:t>waste</w:t>
      </w:r>
      <w:r w:rsidRPr="009A3785">
        <w:rPr>
          <w:noProof/>
          <w:color w:val="000000"/>
          <w:sz w:val="26"/>
          <w:szCs w:val="26"/>
          <w:lang w:val="en-US"/>
        </w:rPr>
        <w:t>, which is likely to lead to the circular practice of product lifetime extension and material recovery</w:t>
      </w:r>
      <w:r w:rsidR="00E341FC" w:rsidRPr="009A3785">
        <w:rPr>
          <w:noProof/>
          <w:color w:val="000000"/>
          <w:sz w:val="26"/>
          <w:szCs w:val="26"/>
          <w:lang w:val="en-US"/>
        </w:rPr>
        <w:t xml:space="preserve"> </w:t>
      </w:r>
      <w:r w:rsidR="00E341FC" w:rsidRPr="009A3785">
        <w:rPr>
          <w:noProof/>
          <w:color w:val="000000"/>
          <w:sz w:val="26"/>
          <w:szCs w:val="26"/>
          <w:lang w:val="en-US"/>
        </w:rPr>
        <w:fldChar w:fldCharType="begin"/>
      </w:r>
      <w:r w:rsidR="00E341FC" w:rsidRPr="009A3785">
        <w:rPr>
          <w:noProof/>
          <w:color w:val="000000"/>
          <w:sz w:val="26"/>
          <w:szCs w:val="26"/>
          <w:lang w:val="en-US"/>
        </w:rPr>
        <w:instrText xml:space="preserve"> ADDIN ZOTERO_ITEM CSL_CITATION {"citationID":"pVx6DgBD","properties":{"formattedCitation":"(James et al., 2018; Kosoy &amp; Corbera, 2010; Spash, 2013)","plainCitation":"(James et al., 2018; Kosoy &amp; Corbera, 2010; Spash, 2013)","noteIndex":0},"citationItems":[{"id":3816,"uris":["http://zotero.org/users/local/Alzi7ROo/items/Y9IMW4LX"],"itemData":{"id":3816,"type":"article-journal","container-title":"Sustainability","issue":"6","page":"2143","source":"Google Scholar","title":"Towards a better understanding of circular economy practices: A literature review","title-short":"Towards a better understanding of circular economy practices","volume":"10","author":[{"family":"James","given":"K. L."},{"family":"Randall","given":"N. P."},{"family":"Haddaway","given":"N. R."}],"issued":{"date-parts":[["2018"]]}}},{"id":3817,"uris":["http://zotero.org/users/local/Alzi7ROo/items/ZHN5GV6U"],"itemData":{"id":3817,"type":"article-journal","container-title":"Ecological economics","issue":"6","note":"publisher: Elsevier","page":"1228–1236","source":"Google Scholar","title":"Payments for ecosystem services as commodity fetishism","volume":"69","author":[{"family":"Kosoy","given":"Nicolás"},{"family":"Corbera","given":"Esteve"}],"issued":{"date-parts":[["2010"]]}}},{"id":3819,"uris":["http://zotero.org/users/local/Alzi7ROo/items/KNLZH8HS"],"itemData":{"id":3819,"type":"article-journal","container-title":"Ecological Economics","note":"publisher: Elsevier","page":"351–362","source":"Google Scholar","title":"The shallow or the deep ecological economics movement?","volume":"93","author":[{"family":"Spash","given":"Clive L."}],"issued":{"date-parts":[["2013"]]}}}],"schema":"https://github.com/citation-style-language/schema/raw/master/csl-citation.json"} </w:instrText>
      </w:r>
      <w:r w:rsidR="00E341FC" w:rsidRPr="009A3785">
        <w:rPr>
          <w:noProof/>
          <w:color w:val="000000"/>
          <w:sz w:val="26"/>
          <w:szCs w:val="26"/>
          <w:lang w:val="en-US"/>
        </w:rPr>
        <w:fldChar w:fldCharType="separate"/>
      </w:r>
      <w:r w:rsidR="00E341FC" w:rsidRPr="009A3785">
        <w:rPr>
          <w:noProof/>
          <w:color w:val="000000"/>
          <w:sz w:val="26"/>
          <w:szCs w:val="26"/>
          <w:lang w:val="en-US"/>
        </w:rPr>
        <w:t>(James et al., 2018; Kosoy &amp; Corbera, 20</w:t>
      </w:r>
      <w:r w:rsidR="009E5A12" w:rsidRPr="009A3785">
        <w:rPr>
          <w:noProof/>
          <w:color w:val="000000"/>
          <w:sz w:val="26"/>
          <w:szCs w:val="26"/>
          <w:lang w:val="en-US"/>
        </w:rPr>
        <w:t>09</w:t>
      </w:r>
      <w:r w:rsidR="00E341FC" w:rsidRPr="009A3785">
        <w:rPr>
          <w:noProof/>
          <w:color w:val="000000"/>
          <w:sz w:val="26"/>
          <w:szCs w:val="26"/>
          <w:lang w:val="en-US"/>
        </w:rPr>
        <w:t>; Spash, 2013)</w:t>
      </w:r>
      <w:r w:rsidR="00E341FC" w:rsidRPr="009A3785">
        <w:rPr>
          <w:noProof/>
          <w:color w:val="000000"/>
          <w:sz w:val="26"/>
          <w:szCs w:val="26"/>
          <w:lang w:val="en-US"/>
        </w:rPr>
        <w:fldChar w:fldCharType="end"/>
      </w:r>
      <w:r w:rsidR="00000985" w:rsidRPr="009A3785">
        <w:rPr>
          <w:noProof/>
          <w:color w:val="000000"/>
          <w:sz w:val="26"/>
          <w:szCs w:val="26"/>
          <w:lang w:val="en-US"/>
        </w:rPr>
        <w:t>.</w:t>
      </w:r>
    </w:p>
    <w:p w14:paraId="183E9D0B" w14:textId="354AC707" w:rsidR="002870F6" w:rsidRPr="009A3785" w:rsidRDefault="002870F6" w:rsidP="00824E69">
      <w:pPr>
        <w:spacing w:line="300" w:lineRule="auto"/>
        <w:ind w:firstLineChars="200" w:firstLine="520"/>
        <w:jc w:val="both"/>
        <w:rPr>
          <w:noProof/>
          <w:color w:val="000000"/>
          <w:sz w:val="26"/>
          <w:szCs w:val="26"/>
          <w:lang w:val="en-US"/>
        </w:rPr>
      </w:pPr>
      <w:r w:rsidRPr="009A3785">
        <w:rPr>
          <w:noProof/>
          <w:color w:val="000000"/>
          <w:sz w:val="26"/>
          <w:szCs w:val="26"/>
          <w:lang w:val="en-US"/>
        </w:rPr>
        <w:t>A combination of these approaches can help achieve the harmony between economic growth and environmental health, creating a long-term level of resilience. Despite the existing problems associated with the implementation of restorative practices and their evaluation to measure the impact</w:t>
      </w:r>
      <w:r w:rsidR="00B260FF" w:rsidRPr="009A3785">
        <w:rPr>
          <w:noProof/>
          <w:color w:val="000000"/>
          <w:sz w:val="26"/>
          <w:szCs w:val="26"/>
          <w:lang w:val="en-US"/>
        </w:rPr>
        <w:t xml:space="preserve"> </w:t>
      </w:r>
      <w:r w:rsidR="00B260FF" w:rsidRPr="009A3785">
        <w:rPr>
          <w:noProof/>
          <w:color w:val="000000"/>
          <w:sz w:val="26"/>
          <w:szCs w:val="26"/>
          <w:lang w:val="en-US"/>
        </w:rPr>
        <w:fldChar w:fldCharType="begin"/>
      </w:r>
      <w:r w:rsidR="00B260FF" w:rsidRPr="009A3785">
        <w:rPr>
          <w:noProof/>
          <w:color w:val="000000"/>
          <w:sz w:val="26"/>
          <w:szCs w:val="26"/>
          <w:lang w:val="en-US"/>
        </w:rPr>
        <w:instrText xml:space="preserve"> ADDIN ZOTERO_ITEM CSL_CITATION {"citationID":"DA6sp8mC","properties":{"formattedCitation":"(Korhonen et al., 2018)","plainCitation":"(Korhonen et al., 2018)","noteIndex":0},"citationItems":[{"id":2559,"uris":["http://zotero.org/users/local/Alzi7ROo/items/VP3Z3636"],"itemData":{"id":2559,"type":"article-journal","container-title":"Ecological economics","note":"publisher: Elsevier","page":"37–46","source":"Google Scholar","title":"Circular economy: the concept and its limitations","title-short":"Circular economy","volume":"143","author":[{"family":"Korhonen","given":"Jouni"},{"family":"Honkasalo","given":"Antero"},{"family":"Seppälä","given":"Jyri"}],"issued":{"date-parts":[["2018"]]}}}],"schema":"https://github.com/citation-style-language/schema/raw/master/csl-citation.json"} </w:instrText>
      </w:r>
      <w:r w:rsidR="00B260FF" w:rsidRPr="009A3785">
        <w:rPr>
          <w:noProof/>
          <w:color w:val="000000"/>
          <w:sz w:val="26"/>
          <w:szCs w:val="26"/>
          <w:lang w:val="en-US"/>
        </w:rPr>
        <w:fldChar w:fldCharType="separate"/>
      </w:r>
      <w:r w:rsidR="00B260FF" w:rsidRPr="009A3785">
        <w:rPr>
          <w:noProof/>
          <w:color w:val="000000"/>
          <w:sz w:val="26"/>
          <w:szCs w:val="26"/>
          <w:lang w:val="en-US"/>
        </w:rPr>
        <w:t>(Korhonen et al., 201</w:t>
      </w:r>
      <w:r w:rsidR="009E5A12" w:rsidRPr="009A3785">
        <w:rPr>
          <w:noProof/>
          <w:color w:val="000000"/>
          <w:sz w:val="26"/>
          <w:szCs w:val="26"/>
          <w:lang w:val="en-US"/>
        </w:rPr>
        <w:t>7</w:t>
      </w:r>
      <w:r w:rsidR="00B260FF" w:rsidRPr="009A3785">
        <w:rPr>
          <w:noProof/>
          <w:color w:val="000000"/>
          <w:sz w:val="26"/>
          <w:szCs w:val="26"/>
          <w:lang w:val="en-US"/>
        </w:rPr>
        <w:t>)</w:t>
      </w:r>
      <w:r w:rsidR="00B260FF" w:rsidRPr="009A3785">
        <w:rPr>
          <w:noProof/>
          <w:color w:val="000000"/>
          <w:sz w:val="26"/>
          <w:szCs w:val="26"/>
          <w:lang w:val="en-US"/>
        </w:rPr>
        <w:fldChar w:fldCharType="end"/>
      </w:r>
      <w:r w:rsidRPr="009A3785">
        <w:rPr>
          <w:noProof/>
          <w:color w:val="000000"/>
          <w:sz w:val="26"/>
          <w:szCs w:val="26"/>
          <w:lang w:val="en-US"/>
        </w:rPr>
        <w:t xml:space="preserve">, the given approach is essential as economic development has traditionally promoted produced and intangible capital at the expense of natural capital, which has been depleted and </w:t>
      </w:r>
      <w:r w:rsidR="00D1755B">
        <w:rPr>
          <w:noProof/>
          <w:color w:val="000000"/>
          <w:sz w:val="26"/>
          <w:szCs w:val="26"/>
          <w:lang w:val="en-US"/>
        </w:rPr>
        <w:t xml:space="preserve">has </w:t>
      </w:r>
      <w:r w:rsidRPr="009A3785">
        <w:rPr>
          <w:noProof/>
          <w:color w:val="000000"/>
          <w:sz w:val="26"/>
          <w:szCs w:val="26"/>
          <w:lang w:val="en-US"/>
        </w:rPr>
        <w:t>impacted the environment adversely</w:t>
      </w:r>
      <w:r w:rsidR="009D49A1">
        <w:rPr>
          <w:noProof/>
          <w:color w:val="000000"/>
          <w:sz w:val="26"/>
          <w:szCs w:val="26"/>
          <w:lang w:val="en-US"/>
        </w:rPr>
        <w:t xml:space="preserve"> </w:t>
      </w:r>
      <w:r w:rsidR="00C84D7B" w:rsidRPr="009A3785">
        <w:rPr>
          <w:noProof/>
          <w:color w:val="000000"/>
          <w:sz w:val="26"/>
          <w:szCs w:val="26"/>
          <w:lang w:val="en-US"/>
        </w:rPr>
        <w:fldChar w:fldCharType="begin"/>
      </w:r>
      <w:r w:rsidR="00C84D7B" w:rsidRPr="009A3785">
        <w:rPr>
          <w:noProof/>
          <w:color w:val="000000"/>
          <w:sz w:val="26"/>
          <w:szCs w:val="26"/>
          <w:lang w:val="en-US"/>
        </w:rPr>
        <w:instrText xml:space="preserve"> ADDIN ZOTERO_ITEM CSL_CITATION {"citationID":"vuJVzyhG","properties":{"formattedCitation":"(Jorgenson &amp; Dietz, 2015)","plainCitation":"(Jorgenson &amp; Dietz, 2015)","noteIndex":0},"citationItems":[{"id":3824,"uris":["http://zotero.org/users/local/Alzi7ROo/items/N5TR7KGG"],"itemData":{"id":3824,"type":"article-journal","container-title":"Sustainability Science","DOI":"10.1007/s11625-014-0264-6","ISSN":"1862-4065, 1862-4057","issue":"1","journalAbbreviation":"Sustain Sci","language":"en","page":"149-156","source":"DOI.org (Crossref)","title":"Economic growth does not reduce the ecological intensity of human well-being","volume":"10","author":[{"family":"Jorgenson","given":"Andrew K."},{"family":"Dietz","given":"Thomas"}],"issued":{"date-parts":[["2015",1]]}}}],"schema":"https://github.com/citation-style-language/schema/raw/master/csl-citation.json"} </w:instrText>
      </w:r>
      <w:r w:rsidR="00C84D7B" w:rsidRPr="009A3785">
        <w:rPr>
          <w:noProof/>
          <w:color w:val="000000"/>
          <w:sz w:val="26"/>
          <w:szCs w:val="26"/>
          <w:lang w:val="en-US"/>
        </w:rPr>
        <w:fldChar w:fldCharType="separate"/>
      </w:r>
      <w:r w:rsidR="00C84D7B" w:rsidRPr="009A3785">
        <w:rPr>
          <w:noProof/>
          <w:color w:val="000000"/>
          <w:sz w:val="26"/>
          <w:szCs w:val="26"/>
          <w:lang w:val="en-US"/>
        </w:rPr>
        <w:t>(Jorgenson &amp; Dietz, 201</w:t>
      </w:r>
      <w:r w:rsidR="009E5A12" w:rsidRPr="009A3785">
        <w:rPr>
          <w:noProof/>
          <w:color w:val="000000"/>
          <w:sz w:val="26"/>
          <w:szCs w:val="26"/>
          <w:lang w:val="en-US"/>
        </w:rPr>
        <w:t>4</w:t>
      </w:r>
      <w:r w:rsidR="00C84D7B" w:rsidRPr="009A3785">
        <w:rPr>
          <w:noProof/>
          <w:color w:val="000000"/>
          <w:sz w:val="26"/>
          <w:szCs w:val="26"/>
          <w:lang w:val="en-US"/>
        </w:rPr>
        <w:t>)</w:t>
      </w:r>
      <w:r w:rsidR="00C84D7B" w:rsidRPr="009A3785">
        <w:rPr>
          <w:noProof/>
          <w:color w:val="000000"/>
          <w:sz w:val="26"/>
          <w:szCs w:val="26"/>
          <w:lang w:val="en-US"/>
        </w:rPr>
        <w:fldChar w:fldCharType="end"/>
      </w:r>
      <w:r w:rsidRPr="009A3785">
        <w:rPr>
          <w:noProof/>
          <w:color w:val="000000"/>
          <w:sz w:val="26"/>
          <w:szCs w:val="26"/>
          <w:lang w:val="en-US"/>
        </w:rPr>
        <w:t xml:space="preserve">. Therefore, initiatives related to advancing circularity and restoring natural resources are </w:t>
      </w:r>
      <w:r w:rsidR="009D49A1">
        <w:rPr>
          <w:noProof/>
          <w:color w:val="000000"/>
          <w:sz w:val="26"/>
          <w:szCs w:val="26"/>
          <w:lang w:val="en-US"/>
        </w:rPr>
        <w:t>crucial</w:t>
      </w:r>
      <w:r w:rsidRPr="009A3785">
        <w:rPr>
          <w:noProof/>
          <w:color w:val="000000"/>
          <w:sz w:val="26"/>
          <w:szCs w:val="26"/>
          <w:lang w:val="en-US"/>
        </w:rPr>
        <w:t xml:space="preserve"> to a</w:t>
      </w:r>
      <w:r w:rsidR="009D49A1">
        <w:rPr>
          <w:noProof/>
          <w:color w:val="000000"/>
          <w:sz w:val="26"/>
          <w:szCs w:val="26"/>
          <w:lang w:val="en-US"/>
        </w:rPr>
        <w:t>chiev</w:t>
      </w:r>
      <w:r w:rsidRPr="009A3785">
        <w:rPr>
          <w:noProof/>
          <w:color w:val="000000"/>
          <w:sz w:val="26"/>
          <w:szCs w:val="26"/>
          <w:lang w:val="en-US"/>
        </w:rPr>
        <w:t xml:space="preserve">ing sustainable </w:t>
      </w:r>
      <w:r w:rsidR="009D49A1">
        <w:rPr>
          <w:noProof/>
          <w:color w:val="000000"/>
          <w:sz w:val="26"/>
          <w:szCs w:val="26"/>
          <w:lang w:val="en-US"/>
        </w:rPr>
        <w:t>economic growth</w:t>
      </w:r>
      <w:r w:rsidRPr="009A3785">
        <w:rPr>
          <w:noProof/>
          <w:color w:val="000000"/>
          <w:sz w:val="26"/>
          <w:szCs w:val="26"/>
          <w:lang w:val="en-US"/>
        </w:rPr>
        <w:t>.</w:t>
      </w:r>
    </w:p>
    <w:p w14:paraId="7A7A6123" w14:textId="0906B46F" w:rsidR="002870F6" w:rsidRPr="009A3785" w:rsidRDefault="009D49A1" w:rsidP="00824E69">
      <w:pPr>
        <w:spacing w:line="300" w:lineRule="auto"/>
        <w:ind w:firstLineChars="200" w:firstLine="520"/>
        <w:jc w:val="both"/>
        <w:rPr>
          <w:noProof/>
          <w:color w:val="000000"/>
          <w:sz w:val="26"/>
          <w:szCs w:val="26"/>
          <w:lang w:val="en-US"/>
        </w:rPr>
      </w:pPr>
      <w:r w:rsidRPr="00A969E0">
        <w:rPr>
          <w:noProof/>
          <w:color w:val="000000"/>
          <w:sz w:val="26"/>
          <w:szCs w:val="26"/>
          <w:lang w:val="en-US"/>
        </w:rPr>
        <w:t>R</w:t>
      </w:r>
      <w:r w:rsidR="002870F6" w:rsidRPr="00A969E0">
        <w:rPr>
          <w:noProof/>
          <w:color w:val="000000"/>
          <w:sz w:val="26"/>
          <w:szCs w:val="26"/>
          <w:lang w:val="en-US"/>
        </w:rPr>
        <w:t>ecent theoretical studies</w:t>
      </w:r>
      <w:r w:rsidRPr="00A969E0">
        <w:rPr>
          <w:noProof/>
          <w:color w:val="000000"/>
          <w:sz w:val="26"/>
          <w:szCs w:val="26"/>
          <w:lang w:val="en-US"/>
        </w:rPr>
        <w:t xml:space="preserve"> have explored</w:t>
      </w:r>
      <w:r w:rsidR="002870F6" w:rsidRPr="00A969E0">
        <w:rPr>
          <w:noProof/>
          <w:color w:val="000000"/>
          <w:sz w:val="26"/>
          <w:szCs w:val="26"/>
          <w:lang w:val="en-US"/>
        </w:rPr>
        <w:t xml:space="preserve"> the correlation between economic development and </w:t>
      </w:r>
      <w:r w:rsidRPr="00A969E0">
        <w:rPr>
          <w:noProof/>
          <w:color w:val="000000"/>
          <w:sz w:val="26"/>
          <w:szCs w:val="26"/>
          <w:lang w:val="en-US"/>
        </w:rPr>
        <w:t>environmental</w:t>
      </w:r>
      <w:r w:rsidR="002870F6" w:rsidRPr="00A969E0">
        <w:rPr>
          <w:noProof/>
          <w:color w:val="000000"/>
          <w:sz w:val="26"/>
          <w:szCs w:val="26"/>
          <w:lang w:val="en-US"/>
        </w:rPr>
        <w:t xml:space="preserve"> sustainability </w:t>
      </w:r>
      <w:r w:rsidRPr="00A969E0">
        <w:rPr>
          <w:noProof/>
          <w:color w:val="000000"/>
          <w:sz w:val="26"/>
          <w:szCs w:val="26"/>
          <w:lang w:val="en-US"/>
        </w:rPr>
        <w:t>with</w:t>
      </w:r>
      <w:r w:rsidR="002870F6" w:rsidRPr="00A969E0">
        <w:rPr>
          <w:noProof/>
          <w:color w:val="000000"/>
          <w:sz w:val="26"/>
          <w:szCs w:val="26"/>
          <w:lang w:val="en-US"/>
        </w:rPr>
        <w:t>in the framewor</w:t>
      </w:r>
      <w:r w:rsidR="002870F6" w:rsidRPr="00FD2EDC">
        <w:rPr>
          <w:noProof/>
          <w:color w:val="000000"/>
          <w:sz w:val="26"/>
          <w:szCs w:val="26"/>
          <w:lang w:val="en-US"/>
        </w:rPr>
        <w:t>k</w:t>
      </w:r>
      <w:r w:rsidR="002870F6" w:rsidRPr="00A969E0">
        <w:rPr>
          <w:noProof/>
          <w:color w:val="000000"/>
          <w:sz w:val="26"/>
          <w:szCs w:val="26"/>
          <w:lang w:val="en-US"/>
        </w:rPr>
        <w:t xml:space="preserve"> of the circular economy</w:t>
      </w:r>
      <w:r w:rsidRPr="00A969E0">
        <w:rPr>
          <w:noProof/>
          <w:color w:val="000000"/>
          <w:sz w:val="26"/>
          <w:szCs w:val="26"/>
          <w:lang w:val="en-US"/>
        </w:rPr>
        <w:t>, suggesting</w:t>
      </w:r>
      <w:r w:rsidR="002870F6" w:rsidRPr="00A969E0">
        <w:rPr>
          <w:noProof/>
          <w:color w:val="000000"/>
          <w:sz w:val="26"/>
          <w:szCs w:val="26"/>
          <w:lang w:val="en-US"/>
        </w:rPr>
        <w:t xml:space="preserve"> that economic development may </w:t>
      </w:r>
      <w:r w:rsidRPr="00A969E0">
        <w:rPr>
          <w:noProof/>
          <w:color w:val="000000"/>
          <w:sz w:val="26"/>
          <w:szCs w:val="26"/>
          <w:lang w:val="en-US"/>
        </w:rPr>
        <w:t>conflict</w:t>
      </w:r>
      <w:r w:rsidR="002870F6" w:rsidRPr="00A969E0">
        <w:rPr>
          <w:noProof/>
          <w:color w:val="000000"/>
          <w:sz w:val="26"/>
          <w:szCs w:val="26"/>
          <w:lang w:val="en-US"/>
        </w:rPr>
        <w:t xml:space="preserve"> with the enhancement or conservation of environmental qualit</w:t>
      </w:r>
      <w:r w:rsidR="00A969E0">
        <w:rPr>
          <w:noProof/>
          <w:color w:val="000000"/>
          <w:sz w:val="26"/>
          <w:szCs w:val="26"/>
          <w:lang w:val="en-US"/>
        </w:rPr>
        <w:t xml:space="preserve">y. However, </w:t>
      </w:r>
      <w:r w:rsidR="00BB1D43" w:rsidRPr="00A969E0">
        <w:rPr>
          <w:noProof/>
          <w:color w:val="000000"/>
          <w:sz w:val="26"/>
          <w:szCs w:val="26"/>
          <w:lang w:val="en-US"/>
        </w:rPr>
        <w:fldChar w:fldCharType="begin"/>
      </w:r>
      <w:r w:rsidR="00D926B3" w:rsidRPr="00A969E0">
        <w:rPr>
          <w:noProof/>
          <w:color w:val="000000"/>
          <w:sz w:val="26"/>
          <w:szCs w:val="26"/>
          <w:lang w:val="en-US"/>
        </w:rPr>
        <w:instrText xml:space="preserve"> ADDIN ZOTERO_ITEM CSL_CITATION {"citationID":"JBotAP8x","properties":{"formattedCitation":"(Donaghy, 2021)","plainCitation":"(Donaghy, 2021)","dontUpdate":true,"noteIndex":0},"citationItems":[{"id":3827,"uris":["http://zotero.org/users/local/Alzi7ROo/items/LRZZBFRM"],"itemData":{"id":3827,"type":"chapter","container-title":"Handbook on Entropy, Complexity and Spatial Dynamics","page":"287–303","publisher":"Edward Elgar Publishing","source":"Google Scholar","title":"Getting to a circular growth economy by harnessing circular and cumulative causation","URL":"https://www.elgaronline.com/abstract/edcoll/9781839100581/9781839100581.00026.xml","author":[{"family":"Donaghy","given":"Kieran P."}],"accessed":{"date-parts":[["2025",8,3]]},"issued":{"date-parts":[["2021"]]}}}],"schema":"https://github.com/citation-style-language/schema/raw/master/csl-citation.json"} </w:instrText>
      </w:r>
      <w:r w:rsidR="00BB1D43" w:rsidRPr="00A969E0">
        <w:rPr>
          <w:noProof/>
          <w:color w:val="000000"/>
          <w:sz w:val="26"/>
          <w:szCs w:val="26"/>
          <w:lang w:val="en-US"/>
        </w:rPr>
        <w:fldChar w:fldCharType="separate"/>
      </w:r>
      <w:r w:rsidR="00BB1D43" w:rsidRPr="00A969E0">
        <w:rPr>
          <w:noProof/>
          <w:color w:val="000000"/>
          <w:sz w:val="26"/>
          <w:szCs w:val="26"/>
          <w:lang w:val="en-US"/>
        </w:rPr>
        <w:t>Donaghy (2021)</w:t>
      </w:r>
      <w:r w:rsidR="00BB1D43" w:rsidRPr="00A969E0">
        <w:rPr>
          <w:noProof/>
          <w:color w:val="000000"/>
          <w:sz w:val="26"/>
          <w:szCs w:val="26"/>
          <w:lang w:val="en-US"/>
        </w:rPr>
        <w:fldChar w:fldCharType="end"/>
      </w:r>
      <w:r w:rsidR="00A969E0">
        <w:rPr>
          <w:noProof/>
          <w:color w:val="000000"/>
          <w:sz w:val="26"/>
          <w:szCs w:val="26"/>
          <w:lang w:val="en-US"/>
        </w:rPr>
        <w:t xml:space="preserve"> </w:t>
      </w:r>
      <w:r w:rsidR="00337D42" w:rsidRPr="00A969E0">
        <w:rPr>
          <w:noProof/>
          <w:color w:val="000000"/>
          <w:sz w:val="26"/>
          <w:szCs w:val="26"/>
          <w:lang w:val="en-US"/>
        </w:rPr>
        <w:t>demonstrates how, by considering circular and cumulative causation (CCC) processes, a circular market economy can be created to achieve both</w:t>
      </w:r>
      <w:r w:rsidR="002870F6" w:rsidRPr="00A969E0">
        <w:rPr>
          <w:noProof/>
          <w:color w:val="000000"/>
          <w:sz w:val="26"/>
          <w:szCs w:val="26"/>
          <w:lang w:val="en-US"/>
        </w:rPr>
        <w:t xml:space="preserve"> economic and environmental objectives.</w:t>
      </w:r>
      <w:r w:rsidR="002870F6" w:rsidRPr="009A3785">
        <w:rPr>
          <w:noProof/>
          <w:color w:val="000000"/>
          <w:sz w:val="26"/>
          <w:szCs w:val="26"/>
          <w:lang w:val="en-US"/>
        </w:rPr>
        <w:t xml:space="preserve"> </w:t>
      </w:r>
    </w:p>
    <w:p w14:paraId="4C12A94A" w14:textId="09D4F031" w:rsidR="002870F6" w:rsidRPr="009A3785" w:rsidRDefault="002870F6" w:rsidP="00824E69">
      <w:pPr>
        <w:spacing w:line="300" w:lineRule="auto"/>
        <w:ind w:firstLineChars="200" w:firstLine="520"/>
        <w:jc w:val="both"/>
        <w:rPr>
          <w:noProof/>
          <w:color w:val="000000"/>
          <w:sz w:val="26"/>
          <w:szCs w:val="26"/>
          <w:lang w:val="en-US"/>
        </w:rPr>
      </w:pPr>
      <w:r w:rsidRPr="009A3785">
        <w:rPr>
          <w:noProof/>
          <w:color w:val="000000"/>
          <w:sz w:val="26"/>
          <w:szCs w:val="26"/>
          <w:lang w:val="en-US"/>
        </w:rPr>
        <w:t>Theoretical discussions and analyses conducted across countries and economies have supported the idea that circular economy and environmental sustainability solutions can have the capacity to balance economic growth</w:t>
      </w:r>
      <w:r w:rsidR="009D49A1">
        <w:rPr>
          <w:noProof/>
          <w:color w:val="000000"/>
          <w:sz w:val="26"/>
          <w:szCs w:val="26"/>
          <w:lang w:val="en-US"/>
        </w:rPr>
        <w:t>. However,</w:t>
      </w:r>
      <w:r w:rsidRPr="009A3785">
        <w:rPr>
          <w:noProof/>
          <w:color w:val="000000"/>
          <w:sz w:val="26"/>
          <w:szCs w:val="26"/>
          <w:lang w:val="en-US"/>
        </w:rPr>
        <w:t xml:space="preserve"> empirical research on such methodologies </w:t>
      </w:r>
      <w:r w:rsidR="009D49A1">
        <w:rPr>
          <w:noProof/>
          <w:color w:val="000000"/>
          <w:sz w:val="26"/>
          <w:szCs w:val="26"/>
          <w:lang w:val="en-US"/>
        </w:rPr>
        <w:t>is</w:t>
      </w:r>
      <w:r w:rsidRPr="009A3785">
        <w:rPr>
          <w:noProof/>
          <w:color w:val="000000"/>
          <w:sz w:val="26"/>
          <w:szCs w:val="26"/>
          <w:lang w:val="en-US"/>
        </w:rPr>
        <w:t xml:space="preserve"> limited to either macroeconomic or regional effects. Indicatively, Propensity Score Matching and Difference-in-Differences methods were </w:t>
      </w:r>
      <w:r w:rsidR="009D49A1">
        <w:rPr>
          <w:noProof/>
          <w:color w:val="000000"/>
          <w:sz w:val="26"/>
          <w:szCs w:val="26"/>
          <w:lang w:val="en-US"/>
        </w:rPr>
        <w:t>employ</w:t>
      </w:r>
      <w:r w:rsidRPr="009A3785">
        <w:rPr>
          <w:noProof/>
          <w:color w:val="000000"/>
          <w:sz w:val="26"/>
          <w:szCs w:val="26"/>
          <w:lang w:val="en-US"/>
        </w:rPr>
        <w:t xml:space="preserve">ed to examine the impact of </w:t>
      </w:r>
      <w:r w:rsidR="009D49A1">
        <w:rPr>
          <w:noProof/>
          <w:color w:val="000000"/>
          <w:sz w:val="26"/>
          <w:szCs w:val="26"/>
          <w:lang w:val="en-US"/>
        </w:rPr>
        <w:t>implementing</w:t>
      </w:r>
      <w:r w:rsidRPr="009A3785">
        <w:rPr>
          <w:noProof/>
          <w:color w:val="000000"/>
          <w:sz w:val="26"/>
          <w:szCs w:val="26"/>
          <w:lang w:val="en-US"/>
        </w:rPr>
        <w:t xml:space="preserve"> circular economy policies on the local economic development of pilot cities in China </w:t>
      </w:r>
      <w:r w:rsidR="00FF12F6" w:rsidRPr="009A3785">
        <w:rPr>
          <w:noProof/>
          <w:color w:val="000000"/>
          <w:sz w:val="26"/>
          <w:szCs w:val="26"/>
          <w:lang w:val="en-US"/>
        </w:rPr>
        <w:fldChar w:fldCharType="begin"/>
      </w:r>
      <w:r w:rsidR="00FF12F6" w:rsidRPr="009A3785">
        <w:rPr>
          <w:noProof/>
          <w:color w:val="000000"/>
          <w:sz w:val="26"/>
          <w:szCs w:val="26"/>
          <w:lang w:val="en-US"/>
        </w:rPr>
        <w:instrText xml:space="preserve"> ADDIN ZOTERO_ITEM CSL_CITATION {"citationID":"bRVc6Dw4","properties":{"formattedCitation":"(Chen et al., 2020)","plainCitation":"(Chen et al., 2020)","noteIndex":0},"citationItems":[{"id":3438,"uris":["http://zotero.org/users/local/Alzi7ROo/items/JJ4N2739"],"itemData":{"id":3438,"type":"article-journal","abstract":"This study aims to assess the impact of circular economy on economic growth. In the process of rapid economic growth, China has been facing with the pressure of insufficient supply of resources and environmental pollution, which makes the development model of circular economy (CE) an imperative transformation. China has carried out two batches of CE pilot cities to promote the construction of ecological economy and change the traditional economic development model, which is employed as a quasi-natural experiment in this study. The effect of this CE policy on the local economic growth is explored using the Propensity Score Matching (PSM) method and Difference-in-Differences (DID) model and a panel data of 163 Chinese cities from the year of 2001–2012 has been used. The results show that the growth rate of GDP of the pilot cities decreases significantly but the economic decline gradually recovers as time goes on. In addition, this study further conducts the regional heterogeneity analysis to compare the economic growth of CE pilot cities in three economic zones, i.e., eastern, central and western economic zones, and the sectoral heterogeneity analysis to compare the economic growth of three main industries, i.e., primary, secondary and tertiary industries. Finally, discussion of above results is presented and recommendations for the promotion of urban CE are proposed.","container-title":"Journal of Cleaner Production","DOI":"10.1016/j.jclepro.2020.122558","ISSN":"0959-6526","journalAbbreviation":"Journal of Cleaner Production","page":"122558","source":"ScienceDirect","title":"The effects of circular economy on economic growth: A quasi-natural experiment in China","title-short":"The effects of circular economy on economic growth","volume":"271","author":[{"family":"Chen","given":"Ziyu"},{"family":"Chen","given":"Shouming"},{"family":"Liu","given":"Chang"},{"family":"Nguyen","given":"Luu Thi"},{"family":"Hasan","given":"Abid"}],"issued":{"date-parts":[["2020",10,20]]}}}],"schema":"https://github.com/citation-style-language/schema/raw/master/csl-citation.json"} </w:instrText>
      </w:r>
      <w:r w:rsidR="00FF12F6" w:rsidRPr="009A3785">
        <w:rPr>
          <w:noProof/>
          <w:color w:val="000000"/>
          <w:sz w:val="26"/>
          <w:szCs w:val="26"/>
          <w:lang w:val="en-US"/>
        </w:rPr>
        <w:fldChar w:fldCharType="separate"/>
      </w:r>
      <w:r w:rsidR="00FF12F6" w:rsidRPr="009A3785">
        <w:rPr>
          <w:noProof/>
          <w:color w:val="000000"/>
          <w:sz w:val="26"/>
          <w:szCs w:val="26"/>
          <w:lang w:val="en-US"/>
        </w:rPr>
        <w:t>(Chen et al., 2020)</w:t>
      </w:r>
      <w:r w:rsidR="00FF12F6" w:rsidRPr="009A3785">
        <w:rPr>
          <w:noProof/>
          <w:color w:val="000000"/>
          <w:sz w:val="26"/>
          <w:szCs w:val="26"/>
          <w:lang w:val="en-US"/>
        </w:rPr>
        <w:fldChar w:fldCharType="end"/>
      </w:r>
      <w:r w:rsidRPr="009A3785">
        <w:rPr>
          <w:noProof/>
          <w:color w:val="000000"/>
          <w:sz w:val="26"/>
          <w:szCs w:val="26"/>
          <w:lang w:val="en-US"/>
        </w:rPr>
        <w:t xml:space="preserve">. </w:t>
      </w:r>
      <w:r w:rsidR="009D49A1">
        <w:rPr>
          <w:noProof/>
          <w:color w:val="000000"/>
          <w:sz w:val="26"/>
          <w:szCs w:val="26"/>
          <w:lang w:val="en-US"/>
        </w:rPr>
        <w:t>Similarly</w:t>
      </w:r>
      <w:r w:rsidRPr="009A3785">
        <w:rPr>
          <w:noProof/>
          <w:color w:val="000000"/>
          <w:sz w:val="26"/>
          <w:szCs w:val="26"/>
          <w:lang w:val="en-US"/>
        </w:rPr>
        <w:t xml:space="preserve">, papers on sustainable supply </w:t>
      </w:r>
      <w:r w:rsidR="00E82933">
        <w:rPr>
          <w:noProof/>
          <w:color w:val="000000"/>
          <w:sz w:val="26"/>
          <w:szCs w:val="26"/>
          <w:lang w:val="en-US"/>
        </w:rPr>
        <w:t xml:space="preserve">chains </w:t>
      </w:r>
      <w:r w:rsidR="00F7578D">
        <w:rPr>
          <w:noProof/>
          <w:color w:val="000000"/>
          <w:sz w:val="26"/>
          <w:szCs w:val="26"/>
          <w:lang w:val="en-US"/>
        </w:rPr>
        <w:t>highlight limitations to implementing a circular model (Fatih &amp; Hirawan, 2024), and studies on the indicators of a circular economy in the European Union reveal</w:t>
      </w:r>
      <w:r w:rsidRPr="009A3785">
        <w:rPr>
          <w:noProof/>
          <w:color w:val="000000"/>
          <w:sz w:val="26"/>
          <w:szCs w:val="26"/>
          <w:lang w:val="en-US"/>
        </w:rPr>
        <w:t xml:space="preserve"> strong correlations between the scope of circularity and GDP growth</w:t>
      </w:r>
      <w:r w:rsidR="00AD45B8" w:rsidRPr="009A3785">
        <w:rPr>
          <w:noProof/>
          <w:color w:val="000000"/>
          <w:sz w:val="26"/>
          <w:szCs w:val="26"/>
          <w:lang w:val="en-US"/>
        </w:rPr>
        <w:t xml:space="preserve"> </w:t>
      </w:r>
      <w:r w:rsidR="00AD45B8" w:rsidRPr="009A3785">
        <w:rPr>
          <w:noProof/>
          <w:color w:val="000000"/>
          <w:sz w:val="26"/>
          <w:szCs w:val="26"/>
          <w:lang w:val="en-US"/>
        </w:rPr>
        <w:fldChar w:fldCharType="begin"/>
      </w:r>
      <w:r w:rsidR="00AD45B8" w:rsidRPr="009A3785">
        <w:rPr>
          <w:noProof/>
          <w:color w:val="000000"/>
          <w:sz w:val="26"/>
          <w:szCs w:val="26"/>
          <w:lang w:val="en-US"/>
        </w:rPr>
        <w:instrText xml:space="preserve"> ADDIN ZOTERO_ITEM CSL_CITATION {"citationID":"jHSEyaIi","properties":{"formattedCitation":"(Radivojevi\\uc0\\u263{} et al., 2024)","plainCitation":"(Radivojević et al., 2024)","noteIndex":0},"citationItems":[{"id":3440,"uris":["http://zotero.org/users/local/Alzi7ROo/items/I9ME29V6"],"itemData":{"id":3440,"type":"article-journal","abstract":"The transition to a circular economy has become an important topic in thinking about the sustainable future of humanity. An important and often disputed point i...","archive_location":"Sage CA: Los Angeles, CA","container-title":"SAGE Open","DOI":"10.1177/21582440241240624","language":"en","license":"© The Author(s) 2024","note":"publisher: SAGE PublicationsSage CA: Los Angeles, CA","source":"journals.sagepub.com","title":"The Role of Circular Economy in Driving Economic Growth: Evidence from EU Countries","title-short":"The Role of Circular Economy in Driving Economic Growth","URL":"https://journals.sagepub.com/doi/full/10.1177/21582440241240624","author":[{"family":"Radivojević","given":"Vladimir"},{"family":"Rađenović","given":"Tamara"},{"family":"Dimovski","given":"Jelena"}],"accessed":{"date-parts":[["2024",12,12]]},"issued":{"date-parts":[["2024",11,14]]}}}],"schema":"https://github.com/citation-style-language/schema/raw/master/csl-citation.json"} </w:instrText>
      </w:r>
      <w:r w:rsidR="00AD45B8" w:rsidRPr="009A3785">
        <w:rPr>
          <w:noProof/>
          <w:color w:val="000000"/>
          <w:sz w:val="26"/>
          <w:szCs w:val="26"/>
          <w:lang w:val="en-US"/>
        </w:rPr>
        <w:fldChar w:fldCharType="separate"/>
      </w:r>
      <w:r w:rsidR="00AD45B8" w:rsidRPr="009A3785">
        <w:rPr>
          <w:noProof/>
          <w:color w:val="000000"/>
          <w:sz w:val="26"/>
          <w:szCs w:val="26"/>
          <w:lang w:val="en-US"/>
        </w:rPr>
        <w:t>(Radivojević et al., 2024)</w:t>
      </w:r>
      <w:r w:rsidR="00AD45B8" w:rsidRPr="009A3785">
        <w:rPr>
          <w:noProof/>
          <w:color w:val="000000"/>
          <w:sz w:val="26"/>
          <w:szCs w:val="26"/>
          <w:lang w:val="en-US"/>
        </w:rPr>
        <w:fldChar w:fldCharType="end"/>
      </w:r>
      <w:r w:rsidRPr="009A3785">
        <w:rPr>
          <w:noProof/>
          <w:color w:val="000000"/>
          <w:sz w:val="26"/>
          <w:szCs w:val="26"/>
          <w:lang w:val="en-US"/>
        </w:rPr>
        <w:t xml:space="preserve">. </w:t>
      </w:r>
      <w:r w:rsidR="00636098">
        <w:rPr>
          <w:noProof/>
          <w:color w:val="000000"/>
          <w:sz w:val="26"/>
          <w:szCs w:val="26"/>
          <w:lang w:val="en-US"/>
        </w:rPr>
        <w:t>Nevertheless</w:t>
      </w:r>
      <w:r w:rsidRPr="009A3785">
        <w:rPr>
          <w:noProof/>
          <w:color w:val="000000"/>
          <w:sz w:val="26"/>
          <w:szCs w:val="26"/>
          <w:lang w:val="en-US"/>
        </w:rPr>
        <w:t>, these studies do not pay much attention to the microeconomic level, more specifically, the use of Circular supply chain enablers and environmental sustainability initiatives at the industry level. A</w:t>
      </w:r>
      <w:r w:rsidR="00636098">
        <w:rPr>
          <w:noProof/>
          <w:color w:val="000000"/>
          <w:sz w:val="26"/>
          <w:szCs w:val="26"/>
          <w:lang w:val="en-US"/>
        </w:rPr>
        <w:t>dditionally</w:t>
      </w:r>
      <w:r w:rsidRPr="009A3785">
        <w:rPr>
          <w:noProof/>
          <w:color w:val="000000"/>
          <w:sz w:val="26"/>
          <w:szCs w:val="26"/>
          <w:lang w:val="en-US"/>
        </w:rPr>
        <w:t xml:space="preserve">, there is an evident lack of comprehension of how these factors translate on the local level of a country, </w:t>
      </w:r>
      <w:r w:rsidR="00636098">
        <w:rPr>
          <w:noProof/>
          <w:color w:val="000000"/>
          <w:sz w:val="26"/>
          <w:szCs w:val="26"/>
          <w:lang w:val="en-US"/>
        </w:rPr>
        <w:t>as seen</w:t>
      </w:r>
      <w:r w:rsidRPr="009A3785">
        <w:rPr>
          <w:noProof/>
          <w:color w:val="000000"/>
          <w:sz w:val="26"/>
          <w:szCs w:val="26"/>
          <w:lang w:val="en-US"/>
        </w:rPr>
        <w:t xml:space="preserve"> in the case of Morocco and its textile industry, </w:t>
      </w:r>
      <w:r w:rsidR="00636098">
        <w:rPr>
          <w:noProof/>
          <w:color w:val="000000"/>
          <w:sz w:val="26"/>
          <w:szCs w:val="26"/>
          <w:lang w:val="en-US"/>
        </w:rPr>
        <w:t>where</w:t>
      </w:r>
      <w:r w:rsidRPr="009A3785">
        <w:rPr>
          <w:noProof/>
          <w:color w:val="000000"/>
          <w:sz w:val="26"/>
          <w:szCs w:val="26"/>
          <w:lang w:val="en-US"/>
        </w:rPr>
        <w:t xml:space="preserve"> the implementation of circular supply chains </w:t>
      </w:r>
      <w:r w:rsidR="00636098">
        <w:rPr>
          <w:noProof/>
          <w:color w:val="000000"/>
          <w:sz w:val="26"/>
          <w:szCs w:val="26"/>
          <w:lang w:val="en-US"/>
        </w:rPr>
        <w:t>presents both</w:t>
      </w:r>
      <w:r w:rsidRPr="009A3785">
        <w:rPr>
          <w:noProof/>
          <w:color w:val="000000"/>
          <w:sz w:val="26"/>
          <w:szCs w:val="26"/>
          <w:lang w:val="en-US"/>
        </w:rPr>
        <w:t xml:space="preserve"> individual challenges a</w:t>
      </w:r>
      <w:r w:rsidR="00636098">
        <w:rPr>
          <w:noProof/>
          <w:color w:val="000000"/>
          <w:sz w:val="26"/>
          <w:szCs w:val="26"/>
          <w:lang w:val="en-US"/>
        </w:rPr>
        <w:t>nd</w:t>
      </w:r>
      <w:r w:rsidRPr="009A3785">
        <w:rPr>
          <w:noProof/>
          <w:color w:val="000000"/>
          <w:sz w:val="26"/>
          <w:szCs w:val="26"/>
          <w:lang w:val="en-US"/>
        </w:rPr>
        <w:t xml:space="preserve"> opportunities.</w:t>
      </w:r>
    </w:p>
    <w:p w14:paraId="5CBFD4CE" w14:textId="5088BC4F" w:rsidR="00ED53C8" w:rsidRDefault="002870F6" w:rsidP="00824E69">
      <w:pPr>
        <w:spacing w:line="300" w:lineRule="auto"/>
        <w:ind w:firstLineChars="200" w:firstLine="520"/>
        <w:jc w:val="both"/>
        <w:rPr>
          <w:noProof/>
          <w:color w:val="000000"/>
          <w:sz w:val="26"/>
          <w:szCs w:val="26"/>
          <w:lang w:val="en-US"/>
        </w:rPr>
      </w:pPr>
      <w:r w:rsidRPr="009A3785">
        <w:rPr>
          <w:noProof/>
          <w:color w:val="000000"/>
          <w:sz w:val="26"/>
          <w:szCs w:val="26"/>
          <w:lang w:val="en-US"/>
        </w:rPr>
        <w:t xml:space="preserve">To fill this gap, the present study </w:t>
      </w:r>
      <w:r w:rsidR="00636098">
        <w:rPr>
          <w:noProof/>
          <w:color w:val="000000"/>
          <w:sz w:val="26"/>
          <w:szCs w:val="26"/>
          <w:lang w:val="en-US"/>
        </w:rPr>
        <w:t>employ</w:t>
      </w:r>
      <w:r w:rsidRPr="009A3785">
        <w:rPr>
          <w:noProof/>
          <w:color w:val="000000"/>
          <w:sz w:val="26"/>
          <w:szCs w:val="26"/>
          <w:lang w:val="en-US"/>
        </w:rPr>
        <w:t xml:space="preserve">s structural equation modeling (SEM) to investigate </w:t>
      </w:r>
      <w:r w:rsidR="00636098">
        <w:rPr>
          <w:noProof/>
          <w:color w:val="000000"/>
          <w:sz w:val="26"/>
          <w:szCs w:val="26"/>
          <w:lang w:val="en-US"/>
        </w:rPr>
        <w:t>the relationship between</w:t>
      </w:r>
      <w:r w:rsidRPr="009A3785">
        <w:rPr>
          <w:noProof/>
          <w:color w:val="000000"/>
          <w:sz w:val="26"/>
          <w:szCs w:val="26"/>
          <w:lang w:val="en-US"/>
        </w:rPr>
        <w:t xml:space="preserve"> circular supply chain enablers and environmental sustainability initiatives, as latent constructs measured </w:t>
      </w:r>
      <w:r w:rsidR="00636098">
        <w:rPr>
          <w:noProof/>
          <w:color w:val="000000"/>
          <w:sz w:val="26"/>
          <w:szCs w:val="26"/>
          <w:lang w:val="en-US"/>
        </w:rPr>
        <w:t>through various</w:t>
      </w:r>
      <w:r w:rsidRPr="009A3785">
        <w:rPr>
          <w:noProof/>
          <w:color w:val="000000"/>
          <w:sz w:val="26"/>
          <w:szCs w:val="26"/>
          <w:lang w:val="en-US"/>
        </w:rPr>
        <w:t xml:space="preserve"> indicators, </w:t>
      </w:r>
      <w:r w:rsidR="00636098">
        <w:rPr>
          <w:noProof/>
          <w:color w:val="000000"/>
          <w:sz w:val="26"/>
          <w:szCs w:val="26"/>
          <w:lang w:val="en-US"/>
        </w:rPr>
        <w:t>and</w:t>
      </w:r>
      <w:r w:rsidRPr="009A3785">
        <w:rPr>
          <w:noProof/>
          <w:color w:val="000000"/>
          <w:sz w:val="26"/>
          <w:szCs w:val="26"/>
          <w:lang w:val="en-US"/>
        </w:rPr>
        <w:t xml:space="preserve"> economic growth in the </w:t>
      </w:r>
      <w:r w:rsidR="00636098">
        <w:rPr>
          <w:noProof/>
          <w:color w:val="000000"/>
          <w:sz w:val="26"/>
          <w:szCs w:val="26"/>
          <w:lang w:val="en-US"/>
        </w:rPr>
        <w:t xml:space="preserve">Moroccan </w:t>
      </w:r>
      <w:r w:rsidRPr="009A3785">
        <w:rPr>
          <w:noProof/>
          <w:color w:val="000000"/>
          <w:sz w:val="26"/>
          <w:szCs w:val="26"/>
          <w:lang w:val="en-US"/>
        </w:rPr>
        <w:t xml:space="preserve">textile industry. Structural equation modeling is </w:t>
      </w:r>
      <w:r w:rsidR="00636098">
        <w:rPr>
          <w:noProof/>
          <w:color w:val="000000"/>
          <w:sz w:val="26"/>
          <w:szCs w:val="26"/>
          <w:lang w:val="en-US"/>
        </w:rPr>
        <w:t>suitabl</w:t>
      </w:r>
      <w:r w:rsidRPr="009A3785">
        <w:rPr>
          <w:noProof/>
          <w:color w:val="000000"/>
          <w:sz w:val="26"/>
          <w:szCs w:val="26"/>
          <w:lang w:val="en-US"/>
        </w:rPr>
        <w:t xml:space="preserve">e for the present analysis due to its ability to model complex relationships by evaluating the relationships </w:t>
      </w:r>
      <w:r w:rsidR="00636098">
        <w:rPr>
          <w:noProof/>
          <w:color w:val="000000"/>
          <w:sz w:val="26"/>
          <w:szCs w:val="26"/>
          <w:lang w:val="en-US"/>
        </w:rPr>
        <w:t>between</w:t>
      </w:r>
      <w:r w:rsidRPr="009A3785">
        <w:rPr>
          <w:noProof/>
          <w:color w:val="000000"/>
          <w:sz w:val="26"/>
          <w:szCs w:val="26"/>
          <w:lang w:val="en-US"/>
        </w:rPr>
        <w:t xml:space="preserve"> indicators </w:t>
      </w:r>
      <w:r w:rsidR="00636098">
        <w:rPr>
          <w:noProof/>
          <w:color w:val="000000"/>
          <w:sz w:val="26"/>
          <w:szCs w:val="26"/>
          <w:lang w:val="en-US"/>
        </w:rPr>
        <w:t>and</w:t>
      </w:r>
      <w:r w:rsidRPr="009A3785">
        <w:rPr>
          <w:noProof/>
          <w:color w:val="000000"/>
          <w:sz w:val="26"/>
          <w:szCs w:val="26"/>
          <w:lang w:val="en-US"/>
        </w:rPr>
        <w:t xml:space="preserve"> latent constructs, </w:t>
      </w:r>
      <w:r w:rsidR="00636098">
        <w:rPr>
          <w:noProof/>
          <w:color w:val="000000"/>
          <w:sz w:val="26"/>
          <w:szCs w:val="26"/>
          <w:lang w:val="en-US"/>
        </w:rPr>
        <w:t>while also</w:t>
      </w:r>
      <w:r w:rsidRPr="009A3785">
        <w:rPr>
          <w:noProof/>
          <w:color w:val="000000"/>
          <w:sz w:val="26"/>
          <w:szCs w:val="26"/>
          <w:lang w:val="en-US"/>
        </w:rPr>
        <w:t xml:space="preserve"> providing </w:t>
      </w:r>
      <w:r w:rsidR="00636098">
        <w:rPr>
          <w:noProof/>
          <w:color w:val="000000"/>
          <w:sz w:val="26"/>
          <w:szCs w:val="26"/>
          <w:lang w:val="en-US"/>
        </w:rPr>
        <w:t>estimates</w:t>
      </w:r>
      <w:r w:rsidRPr="009A3785">
        <w:rPr>
          <w:noProof/>
          <w:color w:val="000000"/>
          <w:sz w:val="26"/>
          <w:szCs w:val="26"/>
          <w:lang w:val="en-US"/>
        </w:rPr>
        <w:t xml:space="preserve"> of directional effects among constructs. </w:t>
      </w:r>
      <w:r w:rsidR="00636098">
        <w:rPr>
          <w:noProof/>
          <w:color w:val="000000"/>
          <w:sz w:val="26"/>
          <w:szCs w:val="26"/>
          <w:lang w:val="en-US"/>
        </w:rPr>
        <w:t>To establish</w:t>
      </w:r>
      <w:r w:rsidRPr="009A3785">
        <w:rPr>
          <w:noProof/>
          <w:color w:val="000000"/>
          <w:sz w:val="26"/>
          <w:szCs w:val="26"/>
          <w:lang w:val="en-US"/>
        </w:rPr>
        <w:t xml:space="preserve"> a </w:t>
      </w:r>
      <w:r w:rsidR="00636098">
        <w:rPr>
          <w:noProof/>
          <w:color w:val="000000"/>
          <w:sz w:val="26"/>
          <w:szCs w:val="26"/>
          <w:lang w:val="en-US"/>
        </w:rPr>
        <w:t>comprehensive</w:t>
      </w:r>
      <w:r w:rsidRPr="009A3785">
        <w:rPr>
          <w:noProof/>
          <w:color w:val="000000"/>
          <w:sz w:val="26"/>
          <w:szCs w:val="26"/>
          <w:lang w:val="en-US"/>
        </w:rPr>
        <w:t xml:space="preserve"> conceptual framework, Table 1 presents all three key latent variables and their </w:t>
      </w:r>
      <w:r w:rsidR="00636098">
        <w:rPr>
          <w:noProof/>
          <w:color w:val="000000"/>
          <w:sz w:val="26"/>
          <w:szCs w:val="26"/>
          <w:lang w:val="en-US"/>
        </w:rPr>
        <w:t xml:space="preserve">corresponding </w:t>
      </w:r>
      <w:r w:rsidRPr="009A3785">
        <w:rPr>
          <w:noProof/>
          <w:color w:val="000000"/>
          <w:sz w:val="26"/>
          <w:szCs w:val="26"/>
          <w:lang w:val="en-US"/>
        </w:rPr>
        <w:t xml:space="preserve">observable indicators. The paper contributes to a better understanding of the factors influencing the economic growth of the textile industry in Morocco through this rigorous methodological approach, </w:t>
      </w:r>
      <w:r w:rsidR="00636098">
        <w:rPr>
          <w:noProof/>
          <w:color w:val="000000"/>
          <w:sz w:val="26"/>
          <w:szCs w:val="26"/>
          <w:lang w:val="en-US"/>
        </w:rPr>
        <w:t>providing valuable insights at</w:t>
      </w:r>
      <w:r w:rsidRPr="009A3785">
        <w:rPr>
          <w:noProof/>
          <w:color w:val="000000"/>
          <w:sz w:val="26"/>
          <w:szCs w:val="26"/>
          <w:lang w:val="en-US"/>
        </w:rPr>
        <w:t xml:space="preserve"> both theoretical and policy levels.</w:t>
      </w:r>
    </w:p>
    <w:p w14:paraId="28AD0A2D" w14:textId="77777777" w:rsidR="00E80A64" w:rsidRDefault="00E80A64" w:rsidP="00824E69">
      <w:pPr>
        <w:spacing w:line="300" w:lineRule="auto"/>
        <w:ind w:firstLineChars="200" w:firstLine="520"/>
        <w:jc w:val="both"/>
        <w:rPr>
          <w:noProof/>
          <w:color w:val="000000"/>
          <w:sz w:val="26"/>
          <w:szCs w:val="26"/>
          <w:lang w:val="en-US"/>
        </w:rPr>
      </w:pPr>
    </w:p>
    <w:p w14:paraId="7F1DFF53" w14:textId="77777777" w:rsidR="00E80A64" w:rsidRDefault="00E80A64">
      <w:pPr>
        <w:rPr>
          <w:rFonts w:eastAsiaTheme="minorEastAsia"/>
          <w:b/>
          <w:bCs/>
          <w:sz w:val="26"/>
          <w:szCs w:val="26"/>
          <w:lang w:val="en-US"/>
        </w:rPr>
      </w:pPr>
      <w:r>
        <w:rPr>
          <w:rFonts w:eastAsiaTheme="minorEastAsia"/>
          <w:b/>
          <w:bCs/>
          <w:sz w:val="26"/>
          <w:szCs w:val="26"/>
          <w:lang w:val="en-US"/>
        </w:rPr>
        <w:br w:type="page"/>
      </w:r>
    </w:p>
    <w:p w14:paraId="24FF8DE7" w14:textId="116C3445" w:rsidR="00B43EA0" w:rsidRPr="005343E2" w:rsidRDefault="00B43EA0" w:rsidP="00DB6498">
      <w:pPr>
        <w:spacing w:line="300" w:lineRule="auto"/>
        <w:rPr>
          <w:rFonts w:eastAsiaTheme="minorEastAsia"/>
          <w:i/>
          <w:iCs/>
          <w:sz w:val="26"/>
          <w:szCs w:val="26"/>
          <w:lang w:val="en-US"/>
        </w:rPr>
      </w:pPr>
      <w:r w:rsidRPr="00E966AC">
        <w:rPr>
          <w:rFonts w:eastAsiaTheme="minorEastAsia"/>
          <w:b/>
          <w:bCs/>
          <w:sz w:val="26"/>
          <w:szCs w:val="26"/>
          <w:lang w:val="en-US"/>
        </w:rPr>
        <w:t xml:space="preserve">Table </w:t>
      </w:r>
      <w:proofErr w:type="gramStart"/>
      <w:r w:rsidRPr="00E966AC">
        <w:rPr>
          <w:rFonts w:eastAsiaTheme="minorEastAsia"/>
          <w:b/>
          <w:bCs/>
          <w:sz w:val="26"/>
          <w:szCs w:val="26"/>
          <w:lang w:val="en-US"/>
        </w:rPr>
        <w:t>1</w:t>
      </w:r>
      <w:r w:rsidR="00337D42">
        <w:rPr>
          <w:rFonts w:eastAsiaTheme="minorEastAsia"/>
          <w:b/>
          <w:bCs/>
          <w:sz w:val="26"/>
          <w:szCs w:val="26"/>
          <w:lang w:val="en-US"/>
        </w:rPr>
        <w:t xml:space="preserve"> </w:t>
      </w:r>
      <w:r w:rsidRPr="009A3785">
        <w:rPr>
          <w:rFonts w:eastAsia="新細明體"/>
          <w:b/>
          <w:noProof/>
          <w:sz w:val="26"/>
          <w:szCs w:val="26"/>
          <w:lang w:val="en-US" w:eastAsia="zh-TW"/>
        </w:rPr>
        <w:t xml:space="preserve"> </w:t>
      </w:r>
      <w:r w:rsidRPr="005343E2">
        <w:rPr>
          <w:rFonts w:eastAsiaTheme="minorEastAsia"/>
          <w:i/>
          <w:iCs/>
          <w:sz w:val="26"/>
          <w:szCs w:val="26"/>
          <w:lang w:val="en-US"/>
        </w:rPr>
        <w:t>Latent</w:t>
      </w:r>
      <w:proofErr w:type="gramEnd"/>
      <w:r w:rsidRPr="005343E2">
        <w:rPr>
          <w:rFonts w:eastAsiaTheme="minorEastAsia"/>
          <w:i/>
          <w:iCs/>
          <w:sz w:val="26"/>
          <w:szCs w:val="26"/>
          <w:lang w:val="en-US"/>
        </w:rPr>
        <w:t xml:space="preserve"> and </w:t>
      </w:r>
      <w:r w:rsidR="00337D42" w:rsidRPr="005343E2">
        <w:rPr>
          <w:rFonts w:eastAsiaTheme="minorEastAsia"/>
          <w:i/>
          <w:iCs/>
          <w:sz w:val="26"/>
          <w:szCs w:val="26"/>
          <w:lang w:val="en-US"/>
        </w:rPr>
        <w:t>Observable Variables Extracted from the Literature Review</w:t>
      </w:r>
      <w:r w:rsidR="00337D42">
        <w:rPr>
          <w:rFonts w:eastAsiaTheme="minorEastAsia"/>
          <w:i/>
          <w:iCs/>
          <w:sz w:val="26"/>
          <w:szCs w:val="26"/>
          <w:lang w:val="en-US"/>
        </w:rPr>
        <w:t>.</w:t>
      </w:r>
    </w:p>
    <w:tbl>
      <w:tblPr>
        <w:tblStyle w:val="afff6"/>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13"/>
        <w:gridCol w:w="2118"/>
        <w:gridCol w:w="1011"/>
        <w:gridCol w:w="1932"/>
        <w:gridCol w:w="2352"/>
      </w:tblGrid>
      <w:tr w:rsidR="004A655A" w:rsidRPr="009A3785" w14:paraId="3321C553" w14:textId="77777777" w:rsidTr="00337D42">
        <w:tc>
          <w:tcPr>
            <w:tcW w:w="893" w:type="pct"/>
            <w:tcBorders>
              <w:top w:val="single" w:sz="4" w:space="0" w:color="auto"/>
              <w:bottom w:val="single" w:sz="4" w:space="0" w:color="auto"/>
            </w:tcBorders>
            <w:vAlign w:val="center"/>
          </w:tcPr>
          <w:p w14:paraId="7AF39568" w14:textId="77777777" w:rsidR="004A655A" w:rsidRPr="00337D42" w:rsidRDefault="004A655A" w:rsidP="00337D42">
            <w:pPr>
              <w:snapToGrid w:val="0"/>
              <w:spacing w:line="280" w:lineRule="exact"/>
              <w:jc w:val="center"/>
              <w:rPr>
                <w:sz w:val="20"/>
                <w:szCs w:val="20"/>
                <w:lang w:val="en-US"/>
              </w:rPr>
            </w:pPr>
            <w:r w:rsidRPr="00337D42">
              <w:rPr>
                <w:sz w:val="20"/>
                <w:szCs w:val="20"/>
                <w:lang w:val="en-US"/>
              </w:rPr>
              <w:t>Latent variables</w:t>
            </w:r>
          </w:p>
        </w:tc>
        <w:tc>
          <w:tcPr>
            <w:tcW w:w="1173" w:type="pct"/>
            <w:tcBorders>
              <w:top w:val="single" w:sz="4" w:space="0" w:color="auto"/>
              <w:bottom w:val="single" w:sz="4" w:space="0" w:color="auto"/>
            </w:tcBorders>
            <w:vAlign w:val="center"/>
          </w:tcPr>
          <w:p w14:paraId="46C855D6" w14:textId="1684053A" w:rsidR="004A655A" w:rsidRPr="00337D42" w:rsidRDefault="004A655A" w:rsidP="00337D42">
            <w:pPr>
              <w:snapToGrid w:val="0"/>
              <w:spacing w:line="280" w:lineRule="exact"/>
              <w:jc w:val="center"/>
              <w:rPr>
                <w:sz w:val="20"/>
                <w:szCs w:val="20"/>
                <w:lang w:val="en-US"/>
              </w:rPr>
            </w:pPr>
            <w:r w:rsidRPr="00337D42">
              <w:rPr>
                <w:sz w:val="20"/>
                <w:szCs w:val="20"/>
                <w:lang w:val="en-US"/>
              </w:rPr>
              <w:t>Conceptual meaning in the study</w:t>
            </w:r>
          </w:p>
        </w:tc>
        <w:tc>
          <w:tcPr>
            <w:tcW w:w="1630" w:type="pct"/>
            <w:gridSpan w:val="2"/>
            <w:tcBorders>
              <w:top w:val="single" w:sz="4" w:space="0" w:color="auto"/>
              <w:bottom w:val="single" w:sz="4" w:space="0" w:color="auto"/>
            </w:tcBorders>
            <w:vAlign w:val="center"/>
          </w:tcPr>
          <w:p w14:paraId="6DB7A35A" w14:textId="789D54BA"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Observable variables</w:t>
            </w:r>
          </w:p>
        </w:tc>
        <w:tc>
          <w:tcPr>
            <w:tcW w:w="1303" w:type="pct"/>
            <w:tcBorders>
              <w:top w:val="single" w:sz="4" w:space="0" w:color="auto"/>
              <w:bottom w:val="single" w:sz="4" w:space="0" w:color="auto"/>
            </w:tcBorders>
            <w:vAlign w:val="center"/>
          </w:tcPr>
          <w:p w14:paraId="3902952E" w14:textId="77777777"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Sources</w:t>
            </w:r>
          </w:p>
        </w:tc>
      </w:tr>
      <w:tr w:rsidR="004A655A" w:rsidRPr="00D5378F" w14:paraId="018553CC" w14:textId="77777777" w:rsidTr="00337D42">
        <w:trPr>
          <w:trHeight w:val="1153"/>
        </w:trPr>
        <w:tc>
          <w:tcPr>
            <w:tcW w:w="893" w:type="pct"/>
            <w:vMerge w:val="restart"/>
            <w:tcBorders>
              <w:top w:val="single" w:sz="4" w:space="0" w:color="auto"/>
            </w:tcBorders>
            <w:vAlign w:val="center"/>
          </w:tcPr>
          <w:p w14:paraId="26FA26DD" w14:textId="51D72DAA" w:rsidR="004A655A" w:rsidRPr="00337D42" w:rsidRDefault="004A655A" w:rsidP="00337D42">
            <w:pPr>
              <w:snapToGrid w:val="0"/>
              <w:spacing w:line="280" w:lineRule="exact"/>
              <w:jc w:val="both"/>
              <w:rPr>
                <w:sz w:val="20"/>
                <w:szCs w:val="20"/>
                <w:lang w:val="en-US"/>
              </w:rPr>
            </w:pPr>
            <w:bookmarkStart w:id="3" w:name="_Hlk162051675"/>
            <w:bookmarkStart w:id="4" w:name="_Hlk162050733"/>
            <w:r w:rsidRPr="00337D42">
              <w:rPr>
                <w:sz w:val="20"/>
                <w:szCs w:val="20"/>
                <w:lang w:val="en-US"/>
              </w:rPr>
              <w:t>Circular Supply Chain Enablers (CSCE)</w:t>
            </w:r>
          </w:p>
        </w:tc>
        <w:tc>
          <w:tcPr>
            <w:tcW w:w="1173" w:type="pct"/>
            <w:vMerge w:val="restart"/>
            <w:tcBorders>
              <w:top w:val="single" w:sz="4" w:space="0" w:color="auto"/>
            </w:tcBorders>
            <w:vAlign w:val="center"/>
          </w:tcPr>
          <w:p w14:paraId="284242EB" w14:textId="4EB6C6DB" w:rsidR="004A655A" w:rsidRPr="00337D42" w:rsidRDefault="004A655A" w:rsidP="00337D42">
            <w:pPr>
              <w:snapToGrid w:val="0"/>
              <w:spacing w:line="280" w:lineRule="exact"/>
              <w:rPr>
                <w:sz w:val="20"/>
                <w:szCs w:val="20"/>
                <w:lang w:val="en-US"/>
              </w:rPr>
            </w:pPr>
            <w:r w:rsidRPr="00337D42">
              <w:rPr>
                <w:sz w:val="20"/>
                <w:szCs w:val="20"/>
                <w:lang w:val="en-US"/>
              </w:rPr>
              <w:t>The organizational capabilities, processes, and resources that can help firms implement the circular economy within their supply chain</w:t>
            </w:r>
          </w:p>
        </w:tc>
        <w:tc>
          <w:tcPr>
            <w:tcW w:w="560" w:type="pct"/>
            <w:tcBorders>
              <w:top w:val="single" w:sz="4" w:space="0" w:color="auto"/>
            </w:tcBorders>
            <w:vAlign w:val="center"/>
          </w:tcPr>
          <w:p w14:paraId="65B1A621" w14:textId="531002A5"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CSCE 1</w:t>
            </w:r>
          </w:p>
        </w:tc>
        <w:tc>
          <w:tcPr>
            <w:tcW w:w="1070" w:type="pct"/>
            <w:tcBorders>
              <w:top w:val="single" w:sz="4" w:space="0" w:color="auto"/>
            </w:tcBorders>
            <w:vAlign w:val="center"/>
          </w:tcPr>
          <w:p w14:paraId="6B3F2284" w14:textId="77777777"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Circular supply chain design</w:t>
            </w:r>
          </w:p>
        </w:tc>
        <w:tc>
          <w:tcPr>
            <w:tcW w:w="1303" w:type="pct"/>
            <w:tcBorders>
              <w:top w:val="single" w:sz="4" w:space="0" w:color="auto"/>
            </w:tcBorders>
          </w:tcPr>
          <w:p w14:paraId="701C1CAF" w14:textId="35807A66" w:rsidR="004A655A" w:rsidRPr="00337D42" w:rsidRDefault="004A655A" w:rsidP="00337D42">
            <w:pPr>
              <w:snapToGrid w:val="0"/>
              <w:spacing w:line="280" w:lineRule="exact"/>
              <w:jc w:val="center"/>
              <w:rPr>
                <w:rFonts w:eastAsia="新細明體"/>
                <w:sz w:val="20"/>
                <w:szCs w:val="20"/>
                <w:lang w:val="fr-FR" w:eastAsia="zh-TW"/>
              </w:rPr>
            </w:pPr>
            <w:r w:rsidRPr="00337D42">
              <w:rPr>
                <w:rFonts w:eastAsia="新細明體"/>
                <w:sz w:val="20"/>
                <w:szCs w:val="20"/>
                <w:lang w:val="en-US" w:eastAsia="zh-TW"/>
              </w:rPr>
              <w:fldChar w:fldCharType="begin"/>
            </w:r>
            <w:r w:rsidRPr="00337D42">
              <w:rPr>
                <w:rFonts w:eastAsia="新細明體"/>
                <w:sz w:val="20"/>
                <w:szCs w:val="20"/>
                <w:lang w:val="en-US" w:eastAsia="zh-TW"/>
              </w:rPr>
              <w:instrText xml:space="preserve"> ADDIN ZOTERO_ITEM CSL_CITATION {"citationID":"u8RRVgiX","properties":{"formattedCitation":"(Bassi &amp; Dias, 2020; Brown &amp; Bajada, 2018; Pagoropoulos et al., 2017)","plainCitation":"(Bassi &amp; Dias, 2020; Brown &amp; Bajada, 2018; Pagoropoulos et al., 2017)","dontUpdate":true,"noteIndex":0},"citationItems":[{"id":3030,"uris":["http://zotero.org/users/local/Alzi7ROo/items/2CAEB6MB"],"itemData":{"id":3030,"type":"article-journal","abstract":"Abstract\n            This paper focuses on the implementation of circular economy (CE) practices in small‐ and medium‐sized firms in all 28 European Union (EU) countries. The analyses take into account the hierarchical nature of the collected data as firms are nested within EU countries, that is, the heterogeneity between different types of firms and countries according to practices and attitudes towards CE. The multilevel latent class model identifies groups of firms and groups of EU countries that are homogeneous in terms of CE, that is, how the homogeneous groups of small‐ and medium‐sized enterprises (SMEs) are distributed across the groups of EU countries. These results, together with the fact that firms with similar CE attitudes and practices have different demographic and business profiles across groups of countries, shed further light on the topic of green behavior in the EU with implications for businesses' environmental policies. Moreover, indications emerge that European policies favoring the implementation of CE practices should be targeted at least for subgroups of European countries, considering the different composition by typology of SMEs operating in their territories and that, at the same time, policies should be defined within each group of countries to account for the specific features of each of the four classes of SMEs.","container-title":"Business Strategy and the Environment","DOI":"10.1002/bse.2518","ISSN":"0964-4733, 1099-0836","issue":"6","journalAbbreviation":"Bus Strat Env","language":"en","page":"2528-2541","source":"DOI.org (Crossref)","title":"Sustainable development of small‐ and medium‐sized enterprises in the European Union: A taxonomy of circular economy practices","title-short":"Sustainable development of small‐ and medium‐sized enterprises in the European Union","volume":"29","author":[{"family":"Bassi","given":"Francesca"},{"family":"Dias","given":"José G."}],"issued":{"date-parts":[["2020",9]]}}},{"id":3032,"uris":["http://zotero.org/users/local/Alzi7ROo/items/J6Y6L7ZB"],"itemData":{"id":3032,"type":"article-journal","container-title":"Business Strategy and the Environment","issue":"5","note":"publisher: Wiley Online Library","page":"643–655","source":"Google Scholar","title":"An economic model of circular supply network dynamics: Toward an understanding of performance measurement in the context of multiple stakeholders","title-short":"An economic model of circular supply network dynamics","volume":"27","author":[{"family":"Brown","given":"Paul James"},{"family":"Bajada","given":"Christopher"}],"issued":{"date-parts":[["2018"]]}}},{"id":38,"uris":["http://zotero.org/users/local/Alzi7ROo/items/EWV3JLLJ"],"itemData":{"id":38,"type":"article-journal","container-title":"Procedia CIRP","note":"publisher: Elsevier","page":"19–24","source":"Google Scholar","title":"The emergent role of digital technologies in the Circular Economy: A review","title-short":"The emergent role of digital technologies in the Circular Economy","volume":"64","author":[{"family":"Pagoropoulos","given":"Aris"},{"family":"Pigosso","given":"Daniela CA"},{"family":"McAloone","given":"Tim C."}],"issued":{"date-parts":[["2017"]]}}}],"schema":"https://github.com/citation-style-language/schema/raw/master/csl-citation.json"} </w:instrText>
            </w:r>
            <w:r w:rsidR="00E026E5">
              <w:rPr>
                <w:rFonts w:eastAsia="新細明體"/>
                <w:sz w:val="20"/>
                <w:szCs w:val="20"/>
                <w:lang w:val="en-US" w:eastAsia="zh-TW"/>
              </w:rPr>
              <w:fldChar w:fldCharType="separate"/>
            </w:r>
            <w:r w:rsidRPr="00337D42">
              <w:rPr>
                <w:rFonts w:eastAsia="新細明體"/>
                <w:sz w:val="20"/>
                <w:szCs w:val="20"/>
                <w:lang w:val="en-US" w:eastAsia="zh-TW"/>
              </w:rPr>
              <w:fldChar w:fldCharType="end"/>
            </w:r>
            <w:r w:rsidRPr="00337D42">
              <w:rPr>
                <w:rFonts w:eastAsia="新細明體"/>
                <w:sz w:val="20"/>
                <w:szCs w:val="20"/>
                <w:lang w:val="en-US" w:eastAsia="zh-TW"/>
              </w:rPr>
              <w:t xml:space="preserve"> </w:t>
            </w:r>
            <w:r w:rsidRPr="00337D42">
              <w:rPr>
                <w:rFonts w:eastAsia="新細明體"/>
                <w:sz w:val="20"/>
                <w:szCs w:val="20"/>
                <w:lang w:val="en-US" w:eastAsia="zh-TW"/>
              </w:rPr>
              <w:fldChar w:fldCharType="begin"/>
            </w:r>
            <w:r w:rsidR="00D926B3" w:rsidRPr="00337D42">
              <w:rPr>
                <w:rFonts w:eastAsia="新細明體"/>
                <w:sz w:val="20"/>
                <w:szCs w:val="20"/>
                <w:lang w:val="en-US" w:eastAsia="zh-TW"/>
              </w:rPr>
              <w:instrText xml:space="preserve"> ADDIN ZOTERO_ITEM CSL_CITATION {"citationID":"Eb6xXkxP","properties":{"formattedCitation":"(Bassi &amp; Dias, 2020; Brown &amp; Bajada, 2018; Pagoropoulos et al., 2017; Ripanti &amp; Tjahjono, 2019; Ying &amp; Li-jun, 2012)","plainCitation":"(Bassi &amp; Dias, 2020; Brown &amp; Bajada, 2018; Pagoropoulos et al., 2017; Ripanti &amp; Tjahjono, 2019; Ying &amp; Li-jun, 2012)","dontUpdate":true,"noteIndex":0},"citationItems":[{"id":3030,"uris":["http://zotero.org/users/local/Alzi7ROo/items/2CAEB6MB"],"itemData":{"id":3030,"type":"article-journal","abstract":"Abstract\n            This paper focuses on the implementation of circular economy (CE) practices in small‐ and medium‐sized firms in all 28 European Union (EU) countries. The analyses take into account the hierarchical nature of the collected data as firms are nested within EU countries, that is, the heterogeneity between different types of firms and countries according to practices and attitudes towards CE. The multilevel latent class model identifies groups of firms and groups of EU countries that are homogeneous in terms of CE, that is, how the homogeneous groups of small‐ and medium‐sized enterprises (SMEs) are distributed across the groups of EU countries. These results, together with the fact that firms with similar CE attitudes and practices have different demographic and business profiles across groups of countries, shed further light on the topic of green behavior in the EU with implications for businesses' environmental policies. Moreover, indications emerge that European policies favoring the implementation of CE practices should be targeted at least for subgroups of European countries, considering the different composition by typology of SMEs operating in their territories and that, at the same time, policies should be defined within each group of countries to account for the specific features of each of the four classes of SMEs.","container-title":"Business Strategy and the Environment","DOI":"10.1002/bse.2518","ISSN":"0964-4733, 1099-0836","issue":"6","journalAbbreviation":"Bus Strat Env","language":"en","page":"2528-2541","source":"DOI.org (Crossref)","title":"Sustainable development of small‐ and medium‐sized enterprises in the European Union: A taxonomy of circular economy practices","title-short":"Sustainable development of small‐ and medium‐sized enterprises in the European Union","volume":"29","author":[{"family":"Bassi","given":"Francesca"},{"family":"Dias","given":"José G."}],"issued":{"date-parts":[["2020",9]]}}},{"id":3032,"uris":["http://zotero.org/users/local/Alzi7ROo/items/J6Y6L7ZB"],"itemData":{"id":3032,"type":"article-journal","container-title":"Business Strategy and the Environment","issue":"5","note":"publisher: Wiley Online Library","page":"643–655","source":"Google Scholar","title":"An economic model of circular supply network dynamics: Toward an understanding of performance measurement in the context of multiple stakeholders","title-short":"An economic model of circular supply network dynamics","volume":"27","author":[{"family":"Brown","given":"Paul James"},{"family":"Bajada","given":"Christopher"}],"issued":{"date-parts":[["2018"]]}}},{"id":38,"uris":["http://zotero.org/users/local/Alzi7ROo/items/EWV3JLLJ"],"itemData":{"id":38,"type</w:instrText>
            </w:r>
            <w:r w:rsidR="00D926B3" w:rsidRPr="00337D42">
              <w:rPr>
                <w:rFonts w:eastAsia="新細明體"/>
                <w:sz w:val="20"/>
                <w:szCs w:val="20"/>
                <w:lang w:val="fr-FR" w:eastAsia="zh-TW"/>
              </w:rPr>
              <w:instrText xml:space="preserve">":"article-journal","container-title":"Procedia CIRP","note":"publisher: Elsevier","page":"19–24","source":"Google Scholar","title":"The emergent role of digital technologies in the Circular Economy: A review","title-short":"The emergent role of digital technologies in the Circular Economy","volume":"64","author":[{"family":"Pagoropoulos","given":"Aris"},{"family":"Pigosso","given":"Daniela CA"},{"family":"McAloone","given":"Tim C."}],"issued":{"date-parts":[["2017"]]}}},{"id":44,"uris":["http://zotero.org/users/local/Alzi7ROo/items/EJRPQ7P7"],"itemData":{"id":44,"type":"article-journal","container-title":"The International Journal of Logistics Management","note":"publisher: Emerald Publishing Limited","source":"Google Scholar","title":"Unveiling the potentials of circular economy values in logistics and supply chain management","author":[{"family":"Ripanti","given":"Eva Faja"},{"family":"Tjahjono","given":"Benny"}],"issued":{"date-parts":[["2019"]]}}},{"id":1320,"uris":["http://zotero.org/users/local/Alzi7ROo/items/67UZL7BL"],"itemData":{"id":1320,"type":"article-journal","container-title":"Physics Procedia","note":"publisher: Elsevier","page":"1682–1688","source":"Google Scholar","title":"Study on green supply chain management based on circular economy","volume":"25","author":[{"family":"Ying","given":"Jiang"},{"family":"Li-jun","given":"Zhou"}],"issued":{"date-parts":[["2012"]]}}}],"schema":"https://github.com/citation-style-language/schema/raw/master/csl-citation.json"} </w:instrText>
            </w:r>
            <w:r w:rsidRPr="00337D42">
              <w:rPr>
                <w:rFonts w:eastAsia="新細明體"/>
                <w:sz w:val="20"/>
                <w:szCs w:val="20"/>
                <w:lang w:val="en-US" w:eastAsia="zh-TW"/>
              </w:rPr>
              <w:fldChar w:fldCharType="separate"/>
            </w:r>
            <w:r w:rsidRPr="00337D42">
              <w:rPr>
                <w:rFonts w:eastAsia="新細明體"/>
                <w:sz w:val="20"/>
                <w:szCs w:val="20"/>
                <w:lang w:val="fr-FR" w:eastAsia="zh-TW"/>
              </w:rPr>
              <w:t>(Bassi &amp; Dias, 2020; Brown &amp; Bajada, 2018; Pagoropoulos et al., 2017; Ripanti &amp; Tjahjono, 2019;)</w:t>
            </w:r>
            <w:r w:rsidRPr="00337D42">
              <w:rPr>
                <w:rFonts w:eastAsia="新細明體"/>
                <w:sz w:val="20"/>
                <w:szCs w:val="20"/>
                <w:lang w:val="en-US" w:eastAsia="zh-TW"/>
              </w:rPr>
              <w:fldChar w:fldCharType="end"/>
            </w:r>
          </w:p>
        </w:tc>
      </w:tr>
      <w:tr w:rsidR="004A655A" w:rsidRPr="00D5378F" w14:paraId="780F6FA1" w14:textId="77777777" w:rsidTr="00337D42">
        <w:trPr>
          <w:trHeight w:val="414"/>
        </w:trPr>
        <w:tc>
          <w:tcPr>
            <w:tcW w:w="893" w:type="pct"/>
            <w:vMerge/>
            <w:vAlign w:val="center"/>
          </w:tcPr>
          <w:p w14:paraId="72EC7413" w14:textId="77777777" w:rsidR="004A655A" w:rsidRPr="00337D42" w:rsidRDefault="004A655A" w:rsidP="00337D42">
            <w:pPr>
              <w:snapToGrid w:val="0"/>
              <w:spacing w:line="280" w:lineRule="exact"/>
              <w:jc w:val="both"/>
              <w:rPr>
                <w:sz w:val="20"/>
                <w:szCs w:val="20"/>
                <w:lang w:val="fr-FR"/>
              </w:rPr>
            </w:pPr>
          </w:p>
        </w:tc>
        <w:tc>
          <w:tcPr>
            <w:tcW w:w="1173" w:type="pct"/>
            <w:vMerge/>
            <w:vAlign w:val="center"/>
          </w:tcPr>
          <w:p w14:paraId="47A74A79" w14:textId="77777777" w:rsidR="004A655A" w:rsidRPr="00337D42" w:rsidRDefault="004A655A" w:rsidP="00337D42">
            <w:pPr>
              <w:snapToGrid w:val="0"/>
              <w:spacing w:line="280" w:lineRule="exact"/>
              <w:rPr>
                <w:sz w:val="20"/>
                <w:szCs w:val="20"/>
                <w:lang w:val="fr-FR"/>
              </w:rPr>
            </w:pPr>
          </w:p>
        </w:tc>
        <w:tc>
          <w:tcPr>
            <w:tcW w:w="560" w:type="pct"/>
            <w:vAlign w:val="center"/>
          </w:tcPr>
          <w:p w14:paraId="230BF541" w14:textId="389F7CEB" w:rsidR="004A655A" w:rsidRPr="00337D42" w:rsidRDefault="004A655A" w:rsidP="00337D42">
            <w:pPr>
              <w:snapToGrid w:val="0"/>
              <w:spacing w:line="280" w:lineRule="exact"/>
              <w:jc w:val="center"/>
              <w:rPr>
                <w:rFonts w:eastAsia="新細明體"/>
                <w:sz w:val="20"/>
                <w:szCs w:val="20"/>
                <w:lang w:val="fr-FR" w:eastAsia="zh-TW"/>
              </w:rPr>
            </w:pPr>
            <w:r w:rsidRPr="00337D42">
              <w:rPr>
                <w:rFonts w:eastAsia="新細明體"/>
                <w:sz w:val="20"/>
                <w:szCs w:val="20"/>
                <w:lang w:val="fr-FR" w:eastAsia="zh-TW"/>
              </w:rPr>
              <w:t>CSCE 2</w:t>
            </w:r>
          </w:p>
        </w:tc>
        <w:tc>
          <w:tcPr>
            <w:tcW w:w="1070" w:type="pct"/>
            <w:vAlign w:val="center"/>
          </w:tcPr>
          <w:p w14:paraId="1CCC8AF8" w14:textId="77777777" w:rsidR="004A655A" w:rsidRPr="00337D42" w:rsidRDefault="004A655A" w:rsidP="00337D42">
            <w:pPr>
              <w:snapToGrid w:val="0"/>
              <w:spacing w:line="280" w:lineRule="exact"/>
              <w:jc w:val="center"/>
              <w:rPr>
                <w:rFonts w:eastAsia="新細明體"/>
                <w:sz w:val="20"/>
                <w:szCs w:val="20"/>
                <w:lang w:val="fr-FR" w:eastAsia="zh-TW"/>
              </w:rPr>
            </w:pPr>
            <w:r w:rsidRPr="00337D42">
              <w:rPr>
                <w:rFonts w:eastAsia="新細明體"/>
                <w:sz w:val="20"/>
                <w:szCs w:val="20"/>
                <w:lang w:val="fr-FR" w:eastAsia="zh-TW"/>
              </w:rPr>
              <w:t>Cleaner production</w:t>
            </w:r>
          </w:p>
        </w:tc>
        <w:tc>
          <w:tcPr>
            <w:tcW w:w="1303" w:type="pct"/>
          </w:tcPr>
          <w:p w14:paraId="6DFC0317" w14:textId="4CC2C035" w:rsidR="004A655A" w:rsidRPr="00337D42" w:rsidRDefault="004A655A" w:rsidP="00337D42">
            <w:pPr>
              <w:snapToGrid w:val="0"/>
              <w:spacing w:line="280" w:lineRule="exact"/>
              <w:jc w:val="center"/>
              <w:rPr>
                <w:rFonts w:eastAsia="新細明體"/>
                <w:sz w:val="20"/>
                <w:szCs w:val="20"/>
                <w:lang w:val="fr-FR" w:eastAsia="zh-TW"/>
              </w:rPr>
            </w:pPr>
            <w:r w:rsidRPr="00337D42">
              <w:rPr>
                <w:rFonts w:eastAsia="新細明體"/>
                <w:sz w:val="20"/>
                <w:szCs w:val="20"/>
                <w:lang w:val="en-US" w:eastAsia="zh-TW"/>
              </w:rPr>
              <w:fldChar w:fldCharType="begin"/>
            </w:r>
            <w:r w:rsidR="00D926B3" w:rsidRPr="00337D42">
              <w:rPr>
                <w:rFonts w:eastAsia="新細明體"/>
                <w:sz w:val="20"/>
                <w:szCs w:val="20"/>
                <w:lang w:val="fr-FR" w:eastAsia="zh-TW"/>
              </w:rPr>
              <w:instrText xml:space="preserve"> ADDIN ZOTERO_ITEM CSL_CITATION {"citationID":"NGMW292V","properties":{"formattedCitation":"(Bilitewski, 2012; Elia et al., 2017; Ghisellini et al., 2016; Sousa-Zomer et al., 2018; Veleva et al., 2017)","plainCitation":"(Bilitewski, 2012; Elia et al., 2017; Ghisellini et al., 2016; Sousa-Zomer et al., 2018; Veleva et al., 2017)","dontUpdate":true,"noteIndex":0},"citationItems":[{"id":3042,"uris":["http://zotero.org/users/local/Alzi7ROo/items/MHWHCN4H"],"itemData":{"id":3042,"type":"article-journal","container-title":"Waste management","issue":"1","page":"1–2","source":"Google Scholar","title":"The circular economy and its risks","volume":"32","author":[{"family":"Bilitewski","given":"Bernd"}],"issued":{"date-parts":[["2012"]]}}},{"id":3045,"uris":["http://zotero.org/users/local/Alzi7ROo/items/JQLBGS27"],"itemData":{"id":3045,"type":"article-journal","container-title":"Journal of cleaner production","note":"publisher: Elsevier","page":"2741–2751","source":"Google Scholar","title":"Measuring circular economy strategies through index methods: A critical analysis","title-short":"Measuring circular economy strategies through index methods","volume":"142","author":[{"family":"Elia","given":"Valerio"},{"family":"Gnoni","given":"Maria Grazia"},{"family":"Tornese","given":"Fabiana"}],"issued":{"date-parts":[["2017"]]}}},{"id":15,"uris":["http://zotero.org/users/local/Alzi7ROo/items/A9RCPBSZ"],"itemData":{"id":15,"type":"article-journal","container-title":"Journal of Cleaner production","note":"publisher: Elsevier","page":"11–32","source":"Google Scholar","title":"A review on circular economy: the expected transition to a balanced interplay of environmental and economic systems","title-short":"A review on circular economy","volume":"114","author":[{"family":"Ghisellini","given":"Patrizia"},{"family":"Cialani","given":"Catia"},{"family":"Ulgiati","given":"Sergio"}],"issued":{"date-parts":[["2016"]]}}},{"id":3047,"uris":["http://zotero.org/users/local/Alzi7ROo/items/XLQWH8NE"],"itemData":{"id":3047,"type":"article-journal","container-title":"Resources, Conservation and Recycling","note":"publisher: Elsevier","page":"3–13","source":"Google Scholar","title":"Exploring the challenges for circular business implementation in manufacturing companies: An empirical investigation of a pay-per-use service provider","title-short":"Exploring the challenges for circular business implementation in manufacturing companies","volume":"135","author":[{"family":"Sousa-Zomer","given":"Thayla T."},{"family":"Magalhães","given":"Lucas"},{"family":"Zancul","given":"Eduardo"},{"family":"Cauchick-Miguel","given":"Paulo A."}],"issued":{"date-parts":[["2018"]]}}},{"id":3040,"uris":["http://zotero.org/users/local/Alzi7ROo/items/WPLPX927"],"itemData":{"id":3040,"type":"article-journal","container-title":"Journal of cleaner production","note":"publisher: Elsevier","page":"517–529","source":"Google Scholar","title":"The need for better measurement and employee engagement to advance a circular economy: Lessons from Biogen’s “zero waste” journey","title-short":"The need for better measurement and employee engagement to advance a circular economy","volume":"154","author":[{"family":"Veleva","given":"Vesela"},{"family":"Bodkin","given":"Gavin"},{"family":"Todorova","given":"Svetlana"}],"issued":{"date-parts":[["2017"]]}}}],"schema":"https://github.com/citation-style-language/schema/raw/master/csl-citation.json"} </w:instrText>
            </w:r>
            <w:r w:rsidRPr="00337D42">
              <w:rPr>
                <w:rFonts w:eastAsia="新細明體"/>
                <w:sz w:val="20"/>
                <w:szCs w:val="20"/>
                <w:lang w:val="en-US" w:eastAsia="zh-TW"/>
              </w:rPr>
              <w:fldChar w:fldCharType="separate"/>
            </w:r>
            <w:r w:rsidRPr="00337D42">
              <w:rPr>
                <w:rFonts w:eastAsia="新細明體"/>
                <w:sz w:val="20"/>
                <w:szCs w:val="20"/>
                <w:lang w:val="fr-FR" w:eastAsia="zh-TW"/>
              </w:rPr>
              <w:t>(Ghisellini et al., 201</w:t>
            </w:r>
            <w:r w:rsidR="00273BB7" w:rsidRPr="00337D42">
              <w:rPr>
                <w:rFonts w:eastAsia="新細明體"/>
                <w:sz w:val="20"/>
                <w:szCs w:val="20"/>
                <w:lang w:val="fr-FR" w:eastAsia="zh-TW"/>
              </w:rPr>
              <w:t>5</w:t>
            </w:r>
            <w:r w:rsidRPr="00337D42">
              <w:rPr>
                <w:rFonts w:eastAsia="新細明體"/>
                <w:sz w:val="20"/>
                <w:szCs w:val="20"/>
                <w:lang w:val="fr-FR" w:eastAsia="zh-TW"/>
              </w:rPr>
              <w:t>; Sousa-Zomer et al., 201</w:t>
            </w:r>
            <w:r w:rsidR="009E5A12" w:rsidRPr="00337D42">
              <w:rPr>
                <w:rFonts w:eastAsia="新細明體"/>
                <w:sz w:val="20"/>
                <w:szCs w:val="20"/>
                <w:lang w:val="fr-FR" w:eastAsia="zh-TW"/>
              </w:rPr>
              <w:t>7</w:t>
            </w:r>
            <w:r w:rsidRPr="00337D42">
              <w:rPr>
                <w:rFonts w:eastAsia="新細明體"/>
                <w:sz w:val="20"/>
                <w:szCs w:val="20"/>
                <w:lang w:val="fr-FR" w:eastAsia="zh-TW"/>
              </w:rPr>
              <w:t>; Veleva et al., 2017)</w:t>
            </w:r>
            <w:r w:rsidRPr="00337D42">
              <w:rPr>
                <w:rFonts w:eastAsia="新細明體"/>
                <w:sz w:val="20"/>
                <w:szCs w:val="20"/>
                <w:lang w:val="en-US" w:eastAsia="zh-TW"/>
              </w:rPr>
              <w:fldChar w:fldCharType="end"/>
            </w:r>
          </w:p>
        </w:tc>
      </w:tr>
      <w:tr w:rsidR="004A655A" w:rsidRPr="00D5378F" w14:paraId="6E216480" w14:textId="77777777" w:rsidTr="00337D42">
        <w:trPr>
          <w:trHeight w:val="414"/>
        </w:trPr>
        <w:tc>
          <w:tcPr>
            <w:tcW w:w="893" w:type="pct"/>
            <w:vMerge/>
            <w:vAlign w:val="center"/>
          </w:tcPr>
          <w:p w14:paraId="033A7172" w14:textId="77777777" w:rsidR="004A655A" w:rsidRPr="00337D42" w:rsidRDefault="004A655A" w:rsidP="00337D42">
            <w:pPr>
              <w:snapToGrid w:val="0"/>
              <w:spacing w:line="280" w:lineRule="exact"/>
              <w:jc w:val="both"/>
              <w:rPr>
                <w:sz w:val="20"/>
                <w:szCs w:val="20"/>
                <w:lang w:val="fr-FR"/>
              </w:rPr>
            </w:pPr>
          </w:p>
        </w:tc>
        <w:tc>
          <w:tcPr>
            <w:tcW w:w="1173" w:type="pct"/>
            <w:vMerge/>
            <w:vAlign w:val="center"/>
          </w:tcPr>
          <w:p w14:paraId="27484686" w14:textId="77777777" w:rsidR="004A655A" w:rsidRPr="00337D42" w:rsidRDefault="004A655A" w:rsidP="00337D42">
            <w:pPr>
              <w:snapToGrid w:val="0"/>
              <w:spacing w:line="280" w:lineRule="exact"/>
              <w:rPr>
                <w:sz w:val="20"/>
                <w:szCs w:val="20"/>
                <w:lang w:val="fr-FR"/>
              </w:rPr>
            </w:pPr>
          </w:p>
        </w:tc>
        <w:tc>
          <w:tcPr>
            <w:tcW w:w="560" w:type="pct"/>
            <w:vAlign w:val="center"/>
          </w:tcPr>
          <w:p w14:paraId="741EE2ED" w14:textId="058054F7" w:rsidR="004A655A" w:rsidRPr="00337D42" w:rsidRDefault="004A655A" w:rsidP="00337D42">
            <w:pPr>
              <w:snapToGrid w:val="0"/>
              <w:spacing w:line="280" w:lineRule="exact"/>
              <w:jc w:val="center"/>
              <w:rPr>
                <w:rFonts w:eastAsia="新細明體"/>
                <w:sz w:val="20"/>
                <w:szCs w:val="20"/>
                <w:lang w:val="fr-FR" w:eastAsia="zh-TW"/>
              </w:rPr>
            </w:pPr>
            <w:r w:rsidRPr="00337D42">
              <w:rPr>
                <w:rFonts w:eastAsia="新細明體"/>
                <w:sz w:val="20"/>
                <w:szCs w:val="20"/>
                <w:lang w:val="fr-FR" w:eastAsia="zh-TW"/>
              </w:rPr>
              <w:t>CSCE 3</w:t>
            </w:r>
          </w:p>
        </w:tc>
        <w:tc>
          <w:tcPr>
            <w:tcW w:w="1070" w:type="pct"/>
            <w:vAlign w:val="center"/>
          </w:tcPr>
          <w:p w14:paraId="5FF486FF" w14:textId="77777777" w:rsidR="004A655A" w:rsidRPr="00337D42" w:rsidRDefault="004A655A" w:rsidP="00337D42">
            <w:pPr>
              <w:snapToGrid w:val="0"/>
              <w:spacing w:line="280" w:lineRule="exact"/>
              <w:jc w:val="center"/>
              <w:rPr>
                <w:rFonts w:eastAsia="新細明體"/>
                <w:sz w:val="20"/>
                <w:szCs w:val="20"/>
                <w:lang w:val="fr-FR" w:eastAsia="zh-TW"/>
              </w:rPr>
            </w:pPr>
            <w:r w:rsidRPr="00337D42">
              <w:rPr>
                <w:rFonts w:eastAsia="新細明體"/>
                <w:sz w:val="20"/>
                <w:szCs w:val="20"/>
                <w:lang w:val="fr-FR" w:eastAsia="zh-TW"/>
              </w:rPr>
              <w:t>Reverse logistics infrastructure</w:t>
            </w:r>
          </w:p>
        </w:tc>
        <w:tc>
          <w:tcPr>
            <w:tcW w:w="1303" w:type="pct"/>
          </w:tcPr>
          <w:p w14:paraId="42EBE0F1" w14:textId="1E217D47" w:rsidR="004A655A" w:rsidRPr="00337D42" w:rsidRDefault="004A655A" w:rsidP="00337D42">
            <w:pPr>
              <w:snapToGrid w:val="0"/>
              <w:spacing w:line="280" w:lineRule="exact"/>
              <w:jc w:val="center"/>
              <w:rPr>
                <w:rFonts w:eastAsia="新細明體"/>
                <w:sz w:val="20"/>
                <w:szCs w:val="20"/>
                <w:lang w:val="fr-FR" w:eastAsia="zh-TW"/>
              </w:rPr>
            </w:pPr>
            <w:r w:rsidRPr="00337D42">
              <w:rPr>
                <w:rFonts w:eastAsia="新細明體"/>
                <w:sz w:val="20"/>
                <w:szCs w:val="20"/>
                <w:lang w:val="en-US" w:eastAsia="zh-TW"/>
              </w:rPr>
              <w:fldChar w:fldCharType="begin"/>
            </w:r>
            <w:r w:rsidR="00D926B3" w:rsidRPr="00337D42">
              <w:rPr>
                <w:rFonts w:eastAsia="新細明體"/>
                <w:sz w:val="20"/>
                <w:szCs w:val="20"/>
                <w:lang w:val="fr-FR" w:eastAsia="zh-TW"/>
              </w:rPr>
              <w:instrText xml:space="preserve"> ADDIN ZOTERO_ITEM CSL_CITATION {"citationID":"8RAFm2LU","properties":{"formattedCitation":"(Dhakal et al., 2017; Govindan &amp; Soleimani, 2017; S. Jain et al., 2018; Scavarda et al., 2019)","plainCitation":"(Dhakal et al., 2017; Govindan &amp; Soleimani, 2017; S. Jain et al., 2018; Scavarda et al., 2019)","dontUpdate":true,"noteIndex":0},"citationItems":[{"id":3052,"uris":["http://zotero.org/users/local/Alzi7ROo/items/I333ZVLJ"],"itemData":{"id":3052,"type":"article-journal","container-title":"The International Journal of Sustainability in Economic, Social and Cultural Context","issue":"1","note":"publisher: Common Ground Research Networks","page":"25","source":"Google Scholar","title":"Secondary market: A significant aspect in reverse logistics and sustainability","title-short":"Secondary market","volume":"12","author":[{"family":"Dhakal","given":"Mamata"},{"family":"Smith","given":"Melanie Hudson"},{"family":"Newbery","given":"Robert"}],"issued":{"date-parts":[["2017"]]}}},{"id":3050,"uris":["http://zotero.org/users/local/Alzi7ROo/items/IJFAAWDF"],"itemData":{"id":3050,"type":"article-journal","container-title":"Journal of cleaner production","note":"publisher: Elsevier","page":"371–384","source":"Google Scholar","title":"A review of reverse logistics and closed-loop supply chains: a Journal of Cleaner Production focus","title-short":"A review of reverse logistics and closed-loop supply chains","volume":"142","author":[{"family":"Govindan","given":"Kannan"},{"family":"Soleimani","given":"Hamed"}],"issued":{"date-parts":[["2017"]]}}},{"id":1198,"uris":["http://zotero.org/users/local/Alzi7ROo/items/TUD9NYS3"],"itemData":{"id":1198,"type":"article-journal","abstract":"Purpose: Sustainability issues on economic, environmental and social perspectives have drawn attention of environmentalists, ecologists and governments. In this context, circular economy provides an opportunity to transform waste into resources, reduction of production and consumption activities; and reduction of carbon footprints, all at the same time. The purpose of this paper is to develop a strategic framework for measuring circular supply chain management. Design/methodology/approach: A grounded theory approach has been used to develop the strategic framework for circular supply chain management. Findings: This study provides an integrative framework for studying, designing and evaluating circular supply chain management performance matrix. Research limitations/implications: A conceptual strategic framework has been proposed to measure the performance of circular supply chain management. Further empirical studies may be carried out to validate the framework. Practical implications: The conceptual strategic framework provides key indicators for reducing material consumption, reducing waste, reducing carbon footprint and recycling opportunities throughout the supply chain. These may be utilized by practitioners for gaining competitive advantage. Originality/value: This paper provides insights into development of circular supply chains that provides opportunities for cost reduction and securing competitive advantage for a business in the long run. © 2018, Emerald Publishing Limited.","container-title":"Benchmarking","DOI":"10.1108/BIJ-11-2017-0304","ISSN":"14635771","issue":"8","language":"English","note":"publisher: Emerald Group Publishing Ltd.\ntype: Article","page":"3238 – 3252","title":"Strategic framework towards measuring a circular supply chain management","volume":"25","author":[{"family":"Jain","given":"Sourabh"},{"family":"Jain","given":"Nikunj Kumar"},{"family":"Metri","given":"Bhimaraya"}],"issued":{"date-parts":[["2018"]]}}},{"id":3051,"uris":["http://zotero.org/users/local/Alzi7ROo/items/QJ654P3I"],"itemData":{"id":3051,"type":"article-journal","container-title":"Resources, Conservation and Recycling","note":"publisher: Elsevier","page":"418–430","source":"Google Scholar","title":"A proposed healthcare supply chain management framework in the emerging economies with the sustainable lenses: The theory, the practice, and the policy","title-short":"A proposed healthcare supply chain management framework in the emerging economies with the sustainable lenses","volume":"141","author":[{"family":"Scavarda","given":"Annibal"},{"family":"Daú","given":"Gláucya Lima"},{"family":"Scavarda","given":"Luiz Felipe"},{"family":"Korzenowski","given":"André Luís"}],"issued":{"date-parts":[["2019"]]}}}],"schema":"https://github.com/citation-style-language/schema/raw/master/csl-citation.json"} </w:instrText>
            </w:r>
            <w:r w:rsidRPr="00337D42">
              <w:rPr>
                <w:rFonts w:eastAsia="新細明體"/>
                <w:sz w:val="20"/>
                <w:szCs w:val="20"/>
                <w:lang w:val="en-US" w:eastAsia="zh-TW"/>
              </w:rPr>
              <w:fldChar w:fldCharType="separate"/>
            </w:r>
            <w:r w:rsidRPr="00337D42">
              <w:rPr>
                <w:rFonts w:eastAsia="新細明體"/>
                <w:sz w:val="20"/>
                <w:szCs w:val="20"/>
                <w:lang w:val="fr-FR"/>
              </w:rPr>
              <w:t>(Dhakal et al., 201</w:t>
            </w:r>
            <w:r w:rsidR="00BE232A" w:rsidRPr="00337D42">
              <w:rPr>
                <w:rFonts w:eastAsia="新細明體"/>
                <w:sz w:val="20"/>
                <w:szCs w:val="20"/>
                <w:lang w:val="fr-FR"/>
              </w:rPr>
              <w:t>6</w:t>
            </w:r>
            <w:r w:rsidRPr="00337D42">
              <w:rPr>
                <w:rFonts w:eastAsia="新細明體"/>
                <w:sz w:val="20"/>
                <w:szCs w:val="20"/>
                <w:lang w:val="fr-FR"/>
              </w:rPr>
              <w:t>;</w:t>
            </w:r>
            <w:r w:rsidR="00FE5373" w:rsidRPr="00337D42">
              <w:rPr>
                <w:rFonts w:eastAsia="新細明體"/>
                <w:sz w:val="20"/>
                <w:szCs w:val="20"/>
                <w:lang w:val="fr-FR"/>
              </w:rPr>
              <w:t xml:space="preserve"> </w:t>
            </w:r>
            <w:r w:rsidRPr="00337D42">
              <w:rPr>
                <w:rFonts w:eastAsia="新細明體"/>
                <w:sz w:val="20"/>
                <w:szCs w:val="20"/>
                <w:lang w:val="fr-FR"/>
              </w:rPr>
              <w:t>S.</w:t>
            </w:r>
            <w:r w:rsidR="000C3199" w:rsidRPr="00337D42">
              <w:rPr>
                <w:rFonts w:eastAsia="新細明體"/>
                <w:sz w:val="20"/>
                <w:szCs w:val="20"/>
                <w:lang w:val="fr-FR"/>
              </w:rPr>
              <w:t xml:space="preserve"> </w:t>
            </w:r>
            <w:r w:rsidRPr="00337D42">
              <w:rPr>
                <w:rFonts w:eastAsia="新細明體"/>
                <w:sz w:val="20"/>
                <w:szCs w:val="20"/>
                <w:lang w:val="fr-FR"/>
              </w:rPr>
              <w:t>Jain et al., 2018; Scavarda et al., 201</w:t>
            </w:r>
            <w:r w:rsidR="009E5A12" w:rsidRPr="00337D42">
              <w:rPr>
                <w:rFonts w:eastAsia="新細明體"/>
                <w:sz w:val="20"/>
                <w:szCs w:val="20"/>
                <w:lang w:val="fr-FR"/>
              </w:rPr>
              <w:t>8</w:t>
            </w:r>
            <w:r w:rsidRPr="00337D42">
              <w:rPr>
                <w:rFonts w:eastAsia="新細明體"/>
                <w:sz w:val="20"/>
                <w:szCs w:val="20"/>
                <w:lang w:val="fr-FR"/>
              </w:rPr>
              <w:t>)</w:t>
            </w:r>
            <w:r w:rsidRPr="00337D42">
              <w:rPr>
                <w:rFonts w:eastAsia="新細明體"/>
                <w:sz w:val="20"/>
                <w:szCs w:val="20"/>
                <w:lang w:val="en-US" w:eastAsia="zh-TW"/>
              </w:rPr>
              <w:fldChar w:fldCharType="end"/>
            </w:r>
          </w:p>
        </w:tc>
      </w:tr>
      <w:tr w:rsidR="004A655A" w:rsidRPr="00D5378F" w14:paraId="1993596B" w14:textId="77777777" w:rsidTr="00337D42">
        <w:trPr>
          <w:trHeight w:val="414"/>
        </w:trPr>
        <w:tc>
          <w:tcPr>
            <w:tcW w:w="893" w:type="pct"/>
            <w:vMerge/>
            <w:vAlign w:val="center"/>
          </w:tcPr>
          <w:p w14:paraId="1219725F" w14:textId="77777777" w:rsidR="004A655A" w:rsidRPr="00337D42" w:rsidRDefault="004A655A" w:rsidP="00337D42">
            <w:pPr>
              <w:snapToGrid w:val="0"/>
              <w:spacing w:line="280" w:lineRule="exact"/>
              <w:jc w:val="both"/>
              <w:rPr>
                <w:sz w:val="20"/>
                <w:szCs w:val="20"/>
                <w:lang w:val="fr-FR"/>
              </w:rPr>
            </w:pPr>
          </w:p>
        </w:tc>
        <w:tc>
          <w:tcPr>
            <w:tcW w:w="1173" w:type="pct"/>
            <w:vMerge/>
            <w:vAlign w:val="center"/>
          </w:tcPr>
          <w:p w14:paraId="241E00B0" w14:textId="77777777" w:rsidR="004A655A" w:rsidRPr="00337D42" w:rsidRDefault="004A655A" w:rsidP="00337D42">
            <w:pPr>
              <w:snapToGrid w:val="0"/>
              <w:spacing w:line="280" w:lineRule="exact"/>
              <w:rPr>
                <w:sz w:val="20"/>
                <w:szCs w:val="20"/>
                <w:lang w:val="fr-FR"/>
              </w:rPr>
            </w:pPr>
          </w:p>
        </w:tc>
        <w:tc>
          <w:tcPr>
            <w:tcW w:w="560" w:type="pct"/>
            <w:vAlign w:val="center"/>
          </w:tcPr>
          <w:p w14:paraId="75456154" w14:textId="438A1A41" w:rsidR="004A655A" w:rsidRPr="00337D42" w:rsidRDefault="004A655A" w:rsidP="00337D42">
            <w:pPr>
              <w:snapToGrid w:val="0"/>
              <w:spacing w:line="280" w:lineRule="exact"/>
              <w:jc w:val="center"/>
              <w:rPr>
                <w:rFonts w:eastAsia="新細明體"/>
                <w:sz w:val="20"/>
                <w:szCs w:val="20"/>
                <w:lang w:val="fr-FR" w:eastAsia="zh-TW"/>
              </w:rPr>
            </w:pPr>
            <w:r w:rsidRPr="00337D42">
              <w:rPr>
                <w:rFonts w:eastAsia="新細明體"/>
                <w:sz w:val="20"/>
                <w:szCs w:val="20"/>
                <w:lang w:val="fr-FR" w:eastAsia="zh-TW"/>
              </w:rPr>
              <w:t>CSCE 4</w:t>
            </w:r>
          </w:p>
        </w:tc>
        <w:tc>
          <w:tcPr>
            <w:tcW w:w="1070" w:type="pct"/>
            <w:vAlign w:val="center"/>
          </w:tcPr>
          <w:p w14:paraId="01B3C3EA" w14:textId="43525AEE" w:rsidR="004A655A" w:rsidRPr="00337D42" w:rsidRDefault="004A655A" w:rsidP="00337D42">
            <w:pPr>
              <w:snapToGrid w:val="0"/>
              <w:spacing w:line="280" w:lineRule="exact"/>
              <w:jc w:val="center"/>
              <w:rPr>
                <w:rFonts w:eastAsia="新細明體"/>
                <w:sz w:val="20"/>
                <w:szCs w:val="20"/>
                <w:lang w:val="fr-FR" w:eastAsia="zh-TW"/>
              </w:rPr>
            </w:pPr>
            <w:r w:rsidRPr="00337D42">
              <w:rPr>
                <w:rFonts w:eastAsia="新細明體"/>
                <w:sz w:val="20"/>
                <w:szCs w:val="20"/>
                <w:lang w:val="fr-FR" w:eastAsia="zh-TW"/>
              </w:rPr>
              <w:t xml:space="preserve">Circular </w:t>
            </w:r>
            <w:r w:rsidR="00CF7C39" w:rsidRPr="00337D42">
              <w:rPr>
                <w:rFonts w:eastAsia="新細明體"/>
                <w:sz w:val="20"/>
                <w:szCs w:val="20"/>
                <w:lang w:val="fr-FR" w:eastAsia="zh-TW"/>
              </w:rPr>
              <w:t>Economy</w:t>
            </w:r>
            <w:r w:rsidRPr="00337D42">
              <w:rPr>
                <w:rFonts w:eastAsia="新細明體"/>
                <w:sz w:val="20"/>
                <w:szCs w:val="20"/>
                <w:lang w:val="fr-FR" w:eastAsia="zh-TW"/>
              </w:rPr>
              <w:t xml:space="preserve"> </w:t>
            </w:r>
            <w:r w:rsidR="00CF7C39" w:rsidRPr="00337D42">
              <w:rPr>
                <w:rFonts w:eastAsia="新細明體"/>
                <w:sz w:val="20"/>
                <w:szCs w:val="20"/>
                <w:lang w:val="fr-FR" w:eastAsia="zh-TW"/>
              </w:rPr>
              <w:t>Relationship</w:t>
            </w:r>
            <w:r w:rsidRPr="00337D42">
              <w:rPr>
                <w:rFonts w:eastAsia="新細明體"/>
                <w:sz w:val="20"/>
                <w:szCs w:val="20"/>
                <w:lang w:val="fr-FR" w:eastAsia="zh-TW"/>
              </w:rPr>
              <w:t xml:space="preserve"> </w:t>
            </w:r>
            <w:r w:rsidR="00E82933" w:rsidRPr="00337D42">
              <w:rPr>
                <w:rFonts w:eastAsia="新細明體"/>
                <w:sz w:val="20"/>
                <w:szCs w:val="20"/>
                <w:lang w:val="fr-FR" w:eastAsia="zh-TW"/>
              </w:rPr>
              <w:t>Management</w:t>
            </w:r>
          </w:p>
        </w:tc>
        <w:tc>
          <w:tcPr>
            <w:tcW w:w="1303" w:type="pct"/>
          </w:tcPr>
          <w:p w14:paraId="686F86CD" w14:textId="4517C34B" w:rsidR="004A655A" w:rsidRPr="00337D42" w:rsidRDefault="004A655A" w:rsidP="00337D42">
            <w:pPr>
              <w:snapToGrid w:val="0"/>
              <w:spacing w:line="280" w:lineRule="exact"/>
              <w:jc w:val="center"/>
              <w:rPr>
                <w:rFonts w:eastAsia="新細明體"/>
                <w:sz w:val="20"/>
                <w:szCs w:val="20"/>
                <w:lang w:val="fr-FR" w:eastAsia="zh-TW"/>
              </w:rPr>
            </w:pPr>
            <w:r w:rsidRPr="00337D42">
              <w:rPr>
                <w:rFonts w:eastAsia="新細明體"/>
                <w:sz w:val="20"/>
                <w:szCs w:val="20"/>
                <w:lang w:val="en-US" w:eastAsia="zh-TW"/>
              </w:rPr>
              <w:fldChar w:fldCharType="begin"/>
            </w:r>
            <w:r w:rsidR="00D926B3" w:rsidRPr="00337D42">
              <w:rPr>
                <w:rFonts w:eastAsia="新細明體"/>
                <w:sz w:val="20"/>
                <w:szCs w:val="20"/>
                <w:lang w:val="fr-FR" w:eastAsia="zh-TW"/>
              </w:rPr>
              <w:instrText xml:space="preserve"> ADDIN ZOTERO_ITEM CSL_CITATION {"citationID":"wIbimE5i","properties":{"formattedCitation":"(Genovese et al., 2017; Ripanti &amp; Tjahjono, 2019; Ying &amp; Li-jun, 2012)","plainCitation":"(Genovese et al., 2017; Ripanti &amp; Tjahjono, 2019; Ying &amp; Li-jun, 2012)","dontUpdate":true,"noteIndex":0},"citationItems":[{"id":9,"uris":["http://zotero.org/users/local/Alzi7ROo/items/3KZERHDE"],"itemData":{"id":9,"type":"article-journal","container-title":"Omega","note":"publisher: Elsevier","page":"344–357","source":"Google Scholar","title":"Sustainable supply chain management and the transition towards a circular economy: Evidence and some applications","title-short":"Sustainable supply chain management and the transition towards a circular economy","volume":"66","author":[{"family":"Genovese","given":"Andrea"},{"family":"Acquaye","given":"Adolf A."},{"family":"Figueroa","given":"Alejandro"},{"family":"Koh","given":"SC Lenny"}],"issued":{"date-parts":[["2017"]]}}},{"id":44,"uris":["http://zotero.org/users/local/Alzi7ROo/items/EJRPQ7P7"],"itemData":{"id":44,"type":"article-journal","container-title":"The International Journal of Logistics Management","note":"publisher: Emerald Publishing Limited","source":"Google Scholar","title":"Unveiling the potentials of circular economy values in logistics and supply chain management","author":[{"family":"Ripanti","given":"Eva Faja"},{"family":"Tjahjono","given":"Benny"}],"issued":{"date-parts":[["2019"]]}}},{"id":1320,"uris":["http://zotero.org/users/local/Alzi7ROo/items/67UZL7BL"],"itemData":{"id":1320,"type":"article-journal","container-title":"Physics Procedia","note":"publisher: Elsevier","page":"1682–1688","source":"Google Scholar","title":"Study on green supply chain management based on circular economy","volume":"25","author":[{"family":"Ying","given":"Jiang"},{"family":"Li-jun","given":"Zhou"}],"issued":{"date-parts":[["2012"]]}}}],"schema":"https://github.com/citation-style-language/schema/raw/master/csl-citation.json"} </w:instrText>
            </w:r>
            <w:r w:rsidRPr="00337D42">
              <w:rPr>
                <w:rFonts w:eastAsia="新細明體"/>
                <w:sz w:val="20"/>
                <w:szCs w:val="20"/>
                <w:lang w:val="en-US" w:eastAsia="zh-TW"/>
              </w:rPr>
              <w:fldChar w:fldCharType="separate"/>
            </w:r>
            <w:r w:rsidRPr="00337D42">
              <w:rPr>
                <w:rFonts w:eastAsia="新細明體"/>
                <w:sz w:val="20"/>
                <w:szCs w:val="20"/>
                <w:lang w:val="fr-FR" w:eastAsia="zh-TW"/>
              </w:rPr>
              <w:t>(Genovese et al., 201</w:t>
            </w:r>
            <w:r w:rsidR="00273BB7" w:rsidRPr="00337D42">
              <w:rPr>
                <w:rFonts w:eastAsia="新細明體"/>
                <w:sz w:val="20"/>
                <w:szCs w:val="20"/>
                <w:lang w:val="fr-FR" w:eastAsia="zh-TW"/>
              </w:rPr>
              <w:t>5</w:t>
            </w:r>
            <w:r w:rsidR="009E5A12" w:rsidRPr="00337D42">
              <w:rPr>
                <w:rFonts w:eastAsia="新細明體"/>
                <w:sz w:val="20"/>
                <w:szCs w:val="20"/>
                <w:lang w:val="fr-FR" w:eastAsia="zh-TW"/>
              </w:rPr>
              <w:t xml:space="preserve">; </w:t>
            </w:r>
            <w:r w:rsidRPr="00337D42">
              <w:rPr>
                <w:rFonts w:eastAsia="新細明體"/>
                <w:sz w:val="20"/>
                <w:szCs w:val="20"/>
                <w:lang w:val="fr-FR" w:eastAsia="zh-TW"/>
              </w:rPr>
              <w:t>Ripanti &amp; Tjahjono, 2019)</w:t>
            </w:r>
            <w:r w:rsidRPr="00337D42">
              <w:rPr>
                <w:rFonts w:eastAsia="新細明體"/>
                <w:sz w:val="20"/>
                <w:szCs w:val="20"/>
                <w:lang w:val="en-US" w:eastAsia="zh-TW"/>
              </w:rPr>
              <w:fldChar w:fldCharType="end"/>
            </w:r>
          </w:p>
        </w:tc>
      </w:tr>
      <w:tr w:rsidR="004A655A" w:rsidRPr="009A3785" w14:paraId="6502D2BF" w14:textId="77777777" w:rsidTr="00337D42">
        <w:trPr>
          <w:trHeight w:val="414"/>
        </w:trPr>
        <w:tc>
          <w:tcPr>
            <w:tcW w:w="893" w:type="pct"/>
            <w:vMerge/>
            <w:vAlign w:val="center"/>
          </w:tcPr>
          <w:p w14:paraId="44DA1A6A" w14:textId="77777777" w:rsidR="004A655A" w:rsidRPr="00337D42" w:rsidRDefault="004A655A" w:rsidP="00337D42">
            <w:pPr>
              <w:snapToGrid w:val="0"/>
              <w:spacing w:line="280" w:lineRule="exact"/>
              <w:jc w:val="both"/>
              <w:rPr>
                <w:sz w:val="20"/>
                <w:szCs w:val="20"/>
                <w:lang w:val="fr-FR"/>
              </w:rPr>
            </w:pPr>
          </w:p>
        </w:tc>
        <w:tc>
          <w:tcPr>
            <w:tcW w:w="1173" w:type="pct"/>
            <w:vMerge/>
            <w:vAlign w:val="center"/>
          </w:tcPr>
          <w:p w14:paraId="73A5443A" w14:textId="77777777" w:rsidR="004A655A" w:rsidRPr="00337D42" w:rsidRDefault="004A655A" w:rsidP="00337D42">
            <w:pPr>
              <w:snapToGrid w:val="0"/>
              <w:spacing w:line="280" w:lineRule="exact"/>
              <w:rPr>
                <w:sz w:val="20"/>
                <w:szCs w:val="20"/>
                <w:lang w:val="fr-FR"/>
              </w:rPr>
            </w:pPr>
          </w:p>
        </w:tc>
        <w:tc>
          <w:tcPr>
            <w:tcW w:w="560" w:type="pct"/>
            <w:vAlign w:val="center"/>
          </w:tcPr>
          <w:p w14:paraId="7E34255A" w14:textId="3AE16325"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CSCE 5</w:t>
            </w:r>
          </w:p>
        </w:tc>
        <w:tc>
          <w:tcPr>
            <w:tcW w:w="1070" w:type="pct"/>
            <w:vAlign w:val="center"/>
          </w:tcPr>
          <w:p w14:paraId="3189ED86" w14:textId="77777777"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Circular economy Human resources management</w:t>
            </w:r>
          </w:p>
        </w:tc>
        <w:tc>
          <w:tcPr>
            <w:tcW w:w="1303" w:type="pct"/>
          </w:tcPr>
          <w:p w14:paraId="136A0307" w14:textId="4BEC82A6"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fldChar w:fldCharType="begin"/>
            </w:r>
            <w:r w:rsidR="00D926B3" w:rsidRPr="00337D42">
              <w:rPr>
                <w:rFonts w:eastAsia="新細明體"/>
                <w:sz w:val="20"/>
                <w:szCs w:val="20"/>
                <w:lang w:val="en-US" w:eastAsia="zh-TW"/>
              </w:rPr>
              <w:instrText xml:space="preserve"> ADDIN ZOTERO_ITEM CSL_CITATION {"citationID":"mZ8h0hbu","properties":{"formattedCitation":"(Ashraf et al., 2015; Duff, 2018; Jabbour et al., 2019; Nejati et al., 2017; Teixeira et al., 2016)","plainCitation":"(Ashraf et al., 2015; Duff, 2018; Jabbour et al., 2019; Nejati et al., 2017; Teixeira et al., 2016)","dontUpdate":true,"noteIndex":0},"citationItems":[{"id":3067,"uris":["http://zotero.org/users/local/Alzi7ROo/items/DNEIHKFC"],"itemData":{"id":3067,"type":"article-journal","container-title":"International Journal of Academic Research in Business and Social Sciences","issue":"8","note":"publisher: Human Resource Management Academic Research Society, International Journal …","page":"149–156","source":"Google Scholar","title":"Green HR for businesses","volume":"5","author":[{"family":"Ashraf","given":"Fawad"},{"family":"Ashraf","given":"Ibbad"},{"family":"Anam","given":"Waqasia"}],"issued":{"date-parts":[["2015"]]}}},{"id":3061,"uris":["http://zotero.org/users/local/Alzi7ROo/items/QL78SZA2"],"itemData":{"id":3061,"type":"article-journal","container-title":"Journal of Intellectual Capital","issue":"4","note":"publisher: Emerald Publishing Limited","page":"768–786","source":"Google Scholar","title":"Intellectual capital disclosure: evidence from UK accounting firms","title-short":"Intellectual capital disclosure","volume":"19","author":[{"family":"Duff","given":"Angus"}],"issued":{"date-parts":[["2018"]]}}},{"id":23,"uris":["http://zotero.org/users/local/Alzi7ROo/items/7ZSTV7GB"],"itemData":{"id":23,"type":"article-journal","container-title":"Technological Forecasting and Social Change","note":"publisher: Elsevier","page":"546–552","source":"Google Scholar","title":"Unlocking the circular economy through new business models based on large-scale data: an integrative framework and research agenda","title-short":"Unlocking the circular economy through new business models based on large-scale data","volume":"144","author":[{"family":"Jabbour","given":"Charbel Jose Chiappetta"},{"family":"Sousa Jabbour","given":"Ana Beatriz Lopes","non-dropping-particle":"de"},{"family":"Sarkis","given":"Joseph"},{"family":"Godinho Filho","given":"Moacir"}],"issued":{"date-parts":[["2019"]]}}},{"id":50,"uris":["http://zotero.org/users/local/Alzi7ROo/items/NZLYWSXY"],"itemData":{"id":50,"type":"article-journal","container-title":"Journal of cleaner production","note":"publisher: Elsevier","page":"163–172","source":"Google Scholar","title":"Envisioning the invisible: Understanding the synergy between green human resource management and green supply chain management in manufacturing firms in Iran in light of the moderating effect of employees' resistance to change","title-short":"Envisioning the invisible","volume":"168","author":[{"family":"Nejati","given":"Mehran"},{"family":"Rabiei","given":"Soodabeh"},{"family":"Jabbour","given":"Charbel José Chiappetta"}],"issued":{"date-parts":[["2017"]]}}},{"id":3059,"uris":["http://zotero.org/users/local/Alzi7ROo/items/NNT35EYK"],"itemData":{"id":3059,"type":"article-journal","container-title":"Journal of cleaner production","note":"publisher: Elsevier","page":"170–176","source":"Google Scholar","title":"Green training and green supply chain management: evidence from Brazilian firms","title-short":"Green training and green supply chain management","volume":"116","author":[{"family":"Teixeira","given":"Adriano Alves"},{"family":"Jabbour","given":"Charbel Jose Chiappetta"},{"family":"Sousa Jabbour","given":"Ana Beatriz Lopes","non-dropping-particle":"de"},{"family":"Latan","given":"Hengky"},{"family":"De Oliveira","given":"Jorge Henrique Caldeira"}],"issued":{"date-parts":[["2016"]]}}}],"schema":"https://github.com/citation-style-language/schema/raw/master/csl-citation.json"} </w:instrText>
            </w:r>
            <w:r w:rsidRPr="00337D42">
              <w:rPr>
                <w:rFonts w:eastAsia="新細明體"/>
                <w:sz w:val="20"/>
                <w:szCs w:val="20"/>
                <w:lang w:val="en-US" w:eastAsia="zh-TW"/>
              </w:rPr>
              <w:fldChar w:fldCharType="separate"/>
            </w:r>
            <w:r w:rsidRPr="00337D42">
              <w:rPr>
                <w:rFonts w:eastAsia="新細明體"/>
                <w:sz w:val="20"/>
                <w:szCs w:val="20"/>
                <w:lang w:val="en-US" w:eastAsia="zh-TW"/>
              </w:rPr>
              <w:t>(Duff, 2018; Jabbour et al., 201</w:t>
            </w:r>
            <w:r w:rsidR="00764B4F" w:rsidRPr="00337D42">
              <w:rPr>
                <w:rFonts w:eastAsia="新細明體"/>
                <w:sz w:val="20"/>
                <w:szCs w:val="20"/>
                <w:lang w:val="en-US" w:eastAsia="zh-TW"/>
              </w:rPr>
              <w:t>7</w:t>
            </w:r>
            <w:r w:rsidRPr="00337D42">
              <w:rPr>
                <w:rFonts w:eastAsia="新細明體"/>
                <w:sz w:val="20"/>
                <w:szCs w:val="20"/>
                <w:lang w:val="en-US" w:eastAsia="zh-TW"/>
              </w:rPr>
              <w:t>; Nejati et al., 2017)</w:t>
            </w:r>
            <w:r w:rsidRPr="00337D42">
              <w:rPr>
                <w:rFonts w:eastAsia="新細明體"/>
                <w:sz w:val="20"/>
                <w:szCs w:val="20"/>
                <w:lang w:val="en-US" w:eastAsia="zh-TW"/>
              </w:rPr>
              <w:fldChar w:fldCharType="end"/>
            </w:r>
          </w:p>
        </w:tc>
      </w:tr>
      <w:tr w:rsidR="004A655A" w:rsidRPr="009A3785" w14:paraId="4285CAF7" w14:textId="77777777" w:rsidTr="00337D42">
        <w:trPr>
          <w:trHeight w:val="1063"/>
        </w:trPr>
        <w:tc>
          <w:tcPr>
            <w:tcW w:w="893" w:type="pct"/>
            <w:vMerge/>
            <w:vAlign w:val="center"/>
          </w:tcPr>
          <w:p w14:paraId="385BD3DC" w14:textId="77777777" w:rsidR="004A655A" w:rsidRPr="00337D42" w:rsidRDefault="004A655A" w:rsidP="00337D42">
            <w:pPr>
              <w:snapToGrid w:val="0"/>
              <w:spacing w:line="280" w:lineRule="exact"/>
              <w:jc w:val="both"/>
              <w:rPr>
                <w:sz w:val="20"/>
                <w:szCs w:val="20"/>
                <w:lang w:val="en-US"/>
              </w:rPr>
            </w:pPr>
          </w:p>
        </w:tc>
        <w:tc>
          <w:tcPr>
            <w:tcW w:w="1173" w:type="pct"/>
            <w:vMerge/>
            <w:vAlign w:val="center"/>
          </w:tcPr>
          <w:p w14:paraId="1E0DF9ED" w14:textId="77777777" w:rsidR="004A655A" w:rsidRPr="00337D42" w:rsidRDefault="004A655A" w:rsidP="00337D42">
            <w:pPr>
              <w:snapToGrid w:val="0"/>
              <w:spacing w:line="280" w:lineRule="exact"/>
              <w:rPr>
                <w:sz w:val="20"/>
                <w:szCs w:val="20"/>
                <w:lang w:val="en-US"/>
              </w:rPr>
            </w:pPr>
          </w:p>
        </w:tc>
        <w:tc>
          <w:tcPr>
            <w:tcW w:w="560" w:type="pct"/>
            <w:vAlign w:val="center"/>
          </w:tcPr>
          <w:p w14:paraId="35DB7D08" w14:textId="152A97CB"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CSCE 6</w:t>
            </w:r>
          </w:p>
        </w:tc>
        <w:tc>
          <w:tcPr>
            <w:tcW w:w="1070" w:type="pct"/>
            <w:vAlign w:val="center"/>
          </w:tcPr>
          <w:p w14:paraId="40587B24" w14:textId="77777777"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Technological sustainability integration</w:t>
            </w:r>
          </w:p>
        </w:tc>
        <w:tc>
          <w:tcPr>
            <w:tcW w:w="1303" w:type="pct"/>
          </w:tcPr>
          <w:p w14:paraId="1D78E8C0" w14:textId="3F3327DA"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fldChar w:fldCharType="begin"/>
            </w:r>
            <w:r w:rsidR="00D926B3" w:rsidRPr="00337D42">
              <w:rPr>
                <w:rFonts w:eastAsia="新細明體"/>
                <w:sz w:val="20"/>
                <w:szCs w:val="20"/>
                <w:lang w:val="en-US" w:eastAsia="zh-TW"/>
              </w:rPr>
              <w:instrText xml:space="preserve"> ADDIN ZOTERO_ITEM CSL_CITATION {"citationID":"et24I2Dg","properties":{"formattedCitation":"(Abideen et al., 2021; Chancha</w:instrText>
            </w:r>
            <w:r w:rsidR="00D926B3" w:rsidRPr="00337D42">
              <w:rPr>
                <w:rFonts w:eastAsia="新細明體"/>
                <w:sz w:val="20"/>
                <w:szCs w:val="20"/>
                <w:lang w:val="fr-FR" w:eastAsia="zh-TW"/>
              </w:rPr>
              <w:instrText>ichujit et al., 2020; De Giovanni, 2019, 2022; Prencipe et al., 2022; Sammarco et al., 2022; Wu et al., 2017)","plainCitation":"(Abideen et al., 2021; Chanchaichujit et al., 2020; De Giovanni, 2019, 2022; Prencipe et al., 2022; Sammarco et al., 2022; Wu et al., 2017)","dontUpdate":true,"noteIndex":0},"citationItems":[{"id":1074,"uris":["http://zotero.org/users/local/Alzi7ROo/items/FFX3AXCC"],"itemData":{"id":1074,"type":"article-journal","abstract":"The recent technological inclusions in supply chains are encouraging practitioners to continuously rethink and redesign these supply chains. Organizations are trying to implement sustainable manufacturing and supply chain practices to utilize their resources to the full extent in order to gain a competitive advantage. Circular supply chain management acts as the main pathway to achieve optimal circular business models; however, research in this area is still in its infancy and there is a need to study and analyze how the benefits of technology can be leveraged in conventional models to impact circular supply chains and build smart, sustainable, circular business models. To gain better familiarity with the future research paradigms, a detailed systematic literature review was conducted on this topic to identify the dynamics of this field and domains deserving further academic attention. A holistic and unique review technique was used by the authors to capture maximal insights. A total of 96 publications from 2010 to 2021 were selected from the Web of Science core collection database through strict keyword search codes and exclusion criteria, with neat integration of systematic and bibliometric analyses. The findings of this study highlight the knowledge gaps and future research directions, which are presented at the end of this paper. © 2021 by the authors. Licensee MDPI, Basel, Switzerland.","container-title":"Sustainability (Switzerland)","DOI":"10.3390/su13168997","ISSN":"20711050","issue":"16","language":"English","note":"publisher: MDPI AG\ntype: Review","title":"Leveraging capabilities of technology into a circular supply chain to build circular business models: A state-of-the-art systematic review","URL":"https://www.scopus.com/inward/record.uri?eid=2-s2.0-85112704527&amp;doi=10.3390%2fsu13168997&amp;partnerID=40&amp;md5=2b0573050082f2bb8dad369e4e7f235c","volume":"13","author":[{"family":"Abideen","given":"Ahmed Zainul"},{"family":"Pyeman","given":"Jaafar"},{"family":"Sundram","given":"Veera Pandiyan Kaliani"},{"family":"Tseng","given":"Ming-Lang"},{"family":"Sorooshian","given":"Shahryar"}],"issued":{"date-parts":[["2021"]]}}},{"id":3083,"uris":["http://zotero.org/users/local/Alzi7ROo/items/75IRLDPH"],"itemData":{"id":3083,"type":"article-journal","container-title":"Cogent Business &amp; Management","DOI":"10.1080/23311975.2020.1818408","ISSN":"2331-1975","issue":"1","journalAbbreviation":"Cogent Business &amp; Management","language":"en","page":"1818408","source":"DOI.org (Crossref)","title":"A systematic literature review on the benefit-drivers of RFID implementation in supply chains and its impact on organizational competitive advantage","volume":"7","author":[{"family":"Chanchaichujit","given":"Janya"},{"family":"Balasubramanian","given":"Sreejith"},{"family":"Charmaine","given":"Ng Si Min"}],"editor":[{"family":"Tan","given":"Albert W. K."}],"issued":{"date-parts":[["2020",1,1]]}}},{"id":3075,"uris":["http://zotero.org/users/local/Alzi7ROo/items/IXHSWCC3"],"itemData":{"id":3075,"type":"article-journal","container-title":"International Journal of Production Research","DOI":"10.1080/00207543.2018.1519264","ISSN":"0020-7543, 1366-588X","issue":"13","journalAbbreviation":"International Journal of Production Research","language":"en","page":"4166-4186","source":"DOI.org (Crossref)","title":"A feature fatigue supply chain game with cooperative programs and ad-hoc facilitators","volume":"57","author":[{"family":"De Giovanni","given":"Pietro"}],"issued":{"date-parts":[["2019",7,3]]}}},{"id":3073,"uris":["http://zotero.org/users/local/Alzi7ROo/items/JK65ARFL"],"itemData":{"id":3073,"type":"article-journal","abstract":"Purpose\n              This paper aims to analyze the benefits of the blockchain to the circular economy (CE), which is composed of both closed-loop supply chain (CLSC) systems and reverse omnichannel solutions. By ensuring transparency, traceability, visibility and security, the blockchain allows firms to acquire operational capabilities through a CLSC and service capabilities through a reverse omnichannel, which can boost business performance considerably. The related network of relationships can be reinforced by establishing incentives, which entail both smart contracts in the blockchain and active return approaches in CE.\n            \n            \n              Design/methodology/approach\n              After identifying the boundaries of the theoretical framework, several research hypotheses are developed according to the literature review and emerging gaps. These gaps link to the impact of the blockchain on CE systems (CLSC and reverse omnichannel), as well as the influence on business performance. The hypotheses are then tested using structural equation modeling and adopting a partial least squares-path modeling technique on a dataset composed of 157 firms. Finally, multigroup analysis is used to test the impact of incentives on the research hypotheses.\n            \n            \n              Findings\n              The blockchain facilitates a more efficient CE system, although reverse omnichannel solutions seldom bring any benefits to performance. The shift from a passive to an active return approach must be carefully evaluated. The CLSC network can benefit from an active return approach by developing appealing incentives for collectors and enhancing the positive effects of the blockchain. In contrast, consumer incentives can have detrimental effects on the blockchain. Various combinations of incentives can only bring a few business performance increases, while collector incentives are vital to reinforce the CE system's operational and service capabilities.\n            \n            \n              Originality/value\n              This paper takes a new approach toward the study of CE, which considers a dual circular system composed of a CLSC and a reverse omnichannel. The research explores whether the adoption of blockchain technology enables better return processes by improving the operations in CLSC and services in reverse omnichannel. Finally, this is the first empirical work to evaluate the benefits emerging from incentives, which can activate smart contracts in the blockchain and enable active return approaches in CE.","container-title":"International Journal of Operations &amp; Production Management","DOI":"10.1108/IJOPM-07-2021-0445","ISSN":"0144-3577","issue":"7","journalAbbreviation":"IJOPM","language":"en","page":"959-994","source":"DOI.org (Crossref)","title":"Leveraging the circular economy with a closed-loop supply chain and a reverse omnichannel using blockchain technology and incentives","volume":"42","author":[{"family":"De Giovanni","given":"Pietro"}],"issued":{"date-parts":[["2022",6,28]]}}},{"id":3082,"uris":["http://zotero.org/users/local/Alzi7ROo/items/CLLCTIG6"],"itemData":{"id":3082,"type":"chapter","container-title":"Blockchain Technology Applications in Businesses and Organizations","page":"43–72","publisher":"IGI Global","source":"Google Scholar","title":"Blockchain Adoption in the Winery Industry: The Case of Cantina Placido-Volpone","title-short":"Blockchain Adoption in the Winery Industry","URL":"https://www.igi-global.com/chapter/blockchain-adoption-in-the-winery-industry/294027","author":[{"family":"Prencipe","given":"Matteo Pio"},{"family":"V</w:instrText>
            </w:r>
            <w:r w:rsidR="00D926B3" w:rsidRPr="00337D42">
              <w:rPr>
                <w:rFonts w:eastAsia="新細明體"/>
                <w:sz w:val="20"/>
                <w:szCs w:val="20"/>
                <w:lang w:val="en-US" w:eastAsia="zh-TW"/>
              </w:rPr>
              <w:instrText xml:space="preserve">ishkaei","given":"Behzad Maleki"},{"family":"De Giovanni","given":"Pietro"}],"accessed":{"date-parts":[["2024",1,18]]},"issued":{"date-parts":[["2022"]]}}},{"id":3080,"uris":["http://zotero.org/users/local/Alzi7ROo/items/IAPHKYKL"],"itemData":{"id":3080,"type":"article-journal","container-title":"Sustainability","issue":"22","note":"publisher: MDPI","page":"15266","source":"Google Scholar","title":"The Impact of Digital Technologies on Company Restoration Time Following the COVID-19 Pandemic","volume":"14","author":[{"family":"Sammarco","given":"Giorgia"},{"family":"Ruzza","given":"Daniel"},{"family":"Maleki Vishkaei","given":"Behzad"},{"family":"De Giovanni","given":"Pietro"}],"issued":{"date-parts":[["2022"]]}}},{"id":3071,"uris":["http://zotero.org/users/local/Alzi7ROo/items/PD8N4N65"],"itemData":{"id":3071,"type":"article-journal","container-title":"Journal of Cleaner Production","note":"publisher: Elsevier","page":"663–676","source":"Google Scholar","title":"Toward sustainability: using big data to explore the decisive attributes of supply chain risks and uncertainties","title-short":"Toward sustainability","volume":"142","author":[{"family":"Wu","given":"Kuo-Jui"},{"family":"Liao","given":"Ching-Jong"},{"family":"Tseng","given":"Ming-Lang"},{"family":"Lim","given":"Ming K."},{"family":"Hu","given":"Jiayao"},{"family":"Tan","given":"Kimhua"}],"issued":{"date-parts":[["2017"]]}}}],"schema":"https://github.com/citation-style-language/schema/raw/master/csl-citation.json"} </w:instrText>
            </w:r>
            <w:r w:rsidRPr="00337D42">
              <w:rPr>
                <w:rFonts w:eastAsia="新細明體"/>
                <w:sz w:val="20"/>
                <w:szCs w:val="20"/>
                <w:lang w:val="en-US" w:eastAsia="zh-TW"/>
              </w:rPr>
              <w:fldChar w:fldCharType="separate"/>
            </w:r>
            <w:r w:rsidRPr="00337D42">
              <w:rPr>
                <w:rFonts w:eastAsia="新細明體"/>
                <w:sz w:val="20"/>
                <w:szCs w:val="20"/>
                <w:lang w:val="en-US" w:eastAsia="zh-TW"/>
              </w:rPr>
              <w:t>(Abideen et al., 2021; De Giovanni, 201</w:t>
            </w:r>
            <w:r w:rsidR="009E5A12" w:rsidRPr="00337D42">
              <w:rPr>
                <w:rFonts w:eastAsia="新細明體"/>
                <w:sz w:val="20"/>
                <w:szCs w:val="20"/>
                <w:lang w:val="en-US" w:eastAsia="zh-TW"/>
              </w:rPr>
              <w:t>8</w:t>
            </w:r>
            <w:r w:rsidRPr="00337D42">
              <w:rPr>
                <w:rFonts w:eastAsia="新細明體"/>
                <w:sz w:val="20"/>
                <w:szCs w:val="20"/>
                <w:lang w:val="en-US" w:eastAsia="zh-TW"/>
              </w:rPr>
              <w:t>; Prencipe et al., 202</w:t>
            </w:r>
            <w:r w:rsidR="004E354D" w:rsidRPr="00337D42">
              <w:rPr>
                <w:rFonts w:eastAsia="新細明體"/>
                <w:sz w:val="20"/>
                <w:szCs w:val="20"/>
                <w:lang w:val="en-US" w:eastAsia="zh-TW"/>
              </w:rPr>
              <w:t>1</w:t>
            </w:r>
            <w:r w:rsidRPr="00337D42">
              <w:rPr>
                <w:rFonts w:eastAsia="新細明體"/>
                <w:sz w:val="20"/>
                <w:szCs w:val="20"/>
                <w:lang w:val="en-US" w:eastAsia="zh-TW"/>
              </w:rPr>
              <w:t>)</w:t>
            </w:r>
            <w:r w:rsidRPr="00337D42">
              <w:rPr>
                <w:rFonts w:eastAsia="新細明體"/>
                <w:sz w:val="20"/>
                <w:szCs w:val="20"/>
                <w:lang w:val="en-US" w:eastAsia="zh-TW"/>
              </w:rPr>
              <w:fldChar w:fldCharType="end"/>
            </w:r>
          </w:p>
        </w:tc>
      </w:tr>
      <w:bookmarkEnd w:id="3"/>
      <w:tr w:rsidR="004A655A" w:rsidRPr="009A3785" w14:paraId="48D37947" w14:textId="77777777" w:rsidTr="00337D42">
        <w:trPr>
          <w:trHeight w:val="276"/>
        </w:trPr>
        <w:tc>
          <w:tcPr>
            <w:tcW w:w="893" w:type="pct"/>
            <w:vMerge w:val="restart"/>
            <w:vAlign w:val="center"/>
          </w:tcPr>
          <w:p w14:paraId="1A7FBD2C" w14:textId="12FB6F9B" w:rsidR="004A655A" w:rsidRPr="00337D42" w:rsidRDefault="004A655A" w:rsidP="00337D42">
            <w:pPr>
              <w:snapToGrid w:val="0"/>
              <w:spacing w:line="280" w:lineRule="exact"/>
              <w:jc w:val="both"/>
              <w:rPr>
                <w:sz w:val="20"/>
                <w:szCs w:val="20"/>
                <w:lang w:val="en-US"/>
              </w:rPr>
            </w:pPr>
            <w:r w:rsidRPr="00337D42">
              <w:rPr>
                <w:sz w:val="20"/>
                <w:szCs w:val="20"/>
                <w:lang w:val="en-US"/>
              </w:rPr>
              <w:t>Environmental Sustainability Initiatives(ESI)</w:t>
            </w:r>
          </w:p>
        </w:tc>
        <w:tc>
          <w:tcPr>
            <w:tcW w:w="1173" w:type="pct"/>
            <w:vMerge w:val="restart"/>
            <w:vAlign w:val="center"/>
          </w:tcPr>
          <w:p w14:paraId="6A8728C1" w14:textId="30EADA95" w:rsidR="004A655A" w:rsidRPr="00337D42" w:rsidRDefault="000342D7" w:rsidP="00337D42">
            <w:pPr>
              <w:snapToGrid w:val="0"/>
              <w:spacing w:line="280" w:lineRule="exact"/>
              <w:rPr>
                <w:sz w:val="20"/>
                <w:szCs w:val="20"/>
                <w:lang w:val="en-US"/>
              </w:rPr>
            </w:pPr>
            <w:r w:rsidRPr="00337D42">
              <w:rPr>
                <w:sz w:val="20"/>
                <w:szCs w:val="20"/>
                <w:lang w:val="en-US"/>
              </w:rPr>
              <w:t xml:space="preserve">The </w:t>
            </w:r>
            <w:r w:rsidR="00CF7C39" w:rsidRPr="00337D42">
              <w:rPr>
                <w:sz w:val="20"/>
                <w:szCs w:val="20"/>
                <w:lang w:val="en-US"/>
              </w:rPr>
              <w:t>company's</w:t>
            </w:r>
            <w:r w:rsidRPr="00337D42">
              <w:rPr>
                <w:sz w:val="20"/>
                <w:szCs w:val="20"/>
                <w:lang w:val="en-US"/>
              </w:rPr>
              <w:t xml:space="preserve"> efforts and activities aimed at reducing environmental impact and adopting a sustainable mode of resource utilization</w:t>
            </w:r>
          </w:p>
        </w:tc>
        <w:tc>
          <w:tcPr>
            <w:tcW w:w="560" w:type="pct"/>
            <w:vAlign w:val="center"/>
          </w:tcPr>
          <w:p w14:paraId="3188F729" w14:textId="33B965E7"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ESI 1</w:t>
            </w:r>
          </w:p>
        </w:tc>
        <w:tc>
          <w:tcPr>
            <w:tcW w:w="1070" w:type="pct"/>
            <w:vAlign w:val="center"/>
          </w:tcPr>
          <w:p w14:paraId="6E7E9FE1" w14:textId="28DCA368"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 xml:space="preserve">Reducing gas </w:t>
            </w:r>
            <w:r w:rsidR="005D402F" w:rsidRPr="00337D42">
              <w:rPr>
                <w:rFonts w:eastAsia="新細明體"/>
                <w:sz w:val="20"/>
                <w:szCs w:val="20"/>
                <w:lang w:val="en-US" w:eastAsia="zh-TW"/>
              </w:rPr>
              <w:t>emissions</w:t>
            </w:r>
          </w:p>
        </w:tc>
        <w:tc>
          <w:tcPr>
            <w:tcW w:w="1303" w:type="pct"/>
          </w:tcPr>
          <w:p w14:paraId="0AC87F97" w14:textId="77777777"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fldChar w:fldCharType="begin"/>
            </w:r>
            <w:r w:rsidRPr="00337D42">
              <w:rPr>
                <w:rFonts w:eastAsia="新細明體"/>
                <w:sz w:val="20"/>
                <w:szCs w:val="20"/>
                <w:lang w:val="en-US" w:eastAsia="zh-TW"/>
              </w:rPr>
              <w:instrText xml:space="preserve"> ADDIN ZOTERO_ITEM CSL_CITATION {"citationID":"QZYA1ixB","properties":{"formattedCitation":"(Rahman et al., 2017; Setiawan &amp; Iswati, 2019)","plainCitation":"(Rahman et al., 2017; Setiawan &amp; Iswati, 2019)","noteIndex":0},"citationItems":[{"id":3117,"uris":["http://zotero.org/users/local/Alzi7ROo/items/4XX6KPLI"],"itemData":{"id":3117,"type":"article-journal","container-title":"Renewable and Sustainable Energy Reviews","note":"publisher: Elsevier","page":"112–126","source":"Google Scholar","title":"Pollution to solution: Capture and sequestration of carbon dioxide (CO2) and its utilization as a renewable energy source for a sustainable future","title-short":"Pollution to solution","volume":"71","author":[{"family":"Rahman","given":"Farahiyah Abdul"},{"family":"Aziz","given":"Md Maniruzzaman A."},{"family":"Saidur","given":"R."},{"family":"Bakar","given":"Wan Azelee Wan Abu"},{"family":"Hainin","given":"M. R."},{"family":"Putrajaya","given":"Ramadhansyah"},{"family":"Hassan","given":"Norhidayah Abdul"}],"issued":{"date-parts":[["2017"]]}}},{"id":3119,"uris":["http://zotero.org/users/local/Alzi7ROo/items/UJ5TL5UZ"],"itemData":{"id":3119,"type":"article-journal","container-title":"Indonesian Journal of Susta</w:instrText>
            </w:r>
            <w:r w:rsidRPr="009B67B6">
              <w:rPr>
                <w:rFonts w:eastAsia="新細明體"/>
                <w:sz w:val="20"/>
                <w:szCs w:val="20"/>
                <w:lang w:val="en-US" w:eastAsia="zh-TW"/>
              </w:rPr>
              <w:instrText>ina</w:instrText>
            </w:r>
            <w:r w:rsidRPr="00337D42">
              <w:rPr>
                <w:rFonts w:eastAsia="新細明體"/>
                <w:sz w:val="20"/>
                <w:szCs w:val="20"/>
                <w:lang w:val="fr-FR" w:eastAsia="zh-TW"/>
              </w:rPr>
              <w:instrText>bility Accounting and Management","issue":"2","page"</w:instrText>
            </w:r>
            <w:r w:rsidRPr="00337D42">
              <w:rPr>
                <w:rFonts w:eastAsia="新細明體"/>
                <w:sz w:val="20"/>
                <w:szCs w:val="20"/>
                <w:lang w:val="en-US" w:eastAsia="zh-TW"/>
              </w:rPr>
              <w:instrText xml:space="preserve">:"215â–226","source":"Google Scholar","title":"Carbon emissions disclosure, environmental management system, and environmental performance: evidence from the plantation industries in indonesia","title-short":"Carbon emissions disclosure, environmental management system, and environmental performance","volume":"3","author":[{"family":"Setiawan","given":"Pikar"},{"family":"Iswati","given":"Sri"}],"issued":{"date-parts":[["2019"]]}}}],"schema":"https://github.com/citation-style-language/schema/raw/master/csl-citation.json"} </w:instrText>
            </w:r>
            <w:r w:rsidRPr="00337D42">
              <w:rPr>
                <w:rFonts w:eastAsia="新細明體"/>
                <w:sz w:val="20"/>
                <w:szCs w:val="20"/>
                <w:lang w:val="en-US" w:eastAsia="zh-TW"/>
              </w:rPr>
              <w:fldChar w:fldCharType="separate"/>
            </w:r>
            <w:r w:rsidRPr="00337D42">
              <w:rPr>
                <w:rFonts w:eastAsia="新細明體"/>
                <w:sz w:val="20"/>
                <w:szCs w:val="20"/>
                <w:lang w:val="en-US" w:eastAsia="zh-TW"/>
              </w:rPr>
              <w:t>(Rahman et al., 2017; Setiawan &amp; Iswati, 2019)</w:t>
            </w:r>
            <w:r w:rsidRPr="00337D42">
              <w:rPr>
                <w:rFonts w:eastAsia="新細明體"/>
                <w:sz w:val="20"/>
                <w:szCs w:val="20"/>
                <w:lang w:val="en-US" w:eastAsia="zh-TW"/>
              </w:rPr>
              <w:fldChar w:fldCharType="end"/>
            </w:r>
          </w:p>
        </w:tc>
      </w:tr>
      <w:tr w:rsidR="004A655A" w:rsidRPr="009A3785" w14:paraId="0E331028" w14:textId="77777777" w:rsidTr="00337D42">
        <w:trPr>
          <w:trHeight w:val="276"/>
        </w:trPr>
        <w:tc>
          <w:tcPr>
            <w:tcW w:w="893" w:type="pct"/>
            <w:vMerge/>
            <w:vAlign w:val="center"/>
          </w:tcPr>
          <w:p w14:paraId="73E0862F" w14:textId="77777777" w:rsidR="004A655A" w:rsidRPr="00337D42" w:rsidRDefault="004A655A" w:rsidP="00337D42">
            <w:pPr>
              <w:snapToGrid w:val="0"/>
              <w:spacing w:line="280" w:lineRule="exact"/>
              <w:jc w:val="both"/>
              <w:rPr>
                <w:sz w:val="20"/>
                <w:szCs w:val="20"/>
                <w:lang w:val="en-US"/>
              </w:rPr>
            </w:pPr>
          </w:p>
        </w:tc>
        <w:tc>
          <w:tcPr>
            <w:tcW w:w="1173" w:type="pct"/>
            <w:vMerge/>
            <w:vAlign w:val="center"/>
          </w:tcPr>
          <w:p w14:paraId="2352A315" w14:textId="77777777" w:rsidR="004A655A" w:rsidRPr="00337D42" w:rsidRDefault="004A655A" w:rsidP="00337D42">
            <w:pPr>
              <w:snapToGrid w:val="0"/>
              <w:spacing w:line="280" w:lineRule="exact"/>
              <w:rPr>
                <w:sz w:val="20"/>
                <w:szCs w:val="20"/>
                <w:lang w:val="en-US"/>
              </w:rPr>
            </w:pPr>
          </w:p>
        </w:tc>
        <w:tc>
          <w:tcPr>
            <w:tcW w:w="560" w:type="pct"/>
            <w:vAlign w:val="center"/>
          </w:tcPr>
          <w:p w14:paraId="0788C0C6" w14:textId="328E9764"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ESI 2</w:t>
            </w:r>
          </w:p>
        </w:tc>
        <w:tc>
          <w:tcPr>
            <w:tcW w:w="1070" w:type="pct"/>
            <w:vAlign w:val="center"/>
          </w:tcPr>
          <w:p w14:paraId="24581D9C" w14:textId="77777777"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Minimizing waste</w:t>
            </w:r>
          </w:p>
        </w:tc>
        <w:tc>
          <w:tcPr>
            <w:tcW w:w="1303" w:type="pct"/>
          </w:tcPr>
          <w:p w14:paraId="6374AD8E" w14:textId="2341FB0D"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fldChar w:fldCharType="begin"/>
            </w:r>
            <w:r w:rsidRPr="00337D42">
              <w:rPr>
                <w:rFonts w:eastAsia="新細明體"/>
                <w:sz w:val="20"/>
                <w:szCs w:val="20"/>
                <w:lang w:val="en-US" w:eastAsia="zh-TW"/>
              </w:rPr>
              <w:instrText xml:space="preserve"> ADDIN ZOTERO_ITEM CSL_CITATION {"citationID":"AFPVVkz1","properties":{"formattedCitation":"(Esposito et al., 2017)","plainCitation":"(Esposito et al., 2017)","noteIndex":0},"citationItems":[{"id":2713,"uris":["http://zotero.org/users/local/Alzi7ROo/items/GYF9SWC7"],"itemData":{"id":2713,"type":"article-journal","abstract":"The circular pathway, also called the “cradle‐to‐cradle” model, is more than just recycling and environmental concerns. It is about a new way of thinking how we could grow without resorting to just expending resources. Its rapid expansion, as a new norm for companies, has characteristics of a Fast Expanding Market, given its exponential growth. In this article, we examine how the circular model is pushing companies and entities to come up with disruptive technology and business models that are based on longevity, renewability, reuse, repair, upgrade, refurbishment, servitization, capacity sharing and dematerialization. © 2015 Wiley Periodicals, Inc.","container-title":"Thunderbird International Business Review","DOI":"10.1002/tie.21764","ISSN":"1096-4762, 1520-6874","issue":"1","journalAbbreviation":"Thunderbird Intl Bus Rev","language":"en","page":"9-14","source":"DOI.org (Crossref)","title":"Is the Circular Economy a New Fast‐Expanding Market?","volume":"59","author":[{"family":"Esposito","given":"Mark"},{"family":"Tse","given":"Terence"},{"family":"Soufani","given":"Khaled"}],"issued":{"date-parts":[["2017",1]]}}}],"schema":"https://github.com/citation-style-language/schema/raw/master/csl-citation.json"} </w:instrText>
            </w:r>
            <w:r w:rsidRPr="00337D42">
              <w:rPr>
                <w:rFonts w:eastAsia="新細明體"/>
                <w:sz w:val="20"/>
                <w:szCs w:val="20"/>
                <w:lang w:val="en-US" w:eastAsia="zh-TW"/>
              </w:rPr>
              <w:fldChar w:fldCharType="separate"/>
            </w:r>
            <w:r w:rsidRPr="00337D42">
              <w:rPr>
                <w:rFonts w:eastAsia="新細明體"/>
                <w:sz w:val="20"/>
                <w:szCs w:val="20"/>
                <w:lang w:val="en-US" w:eastAsia="zh-TW"/>
              </w:rPr>
              <w:t>(Esposito et al., 201</w:t>
            </w:r>
            <w:r w:rsidR="009E5A12" w:rsidRPr="00337D42">
              <w:rPr>
                <w:rFonts w:eastAsia="新細明體"/>
                <w:sz w:val="20"/>
                <w:szCs w:val="20"/>
                <w:lang w:val="en-US" w:eastAsia="zh-TW"/>
              </w:rPr>
              <w:t>5</w:t>
            </w:r>
            <w:r w:rsidRPr="00337D42">
              <w:rPr>
                <w:rFonts w:eastAsia="新細明體"/>
                <w:sz w:val="20"/>
                <w:szCs w:val="20"/>
                <w:lang w:val="en-US" w:eastAsia="zh-TW"/>
              </w:rPr>
              <w:t>)</w:t>
            </w:r>
            <w:r w:rsidRPr="00337D42">
              <w:rPr>
                <w:rFonts w:eastAsia="新細明體"/>
                <w:sz w:val="20"/>
                <w:szCs w:val="20"/>
                <w:lang w:val="en-US" w:eastAsia="zh-TW"/>
              </w:rPr>
              <w:fldChar w:fldCharType="end"/>
            </w:r>
          </w:p>
        </w:tc>
      </w:tr>
      <w:tr w:rsidR="004A655A" w:rsidRPr="009A3785" w14:paraId="5963B9C9" w14:textId="77777777" w:rsidTr="00337D42">
        <w:trPr>
          <w:trHeight w:val="276"/>
        </w:trPr>
        <w:tc>
          <w:tcPr>
            <w:tcW w:w="893" w:type="pct"/>
            <w:vMerge/>
            <w:vAlign w:val="center"/>
          </w:tcPr>
          <w:p w14:paraId="57FF93C4" w14:textId="77777777" w:rsidR="004A655A" w:rsidRPr="00337D42" w:rsidRDefault="004A655A" w:rsidP="00337D42">
            <w:pPr>
              <w:snapToGrid w:val="0"/>
              <w:spacing w:line="280" w:lineRule="exact"/>
              <w:jc w:val="both"/>
              <w:rPr>
                <w:sz w:val="20"/>
                <w:szCs w:val="20"/>
                <w:lang w:val="en-US"/>
              </w:rPr>
            </w:pPr>
          </w:p>
        </w:tc>
        <w:tc>
          <w:tcPr>
            <w:tcW w:w="1173" w:type="pct"/>
            <w:vMerge/>
            <w:vAlign w:val="center"/>
          </w:tcPr>
          <w:p w14:paraId="20E1166F" w14:textId="77777777" w:rsidR="004A655A" w:rsidRPr="00337D42" w:rsidRDefault="004A655A" w:rsidP="00337D42">
            <w:pPr>
              <w:snapToGrid w:val="0"/>
              <w:spacing w:line="280" w:lineRule="exact"/>
              <w:rPr>
                <w:sz w:val="20"/>
                <w:szCs w:val="20"/>
                <w:lang w:val="en-US"/>
              </w:rPr>
            </w:pPr>
          </w:p>
        </w:tc>
        <w:tc>
          <w:tcPr>
            <w:tcW w:w="560" w:type="pct"/>
            <w:vAlign w:val="center"/>
          </w:tcPr>
          <w:p w14:paraId="02D499C1" w14:textId="3F9A6352"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ESI 3</w:t>
            </w:r>
          </w:p>
        </w:tc>
        <w:tc>
          <w:tcPr>
            <w:tcW w:w="1070" w:type="pct"/>
            <w:vAlign w:val="center"/>
          </w:tcPr>
          <w:p w14:paraId="311B2288" w14:textId="77777777"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Minimizing the use of virgin input material</w:t>
            </w:r>
          </w:p>
        </w:tc>
        <w:tc>
          <w:tcPr>
            <w:tcW w:w="1303" w:type="pct"/>
          </w:tcPr>
          <w:p w14:paraId="790895B2" w14:textId="77777777"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fldChar w:fldCharType="begin"/>
            </w:r>
            <w:r w:rsidRPr="00337D42">
              <w:rPr>
                <w:rFonts w:eastAsia="新細明體"/>
                <w:sz w:val="20"/>
                <w:szCs w:val="20"/>
                <w:lang w:val="en-US" w:eastAsia="zh-TW"/>
              </w:rPr>
              <w:instrText xml:space="preserve"> ADDIN ZOTERO_ITEM CSL_CITATION {"citationID":"n07ipmjt","properties":{"formattedCitation":"(Patricio et al., 2018)","plainCitation":"(Patricio et al., 2018)","noteIndex":0},"citationItems":[{"id":1212,"uris":["http://zotero.org/users/local/Alzi7ROo/items/WKC3ZMHM"],"itemData":{"id":1212,"type":"article-journal","abstract":"Small and Medium Enterprises make up the vast majority of the businesses within the European Union, and are consequently important contributors to local and regional well-being. Nevertheless, Small and Medium Enterprises face many challenges when it comes to fostering innovation and improving environmental performance as part of their day-to-day activities. In parallel, the global consumption of raw materials is increasing, which makes it necessary to define and establish strategies to reduce the amount of, and dependence on, raw material extraction and imports, whilst also improving the sustainability of SMEs. In this context it is essential to promote circular economy strategies, such as industrial symbiosis partnerships, where companies use the waste products of other industries as raw materials. To achieve this, there is a need to find enablers to support industrial symbiosis collaborations among SMEs. These could include regional developers and local authorities. The aims of this study are to investigate whether industrial symbiosis is already a common practice within SMEs in the Västra Götaland Region of Sweden, as well as identifying barriers and motivations for partnerships. For this purpose, case studies of two industries were carried out: beer production and mushroom farming. Information was collected using on-site visits and semi-structured interviews, and the key findings where combined with a literature review, then used to propose new industrial symbiosis opportunities. The results show that industrial symbiosis is already used by some of the beer and mushroom producers. Economic gains and better environmental performance were presented as the main motivations for the companies to be involved in these partnerships. Nevertheless, industrial symbiosis could be extended to also include those companies that do not yet share their waste, mostly due to a lack of time or knowledge. Consequently, the study suggests potential industrial symbiosis partnerships that could be implemented within a short period of time, and be used by the local authorities to help SMEs to achieve circularity of wastes. Future work considers the dissemination of the results among SMEs as well as apply the approach to other types of industries operating in the region to identify additional IS potential partnerships. © 2018 Elsevier Ltd","container-title":"Journal of Cleaner Production","DOI":"10.1016/j.jclepro.2018.07.230","ISSN":"09596526","language":"English","note":"publisher: Elsevier Ltd\ntype: Article","page":"1120 – 1130","title":"Enabling industrial symbiosis collaborations between SMEs from a regional perspective","volume":"202","author":[{"family":"Patricio","given":"Joao"},{"family":"Axelsson","given":"Lovisa"},{"family":"Blomé","given":"Simon"},{"family":"Rosado","given":"Leonardo"}],"issued":{"date-parts":[["2018"]]}}}],"schema":"https://github.com/citation-style-language/schema/raw/master/csl-citation.json"} </w:instrText>
            </w:r>
            <w:r w:rsidRPr="00337D42">
              <w:rPr>
                <w:rFonts w:eastAsia="新細明體"/>
                <w:sz w:val="20"/>
                <w:szCs w:val="20"/>
                <w:lang w:val="en-US" w:eastAsia="zh-TW"/>
              </w:rPr>
              <w:fldChar w:fldCharType="separate"/>
            </w:r>
            <w:r w:rsidRPr="00337D42">
              <w:rPr>
                <w:rFonts w:eastAsia="新細明體"/>
                <w:sz w:val="20"/>
                <w:szCs w:val="20"/>
                <w:lang w:val="en-US" w:eastAsia="zh-TW"/>
              </w:rPr>
              <w:t>(Patricio et al., 2018)</w:t>
            </w:r>
            <w:r w:rsidRPr="00337D42">
              <w:rPr>
                <w:rFonts w:eastAsia="新細明體"/>
                <w:sz w:val="20"/>
                <w:szCs w:val="20"/>
                <w:lang w:val="en-US" w:eastAsia="zh-TW"/>
              </w:rPr>
              <w:fldChar w:fldCharType="end"/>
            </w:r>
          </w:p>
        </w:tc>
      </w:tr>
      <w:tr w:rsidR="004A655A" w:rsidRPr="00D5378F" w14:paraId="70675FF8" w14:textId="77777777" w:rsidTr="00337D42">
        <w:trPr>
          <w:trHeight w:val="276"/>
        </w:trPr>
        <w:tc>
          <w:tcPr>
            <w:tcW w:w="893" w:type="pct"/>
            <w:vMerge/>
            <w:tcBorders>
              <w:bottom w:val="single" w:sz="4" w:space="0" w:color="auto"/>
            </w:tcBorders>
            <w:vAlign w:val="center"/>
          </w:tcPr>
          <w:p w14:paraId="61DB320E" w14:textId="77777777" w:rsidR="004A655A" w:rsidRPr="00337D42" w:rsidRDefault="004A655A" w:rsidP="00337D42">
            <w:pPr>
              <w:snapToGrid w:val="0"/>
              <w:spacing w:line="280" w:lineRule="exact"/>
              <w:jc w:val="both"/>
              <w:rPr>
                <w:sz w:val="20"/>
                <w:szCs w:val="20"/>
                <w:lang w:val="en-US"/>
              </w:rPr>
            </w:pPr>
          </w:p>
        </w:tc>
        <w:tc>
          <w:tcPr>
            <w:tcW w:w="1173" w:type="pct"/>
            <w:vMerge/>
            <w:tcBorders>
              <w:bottom w:val="single" w:sz="4" w:space="0" w:color="auto"/>
            </w:tcBorders>
            <w:vAlign w:val="center"/>
          </w:tcPr>
          <w:p w14:paraId="53459658" w14:textId="77777777" w:rsidR="004A655A" w:rsidRPr="00337D42" w:rsidRDefault="004A655A" w:rsidP="00337D42">
            <w:pPr>
              <w:snapToGrid w:val="0"/>
              <w:spacing w:line="280" w:lineRule="exact"/>
              <w:rPr>
                <w:sz w:val="20"/>
                <w:szCs w:val="20"/>
                <w:lang w:val="en-US"/>
              </w:rPr>
            </w:pPr>
          </w:p>
        </w:tc>
        <w:tc>
          <w:tcPr>
            <w:tcW w:w="560" w:type="pct"/>
            <w:tcBorders>
              <w:bottom w:val="single" w:sz="4" w:space="0" w:color="auto"/>
            </w:tcBorders>
            <w:vAlign w:val="center"/>
          </w:tcPr>
          <w:p w14:paraId="311C1B5A" w14:textId="1D61FD78"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ESI 4</w:t>
            </w:r>
          </w:p>
        </w:tc>
        <w:tc>
          <w:tcPr>
            <w:tcW w:w="1070" w:type="pct"/>
            <w:tcBorders>
              <w:bottom w:val="single" w:sz="4" w:space="0" w:color="auto"/>
            </w:tcBorders>
            <w:vAlign w:val="center"/>
          </w:tcPr>
          <w:p w14:paraId="1E52247D" w14:textId="77777777"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Reducing the use of hazardous/toxic materials</w:t>
            </w:r>
          </w:p>
        </w:tc>
        <w:tc>
          <w:tcPr>
            <w:tcW w:w="1303" w:type="pct"/>
            <w:tcBorders>
              <w:bottom w:val="single" w:sz="4" w:space="0" w:color="auto"/>
            </w:tcBorders>
          </w:tcPr>
          <w:p w14:paraId="504E8C40" w14:textId="77777777" w:rsidR="004A655A" w:rsidRPr="00337D42" w:rsidRDefault="004A655A" w:rsidP="00337D42">
            <w:pPr>
              <w:snapToGrid w:val="0"/>
              <w:spacing w:line="280" w:lineRule="exact"/>
              <w:jc w:val="center"/>
              <w:rPr>
                <w:rFonts w:eastAsia="新細明體"/>
                <w:sz w:val="20"/>
                <w:szCs w:val="20"/>
                <w:lang w:val="fr-FR" w:eastAsia="zh-TW"/>
              </w:rPr>
            </w:pPr>
            <w:r w:rsidRPr="00337D42">
              <w:rPr>
                <w:rFonts w:eastAsia="新細明體"/>
                <w:sz w:val="20"/>
                <w:szCs w:val="20"/>
                <w:lang w:val="en-US" w:eastAsia="zh-TW"/>
              </w:rPr>
              <w:fldChar w:fldCharType="begin"/>
            </w:r>
            <w:r w:rsidRPr="00781025">
              <w:rPr>
                <w:rFonts w:eastAsia="新細明體"/>
                <w:sz w:val="20"/>
                <w:szCs w:val="20"/>
                <w:lang w:val="fr-FR" w:eastAsia="zh-TW"/>
              </w:rPr>
              <w:instrText xml:space="preserve"> ADDIN ZOTERO_ITEM CSL_CITATION {"citationID":"MfG7mYUF","properties":{"formattedCitation":"(Parvin et al., 2020; Shaw et al., 2010)","plainCitation":"(Parvin et al., 2020; Shaw et al., 2010)","noteIndex":0},"citationItems":[{"id":3090,"uris":["http://zotero.org/users/local/Alzi7ROo/items/KB64LGS5"],"itemData":{"id":3090,"type":"article-journal","container-title":"Biomed. J. Sci. Tech. Res","page":"21831–21844","source":"Google Scholar","title":"A study on the solutions of environment pollutions and worker’s health problems caused by textile manufacturing operations","volume":"28","author":[{"family":"Parvin","given":"Forida"},{"family":"Islam","given":"Shariful"},{"family":"Akm","given":"Saiful Islam"},{"family":"Urmy","given":"Zakia"},{"family":"Ahmed","given":"Shaharia"}],"issued":{"date-parts":[["2020"]]}}},{"id":3092,"uris":["http://zotero.org/users/local/Alzi7ROo/items/GCYSEZ9P"],"itemData":{"id":3092,"type":"article-journal","container-title":"Benchmarking: An International Journal","issue":"3","note":"publisher: Emerald Group Publishing Limited","page":"320–339","source":"Google Scholar","title":"Developing environmental supply chain performance measures","volume":"17","author":[{"family":"Shaw","given":"Sarah"},{"family":"Grant","given":"David B."},{"family":"Mangan","given":"John"}],"issued":{"date-parts":[["2010"]]}}}],"schema":"https://github.com/citation-style-language/schema/raw/mas</w:instrText>
            </w:r>
            <w:r w:rsidRPr="00337D42">
              <w:rPr>
                <w:rFonts w:eastAsia="新細明體"/>
                <w:sz w:val="20"/>
                <w:szCs w:val="20"/>
                <w:lang w:val="fr-FR" w:eastAsia="zh-TW"/>
              </w:rPr>
              <w:instrText xml:space="preserve">ter/csl-citation.json"} </w:instrText>
            </w:r>
            <w:r w:rsidRPr="00337D42">
              <w:rPr>
                <w:rFonts w:eastAsia="新細明體"/>
                <w:sz w:val="20"/>
                <w:szCs w:val="20"/>
                <w:lang w:val="en-US" w:eastAsia="zh-TW"/>
              </w:rPr>
              <w:fldChar w:fldCharType="separate"/>
            </w:r>
            <w:r w:rsidRPr="00337D42">
              <w:rPr>
                <w:rFonts w:eastAsia="新細明體"/>
                <w:sz w:val="20"/>
                <w:szCs w:val="20"/>
                <w:lang w:val="fr-FR" w:eastAsia="zh-TW"/>
              </w:rPr>
              <w:t>(Parvin et al., 2020; Shaw et al., 2010)</w:t>
            </w:r>
            <w:r w:rsidRPr="00337D42">
              <w:rPr>
                <w:rFonts w:eastAsia="新細明體"/>
                <w:sz w:val="20"/>
                <w:szCs w:val="20"/>
                <w:lang w:val="en-US" w:eastAsia="zh-TW"/>
              </w:rPr>
              <w:fldChar w:fldCharType="end"/>
            </w:r>
          </w:p>
        </w:tc>
      </w:tr>
      <w:tr w:rsidR="004A655A" w:rsidRPr="009A3785" w14:paraId="6A20E193" w14:textId="77777777" w:rsidTr="00337D42">
        <w:trPr>
          <w:trHeight w:val="368"/>
        </w:trPr>
        <w:tc>
          <w:tcPr>
            <w:tcW w:w="893" w:type="pct"/>
            <w:vMerge w:val="restart"/>
            <w:tcBorders>
              <w:top w:val="single" w:sz="4" w:space="0" w:color="auto"/>
              <w:bottom w:val="single" w:sz="4" w:space="0" w:color="auto"/>
            </w:tcBorders>
            <w:vAlign w:val="center"/>
          </w:tcPr>
          <w:p w14:paraId="21EE57BB" w14:textId="5584F5E9" w:rsidR="004A655A" w:rsidRPr="00337D42" w:rsidRDefault="004A655A" w:rsidP="00337D42">
            <w:pPr>
              <w:snapToGrid w:val="0"/>
              <w:spacing w:line="280" w:lineRule="exact"/>
              <w:jc w:val="both"/>
              <w:rPr>
                <w:sz w:val="20"/>
                <w:szCs w:val="20"/>
                <w:lang w:val="en-US"/>
              </w:rPr>
            </w:pPr>
            <w:r w:rsidRPr="00337D42">
              <w:rPr>
                <w:sz w:val="20"/>
                <w:szCs w:val="20"/>
                <w:lang w:val="en-US"/>
              </w:rPr>
              <w:t>Economic Growth (EG)</w:t>
            </w:r>
          </w:p>
        </w:tc>
        <w:tc>
          <w:tcPr>
            <w:tcW w:w="1173" w:type="pct"/>
            <w:vMerge w:val="restart"/>
            <w:tcBorders>
              <w:top w:val="single" w:sz="4" w:space="0" w:color="auto"/>
              <w:bottom w:val="single" w:sz="4" w:space="0" w:color="auto"/>
            </w:tcBorders>
            <w:vAlign w:val="center"/>
          </w:tcPr>
          <w:p w14:paraId="3F2159FB" w14:textId="48794D76" w:rsidR="004A655A" w:rsidRPr="00337D42" w:rsidRDefault="00CA79A8" w:rsidP="00337D42">
            <w:pPr>
              <w:snapToGrid w:val="0"/>
              <w:spacing w:line="280" w:lineRule="exact"/>
              <w:rPr>
                <w:sz w:val="20"/>
                <w:szCs w:val="20"/>
                <w:lang w:val="en-US"/>
              </w:rPr>
            </w:pPr>
            <w:r w:rsidRPr="00337D42">
              <w:rPr>
                <w:sz w:val="20"/>
                <w:szCs w:val="20"/>
                <w:lang w:val="en-US"/>
              </w:rPr>
              <w:t>A multidimensional representation of the textile industry's economic advancement, shaped by key sectoral improvements that indicate enhanced performance, competitiveness, and contribution to the national economy</w:t>
            </w:r>
          </w:p>
        </w:tc>
        <w:tc>
          <w:tcPr>
            <w:tcW w:w="560" w:type="pct"/>
            <w:tcBorders>
              <w:top w:val="single" w:sz="4" w:space="0" w:color="auto"/>
              <w:bottom w:val="single" w:sz="4" w:space="0" w:color="auto"/>
            </w:tcBorders>
            <w:vAlign w:val="center"/>
          </w:tcPr>
          <w:p w14:paraId="4FA85D40" w14:textId="38520F4A"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EG 1</w:t>
            </w:r>
          </w:p>
        </w:tc>
        <w:tc>
          <w:tcPr>
            <w:tcW w:w="1070" w:type="pct"/>
            <w:tcBorders>
              <w:top w:val="single" w:sz="4" w:space="0" w:color="auto"/>
              <w:bottom w:val="single" w:sz="4" w:space="0" w:color="auto"/>
            </w:tcBorders>
            <w:vAlign w:val="center"/>
          </w:tcPr>
          <w:p w14:paraId="090E428F" w14:textId="77777777"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Employment</w:t>
            </w:r>
          </w:p>
        </w:tc>
        <w:tc>
          <w:tcPr>
            <w:tcW w:w="1303" w:type="pct"/>
            <w:tcBorders>
              <w:top w:val="single" w:sz="4" w:space="0" w:color="auto"/>
              <w:bottom w:val="single" w:sz="4" w:space="0" w:color="auto"/>
            </w:tcBorders>
          </w:tcPr>
          <w:p w14:paraId="031C276B" w14:textId="77777777"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fldChar w:fldCharType="begin"/>
            </w:r>
            <w:r w:rsidRPr="00337D42">
              <w:rPr>
                <w:rFonts w:eastAsia="新細明體"/>
                <w:sz w:val="20"/>
                <w:szCs w:val="20"/>
                <w:lang w:val="en-US" w:eastAsia="zh-TW"/>
              </w:rPr>
              <w:instrText xml:space="preserve"> ADDIN ZOTERO_ITEM CSL_CITATION {"citationID":"C6TcMdGm","properties":{"formattedCitation":"(Mitchell &amp; James, 2015)","plainCitation":"(Mitchell &amp; James, 2015)","noteIndex":0},"citationItems":[{"id":3011,"uris":["http://zotero.org/users/local/Alzi7ROo/items/4E4HH8KR"],"itemData":{"id":3011,"type":"article-journal","DOI":"10.13140/RG.2.1.3516.8725","language":"en","note":"publisher: Unpublished","source":"DOI.org (Datacite)","title":"ECONOMIC GROWTH POTENTIAL OF MORE CIRCULAR ECONOMIES","URL":"http://rgdoi.net/10.13140/RG.2.1.3516.8725","author":[{"family":"Mitchell","given":"Peter"},{"family":"James","given":"Keith"}],"accessed":{"date-parts":[["2024",1,17]]},"issued":{"date-parts":[["2015"]]}}}],"schema":"https://github.com/citation-style-language/schema/raw/master/csl-citation.json"} </w:instrText>
            </w:r>
            <w:r w:rsidRPr="00337D42">
              <w:rPr>
                <w:rFonts w:eastAsia="新細明體"/>
                <w:sz w:val="20"/>
                <w:szCs w:val="20"/>
                <w:lang w:val="en-US" w:eastAsia="zh-TW"/>
              </w:rPr>
              <w:fldChar w:fldCharType="separate"/>
            </w:r>
            <w:r w:rsidRPr="00337D42">
              <w:rPr>
                <w:rFonts w:eastAsia="新細明體"/>
                <w:sz w:val="20"/>
                <w:szCs w:val="20"/>
                <w:lang w:val="en-US" w:eastAsia="zh-TW"/>
              </w:rPr>
              <w:t>(Mitchell &amp; James, 2015)</w:t>
            </w:r>
            <w:r w:rsidRPr="00337D42">
              <w:rPr>
                <w:rFonts w:eastAsia="新細明體"/>
                <w:sz w:val="20"/>
                <w:szCs w:val="20"/>
                <w:lang w:val="en-US" w:eastAsia="zh-TW"/>
              </w:rPr>
              <w:fldChar w:fldCharType="end"/>
            </w:r>
          </w:p>
        </w:tc>
      </w:tr>
      <w:tr w:rsidR="004A655A" w:rsidRPr="009A3785" w14:paraId="4CF78CED" w14:textId="77777777" w:rsidTr="00337D42">
        <w:trPr>
          <w:trHeight w:val="368"/>
        </w:trPr>
        <w:tc>
          <w:tcPr>
            <w:tcW w:w="893" w:type="pct"/>
            <w:vMerge/>
            <w:tcBorders>
              <w:top w:val="single" w:sz="4" w:space="0" w:color="auto"/>
              <w:bottom w:val="single" w:sz="4" w:space="0" w:color="auto"/>
            </w:tcBorders>
          </w:tcPr>
          <w:p w14:paraId="0A7ABCF8" w14:textId="77777777" w:rsidR="004A655A" w:rsidRPr="00337D42" w:rsidRDefault="004A655A" w:rsidP="00337D42">
            <w:pPr>
              <w:snapToGrid w:val="0"/>
              <w:spacing w:line="280" w:lineRule="exact"/>
              <w:jc w:val="center"/>
              <w:rPr>
                <w:rFonts w:eastAsia="新細明體"/>
                <w:sz w:val="20"/>
                <w:szCs w:val="20"/>
                <w:lang w:val="en-US" w:eastAsia="zh-TW"/>
              </w:rPr>
            </w:pPr>
          </w:p>
        </w:tc>
        <w:tc>
          <w:tcPr>
            <w:tcW w:w="1173" w:type="pct"/>
            <w:vMerge/>
            <w:tcBorders>
              <w:top w:val="single" w:sz="4" w:space="0" w:color="auto"/>
              <w:bottom w:val="single" w:sz="4" w:space="0" w:color="auto"/>
            </w:tcBorders>
          </w:tcPr>
          <w:p w14:paraId="67ABA9A2" w14:textId="77777777" w:rsidR="004A655A" w:rsidRPr="00337D42" w:rsidRDefault="004A655A" w:rsidP="00337D42">
            <w:pPr>
              <w:snapToGrid w:val="0"/>
              <w:spacing w:line="280" w:lineRule="exact"/>
              <w:jc w:val="center"/>
              <w:rPr>
                <w:rFonts w:eastAsia="新細明體"/>
                <w:sz w:val="20"/>
                <w:szCs w:val="20"/>
                <w:lang w:val="en-US" w:eastAsia="zh-TW"/>
              </w:rPr>
            </w:pPr>
          </w:p>
        </w:tc>
        <w:tc>
          <w:tcPr>
            <w:tcW w:w="560" w:type="pct"/>
            <w:tcBorders>
              <w:top w:val="single" w:sz="4" w:space="0" w:color="auto"/>
              <w:bottom w:val="single" w:sz="4" w:space="0" w:color="auto"/>
            </w:tcBorders>
            <w:vAlign w:val="center"/>
          </w:tcPr>
          <w:p w14:paraId="21B0242D" w14:textId="5876FBED"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EG 2</w:t>
            </w:r>
          </w:p>
        </w:tc>
        <w:tc>
          <w:tcPr>
            <w:tcW w:w="1070" w:type="pct"/>
            <w:tcBorders>
              <w:top w:val="single" w:sz="4" w:space="0" w:color="auto"/>
              <w:bottom w:val="single" w:sz="4" w:space="0" w:color="auto"/>
            </w:tcBorders>
            <w:vAlign w:val="center"/>
          </w:tcPr>
          <w:p w14:paraId="7D68A105" w14:textId="77777777"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Research and development</w:t>
            </w:r>
          </w:p>
        </w:tc>
        <w:tc>
          <w:tcPr>
            <w:tcW w:w="1303" w:type="pct"/>
            <w:tcBorders>
              <w:top w:val="single" w:sz="4" w:space="0" w:color="auto"/>
              <w:bottom w:val="single" w:sz="4" w:space="0" w:color="auto"/>
            </w:tcBorders>
          </w:tcPr>
          <w:p w14:paraId="31F63261" w14:textId="6A27A49E"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fldChar w:fldCharType="begin"/>
            </w:r>
            <w:r w:rsidRPr="00337D42">
              <w:rPr>
                <w:rFonts w:eastAsia="新細明體"/>
                <w:sz w:val="20"/>
                <w:szCs w:val="20"/>
                <w:lang w:val="en-US" w:eastAsia="zh-TW"/>
              </w:rPr>
              <w:instrText xml:space="preserve"> ADDIN ZOTERO_ITEM CSL_CITATION {"citationID":"TTVuegtX","properties":{"formattedCitation":"(Kirkwood &amp; Walton, 2014; Kusi-Sarpong et al., 2015; Stec &amp; Zwolinski, 2018)","plainCitation":"(Kirkwood &amp; Walton, 2014; Kusi-Sarpong et al., 2015; Stec &amp; Zwolinski, 2018)","dontUpdate":true,"noteIndex":0},"citationItems":[{"id":3224,"uris":["http://zotero.org/users/local/Alzi7ROo/items/QRD524QV"],"itemData":{"id":3224,"type":"article-journal","container-title":"Australasian Journal of Environmental Management","DOI":"10.1080/14486563.2014.880384","ISSN":"1448-6563, 2159-5356","issue":"1","journalAbbreviation":"Australasian Journal of Environmental Management","language":"en","page":"37-51","source":"DOI.org (Crossref)","title":"How green is green? Ecopreneurs balancing environmental concerns and business goals","title-short":"How green is green?","volume":"21","author":[{"family":"Kirkwood","given":"J."},{"family":"Walton","given":"S."}],"issued":{"date-parts":[["2014",1,2]]}}},{"id":3225,"uris":["http://zotero.org/users/local/Alzi7ROo/items/FFYZKTBL"],"itemData":{"id":3225,"type":"article-journal","container-title":"Resources Policy","note":"publisher: Elsevier","page":"86–100","source":"Google Scholar","title":"Green supply chain practices evaluation in the mining industry using a joint rough sets and fuzzy TOPSIS methodology","volume":"46","author":[{"family":"Kusi-Sarpong","given":"Simonov"},{"family":"Bai","given":"Chunguang"},{"family":"Sarkis","given":"Joseph"},{"family":"Wang","given":"Xuping"}],"issued":{"date-parts":[["2015"]]}}},{"id":3222,"uris":["http://zotero.org/users/local/Alzi7ROo/items/TVTSLQ48"],"itemData":{"id":3222,"type":"article-journal","container-title":"Procedia CIRP","note":"publisher: Elsevier","page":"805–809","source":"Google Scholar","title":"Using values management for shifting companies to circular economy","volume":"69","author":[{"family":"Stec","given":"Tomasz"},{"family":"Zwolinski","given":"Peggy"}],"issued":{"date-parts":[["2018"]]}}}],"schema":"https://github.com/citation-style-language/schema/raw/master/csl-citation.json"} </w:instrText>
            </w:r>
            <w:r w:rsidR="00E026E5">
              <w:rPr>
                <w:rFonts w:eastAsia="新細明體"/>
                <w:sz w:val="20"/>
                <w:szCs w:val="20"/>
                <w:lang w:val="en-US" w:eastAsia="zh-TW"/>
              </w:rPr>
              <w:fldChar w:fldCharType="separate"/>
            </w:r>
            <w:r w:rsidRPr="00337D42">
              <w:rPr>
                <w:rFonts w:eastAsia="新細明體"/>
                <w:sz w:val="20"/>
                <w:szCs w:val="20"/>
                <w:lang w:val="en-US" w:eastAsia="zh-TW"/>
              </w:rPr>
              <w:fldChar w:fldCharType="end"/>
            </w:r>
            <w:r w:rsidRPr="00337D42">
              <w:rPr>
                <w:rFonts w:eastAsia="新細明體"/>
                <w:sz w:val="20"/>
                <w:szCs w:val="20"/>
                <w:lang w:val="en-US" w:eastAsia="zh-TW"/>
              </w:rPr>
              <w:t xml:space="preserve"> </w:t>
            </w:r>
            <w:r w:rsidRPr="00337D42">
              <w:rPr>
                <w:rFonts w:eastAsia="新細明體"/>
                <w:sz w:val="20"/>
                <w:szCs w:val="20"/>
                <w:lang w:val="en-US" w:eastAsia="zh-TW"/>
              </w:rPr>
              <w:fldChar w:fldCharType="begin"/>
            </w:r>
            <w:r w:rsidRPr="00337D42">
              <w:rPr>
                <w:rFonts w:eastAsia="新細明體"/>
                <w:sz w:val="20"/>
                <w:szCs w:val="20"/>
                <w:lang w:val="en-US" w:eastAsia="zh-TW"/>
              </w:rPr>
              <w:instrText xml:space="preserve"> ADDIN ZOTERO_ITEM CSL_CITATION {"citationID":"T2EL1u69","properties":{"formattedCitation":"(Flachenecker &amp; Kornejew, 2019)","plainCitation":"(Flachenecker &amp; Kornejew, 2019)","noteIndex":0},"citationItems":[{"id":3096,"uris":["http://zotero.org/users/local/Alzi7ROo/items/WTUJX5NS"],"itemData":{"id":3096,"type":"article-journal","container-title":"Environmental Economics and Policy Studies","DOI":"10.1007/s10018-018-0223-z","ISSN":"1432-847X, 1867-383X","issue":"1","journalAbbreviation":"Environ Econ Policy Stud","language":"en","page":"87-122","source":"DOI.org (Crossref)","title":"The causal impact of material productivity on microeconomic competitiveness and environmental performance in the European Union","volume":"21","author":[{"family":"Flachenecker","given":"Florian"},{"family":"Kornejew","given":"Martin"}],"issued":{"date-parts":[["2019",1]]}}}],"schema":"https://github.com/citation-style-language/schema/raw/master/csl-citation.json"} </w:instrText>
            </w:r>
            <w:r w:rsidRPr="00337D42">
              <w:rPr>
                <w:rFonts w:eastAsia="新細明體"/>
                <w:sz w:val="20"/>
                <w:szCs w:val="20"/>
                <w:lang w:val="en-US" w:eastAsia="zh-TW"/>
              </w:rPr>
              <w:fldChar w:fldCharType="separate"/>
            </w:r>
            <w:r w:rsidRPr="00337D42">
              <w:rPr>
                <w:rFonts w:eastAsia="新細明體"/>
                <w:sz w:val="20"/>
                <w:szCs w:val="20"/>
                <w:lang w:val="en-US" w:eastAsia="zh-TW"/>
              </w:rPr>
              <w:t>(Flachenecker &amp; Kornejew, 201</w:t>
            </w:r>
            <w:r w:rsidR="0083484C" w:rsidRPr="00337D42">
              <w:rPr>
                <w:rFonts w:eastAsia="新細明體"/>
                <w:sz w:val="20"/>
                <w:szCs w:val="20"/>
                <w:lang w:val="en-US" w:eastAsia="zh-TW"/>
              </w:rPr>
              <w:t>8</w:t>
            </w:r>
            <w:r w:rsidRPr="00337D42">
              <w:rPr>
                <w:rFonts w:eastAsia="新細明體"/>
                <w:sz w:val="20"/>
                <w:szCs w:val="20"/>
                <w:lang w:val="en-US" w:eastAsia="zh-TW"/>
              </w:rPr>
              <w:t>)</w:t>
            </w:r>
            <w:r w:rsidRPr="00337D42">
              <w:rPr>
                <w:rFonts w:eastAsia="新細明體"/>
                <w:sz w:val="20"/>
                <w:szCs w:val="20"/>
                <w:lang w:val="en-US" w:eastAsia="zh-TW"/>
              </w:rPr>
              <w:fldChar w:fldCharType="end"/>
            </w:r>
          </w:p>
        </w:tc>
      </w:tr>
      <w:tr w:rsidR="004A655A" w:rsidRPr="009A3785" w14:paraId="50EFBAC8" w14:textId="77777777" w:rsidTr="00337D42">
        <w:trPr>
          <w:trHeight w:val="368"/>
        </w:trPr>
        <w:tc>
          <w:tcPr>
            <w:tcW w:w="893" w:type="pct"/>
            <w:vMerge/>
            <w:tcBorders>
              <w:top w:val="single" w:sz="4" w:space="0" w:color="auto"/>
              <w:bottom w:val="single" w:sz="4" w:space="0" w:color="auto"/>
            </w:tcBorders>
          </w:tcPr>
          <w:p w14:paraId="4FE64A32" w14:textId="77777777" w:rsidR="004A655A" w:rsidRPr="00337D42" w:rsidRDefault="004A655A" w:rsidP="00337D42">
            <w:pPr>
              <w:snapToGrid w:val="0"/>
              <w:spacing w:line="280" w:lineRule="exact"/>
              <w:jc w:val="center"/>
              <w:rPr>
                <w:rFonts w:eastAsia="新細明體"/>
                <w:sz w:val="20"/>
                <w:szCs w:val="20"/>
                <w:lang w:val="en-US" w:eastAsia="zh-TW"/>
              </w:rPr>
            </w:pPr>
          </w:p>
        </w:tc>
        <w:tc>
          <w:tcPr>
            <w:tcW w:w="1173" w:type="pct"/>
            <w:vMerge/>
            <w:tcBorders>
              <w:top w:val="single" w:sz="4" w:space="0" w:color="auto"/>
              <w:bottom w:val="single" w:sz="4" w:space="0" w:color="auto"/>
            </w:tcBorders>
          </w:tcPr>
          <w:p w14:paraId="49B924F6" w14:textId="77777777" w:rsidR="004A655A" w:rsidRPr="00337D42" w:rsidRDefault="004A655A" w:rsidP="00337D42">
            <w:pPr>
              <w:snapToGrid w:val="0"/>
              <w:spacing w:line="280" w:lineRule="exact"/>
              <w:jc w:val="center"/>
              <w:rPr>
                <w:rFonts w:eastAsia="新細明體"/>
                <w:sz w:val="20"/>
                <w:szCs w:val="20"/>
                <w:lang w:val="en-US" w:eastAsia="zh-TW"/>
              </w:rPr>
            </w:pPr>
          </w:p>
        </w:tc>
        <w:tc>
          <w:tcPr>
            <w:tcW w:w="560" w:type="pct"/>
            <w:tcBorders>
              <w:top w:val="single" w:sz="4" w:space="0" w:color="auto"/>
              <w:bottom w:val="single" w:sz="4" w:space="0" w:color="auto"/>
            </w:tcBorders>
            <w:vAlign w:val="center"/>
          </w:tcPr>
          <w:p w14:paraId="50B941CC" w14:textId="3B9E79F3"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EG 3</w:t>
            </w:r>
          </w:p>
        </w:tc>
        <w:tc>
          <w:tcPr>
            <w:tcW w:w="1070" w:type="pct"/>
            <w:tcBorders>
              <w:top w:val="single" w:sz="4" w:space="0" w:color="auto"/>
              <w:bottom w:val="single" w:sz="4" w:space="0" w:color="auto"/>
            </w:tcBorders>
            <w:vAlign w:val="center"/>
          </w:tcPr>
          <w:p w14:paraId="6E1DFC95" w14:textId="77777777"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Sales growth</w:t>
            </w:r>
          </w:p>
        </w:tc>
        <w:tc>
          <w:tcPr>
            <w:tcW w:w="1303" w:type="pct"/>
            <w:tcBorders>
              <w:top w:val="single" w:sz="4" w:space="0" w:color="auto"/>
              <w:bottom w:val="single" w:sz="4" w:space="0" w:color="auto"/>
            </w:tcBorders>
          </w:tcPr>
          <w:p w14:paraId="0F6FD94B" w14:textId="0CFA5C5C"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fldChar w:fldCharType="begin"/>
            </w:r>
            <w:r w:rsidRPr="00337D42">
              <w:rPr>
                <w:rFonts w:eastAsia="新細明體"/>
                <w:sz w:val="20"/>
                <w:szCs w:val="20"/>
                <w:lang w:val="en-US" w:eastAsia="zh-TW"/>
              </w:rPr>
              <w:instrText xml:space="preserve"> ADDIN ZOTERO_ITEM CSL_CITATION {"citationID":"fojTK5Or","properties":{"formattedCitation":"(Horbach &amp; Rammer, 2020)","plainCitation":"(Horbach &amp; Rammer, 2020)","dontUpdate":true,"noteIndex":0},"citationItems":[{"id":3102,"uris":["http://zotero.org/users/local/Alzi7ROo/items/BQDFJQL4"],"itemData":{"id":3102,"type":"article-journal","abstract":"Abstract\n            Circular economy (CE) describes a concept that aims at saving resources by minimizing the use of material and energy over the entire life‐cycle of products, including production and repair, as well as reuse and recycling. CE innovations help to realize the goals of sustainable development by targeting environmental, economic, and social dimensions of sustainability. This paper looks at the economic and social dimensions by investigating whether firms with CE innovations perform better or worse in terms of sales growth and employment. Our econometric analysis uses data from two waves of the German part of the Community Innovation Survey. Quantile regressions show that CE innovations are positively linked to turnover and employment growth. While there is no statistically significant impact on labor productivity, at the same time, firms with CE innovations show a significantly better financial standing.","container-title":"Journal of Industrial Ecology","DOI":"10.1111/jiec.12977","ISSN":"1088-1980, 1530-9290","issue":"3","journalAbbreviation":"J of Industrial Ecology","language":"en","page":"615-625","source":"DOI.org (Crossref)","title":"Circular economy innovations, growth and employment at the firm level: Empirical evidence from Germany","title-short":"Circular economy innovations, growth and employment at the firm level","volume":"24","author":[{"family":"Horbach","given":"Jens"},{"family":"Rammer","given":"Christian"}],"issued":{"date-parts":[["2020",6]]}}}],"schema":"https://github.com/citation-style-language/schema/raw/master/csl-citation.json"} </w:instrText>
            </w:r>
            <w:r w:rsidRPr="00337D42">
              <w:rPr>
                <w:rFonts w:eastAsia="新細明體"/>
                <w:sz w:val="20"/>
                <w:szCs w:val="20"/>
                <w:lang w:val="en-US" w:eastAsia="zh-TW"/>
              </w:rPr>
              <w:fldChar w:fldCharType="separate"/>
            </w:r>
            <w:r w:rsidRPr="00337D42">
              <w:rPr>
                <w:rFonts w:eastAsia="新細明體"/>
                <w:sz w:val="20"/>
                <w:szCs w:val="20"/>
                <w:lang w:val="en-US" w:eastAsia="zh-TW"/>
              </w:rPr>
              <w:t>(Horbach</w:t>
            </w:r>
            <w:r w:rsidR="00197E6F" w:rsidRPr="00337D42">
              <w:rPr>
                <w:rFonts w:eastAsia="新細明體"/>
                <w:sz w:val="20"/>
                <w:szCs w:val="20"/>
                <w:lang w:val="en-US" w:eastAsia="zh-TW"/>
              </w:rPr>
              <w:t xml:space="preserve"> &amp; </w:t>
            </w:r>
            <w:r w:rsidRPr="00337D42">
              <w:rPr>
                <w:rFonts w:eastAsia="新細明體"/>
                <w:sz w:val="20"/>
                <w:szCs w:val="20"/>
                <w:lang w:val="en-US" w:eastAsia="zh-TW"/>
              </w:rPr>
              <w:t>Rammer, 20</w:t>
            </w:r>
            <w:r w:rsidR="009E5A12" w:rsidRPr="00337D42">
              <w:rPr>
                <w:rFonts w:eastAsia="新細明體"/>
                <w:sz w:val="20"/>
                <w:szCs w:val="20"/>
                <w:lang w:val="en-US" w:eastAsia="zh-TW"/>
              </w:rPr>
              <w:t>19</w:t>
            </w:r>
            <w:r w:rsidRPr="00337D42">
              <w:rPr>
                <w:rFonts w:eastAsia="新細明體"/>
                <w:sz w:val="20"/>
                <w:szCs w:val="20"/>
                <w:lang w:val="en-US" w:eastAsia="zh-TW"/>
              </w:rPr>
              <w:t>)</w:t>
            </w:r>
            <w:r w:rsidRPr="00337D42">
              <w:rPr>
                <w:rFonts w:eastAsia="新細明體"/>
                <w:sz w:val="20"/>
                <w:szCs w:val="20"/>
                <w:lang w:val="en-US" w:eastAsia="zh-TW"/>
              </w:rPr>
              <w:fldChar w:fldCharType="end"/>
            </w:r>
          </w:p>
        </w:tc>
      </w:tr>
      <w:tr w:rsidR="004A655A" w:rsidRPr="009A3785" w14:paraId="72F5B502" w14:textId="77777777" w:rsidTr="00337D42">
        <w:trPr>
          <w:trHeight w:val="368"/>
        </w:trPr>
        <w:tc>
          <w:tcPr>
            <w:tcW w:w="893" w:type="pct"/>
            <w:vMerge/>
            <w:tcBorders>
              <w:top w:val="single" w:sz="4" w:space="0" w:color="auto"/>
              <w:bottom w:val="single" w:sz="4" w:space="0" w:color="auto"/>
            </w:tcBorders>
          </w:tcPr>
          <w:p w14:paraId="17DD6EC3" w14:textId="77777777" w:rsidR="004A655A" w:rsidRPr="00337D42" w:rsidRDefault="004A655A" w:rsidP="00337D42">
            <w:pPr>
              <w:snapToGrid w:val="0"/>
              <w:spacing w:line="280" w:lineRule="exact"/>
              <w:jc w:val="center"/>
              <w:rPr>
                <w:rFonts w:eastAsia="新細明體"/>
                <w:sz w:val="20"/>
                <w:szCs w:val="20"/>
                <w:lang w:val="en-US" w:eastAsia="zh-TW"/>
              </w:rPr>
            </w:pPr>
          </w:p>
        </w:tc>
        <w:tc>
          <w:tcPr>
            <w:tcW w:w="1173" w:type="pct"/>
            <w:vMerge/>
            <w:tcBorders>
              <w:top w:val="single" w:sz="4" w:space="0" w:color="auto"/>
              <w:bottom w:val="single" w:sz="4" w:space="0" w:color="auto"/>
            </w:tcBorders>
          </w:tcPr>
          <w:p w14:paraId="6244B3EE" w14:textId="77777777" w:rsidR="004A655A" w:rsidRPr="00337D42" w:rsidRDefault="004A655A" w:rsidP="00337D42">
            <w:pPr>
              <w:snapToGrid w:val="0"/>
              <w:spacing w:line="280" w:lineRule="exact"/>
              <w:jc w:val="center"/>
              <w:rPr>
                <w:rFonts w:eastAsia="新細明體"/>
                <w:sz w:val="20"/>
                <w:szCs w:val="20"/>
                <w:lang w:val="en-US" w:eastAsia="zh-TW"/>
              </w:rPr>
            </w:pPr>
          </w:p>
        </w:tc>
        <w:tc>
          <w:tcPr>
            <w:tcW w:w="560" w:type="pct"/>
            <w:tcBorders>
              <w:top w:val="single" w:sz="4" w:space="0" w:color="auto"/>
              <w:bottom w:val="single" w:sz="4" w:space="0" w:color="auto"/>
            </w:tcBorders>
            <w:vAlign w:val="center"/>
          </w:tcPr>
          <w:p w14:paraId="24EEFC18" w14:textId="7FF482A3"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EG 4</w:t>
            </w:r>
          </w:p>
        </w:tc>
        <w:tc>
          <w:tcPr>
            <w:tcW w:w="1070" w:type="pct"/>
            <w:tcBorders>
              <w:top w:val="single" w:sz="4" w:space="0" w:color="auto"/>
              <w:bottom w:val="single" w:sz="4" w:space="0" w:color="auto"/>
            </w:tcBorders>
            <w:vAlign w:val="center"/>
          </w:tcPr>
          <w:p w14:paraId="7F49E29B" w14:textId="77777777"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Market expansion</w:t>
            </w:r>
          </w:p>
        </w:tc>
        <w:tc>
          <w:tcPr>
            <w:tcW w:w="1303" w:type="pct"/>
            <w:tcBorders>
              <w:top w:val="single" w:sz="4" w:space="0" w:color="auto"/>
              <w:bottom w:val="single" w:sz="4" w:space="0" w:color="auto"/>
            </w:tcBorders>
          </w:tcPr>
          <w:p w14:paraId="508755DC" w14:textId="628CACAD"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fldChar w:fldCharType="begin"/>
            </w:r>
            <w:r w:rsidRPr="00337D42">
              <w:rPr>
                <w:rFonts w:eastAsia="新細明體"/>
                <w:sz w:val="20"/>
                <w:szCs w:val="20"/>
                <w:lang w:val="en-US" w:eastAsia="zh-TW"/>
              </w:rPr>
              <w:instrText xml:space="preserve"> ADDIN ZOTERO_ITEM CSL_CITATION {"citationID":"MPZTL0H3","properties":{"formattedCitation":"(Mitchell &amp; James, 2015)","plainCitation":"(Mitchell &amp; James, 2015)","dontUpdate":true,"noteIndex":0},"citationItems":[{"id":3011,"uris":["http://zotero.org/users/local/Alzi7ROo/items/4E4HH8KR"],"itemData":{"id":3011,"type":"article-journal","DOI":"10.13140/RG.2.1.3516.8725","language":"en","note":"publisher: Unpublished","source":"DOI.org (Datacite)","title":"ECONOMIC GROWTH POTENTIAL OF MORE CIRCULAR ECONOMIES","URL":"http://rgdoi.net/10.13140/RG.2.1.3516.8725","author":[{"family":"Mitchell","given":"Peter"},{"family":"James","given":"Keith"}],"accessed":{"date-parts":[["2024",1,17]]},"issued":{"date-parts":[["2015"]]}}}],"schema":"https://github.com/citation-style-language/schema/raw/master/csl-citation.json"} </w:instrText>
            </w:r>
            <w:r w:rsidRPr="00337D42">
              <w:rPr>
                <w:rFonts w:eastAsia="新細明體"/>
                <w:sz w:val="20"/>
                <w:szCs w:val="20"/>
                <w:lang w:val="en-US" w:eastAsia="zh-TW"/>
              </w:rPr>
              <w:fldChar w:fldCharType="separate"/>
            </w:r>
            <w:r w:rsidRPr="00337D42">
              <w:rPr>
                <w:rFonts w:eastAsia="新細明體"/>
                <w:sz w:val="20"/>
                <w:szCs w:val="20"/>
                <w:lang w:val="en-US" w:eastAsia="zh-TW"/>
              </w:rPr>
              <w:t xml:space="preserve">(Mitchell </w:t>
            </w:r>
            <w:r w:rsidR="00197E6F" w:rsidRPr="00337D42">
              <w:rPr>
                <w:rFonts w:eastAsia="新細明體"/>
                <w:sz w:val="20"/>
                <w:szCs w:val="20"/>
                <w:lang w:val="en-US" w:eastAsia="zh-TW"/>
              </w:rPr>
              <w:t>&amp;</w:t>
            </w:r>
            <w:r w:rsidRPr="00337D42">
              <w:rPr>
                <w:rFonts w:eastAsia="新細明體"/>
                <w:sz w:val="20"/>
                <w:szCs w:val="20"/>
                <w:lang w:val="en-US" w:eastAsia="zh-TW"/>
              </w:rPr>
              <w:t xml:space="preserve"> James, 2015)</w:t>
            </w:r>
            <w:r w:rsidRPr="00337D42">
              <w:rPr>
                <w:rFonts w:eastAsia="新細明體"/>
                <w:sz w:val="20"/>
                <w:szCs w:val="20"/>
                <w:lang w:val="en-US" w:eastAsia="zh-TW"/>
              </w:rPr>
              <w:fldChar w:fldCharType="end"/>
            </w:r>
          </w:p>
        </w:tc>
      </w:tr>
      <w:tr w:rsidR="004A655A" w:rsidRPr="009A3785" w14:paraId="399F7EBA" w14:textId="77777777" w:rsidTr="00337D42">
        <w:trPr>
          <w:trHeight w:val="368"/>
        </w:trPr>
        <w:tc>
          <w:tcPr>
            <w:tcW w:w="893" w:type="pct"/>
            <w:vMerge/>
            <w:tcBorders>
              <w:top w:val="single" w:sz="4" w:space="0" w:color="auto"/>
              <w:bottom w:val="single" w:sz="4" w:space="0" w:color="auto"/>
            </w:tcBorders>
          </w:tcPr>
          <w:p w14:paraId="572DF0A1" w14:textId="77777777" w:rsidR="004A655A" w:rsidRPr="00337D42" w:rsidRDefault="004A655A" w:rsidP="00337D42">
            <w:pPr>
              <w:snapToGrid w:val="0"/>
              <w:spacing w:line="280" w:lineRule="exact"/>
              <w:jc w:val="center"/>
              <w:rPr>
                <w:rFonts w:eastAsia="新細明體"/>
                <w:sz w:val="20"/>
                <w:szCs w:val="20"/>
                <w:lang w:val="en-US" w:eastAsia="zh-TW"/>
              </w:rPr>
            </w:pPr>
          </w:p>
        </w:tc>
        <w:tc>
          <w:tcPr>
            <w:tcW w:w="1173" w:type="pct"/>
            <w:vMerge/>
            <w:tcBorders>
              <w:top w:val="single" w:sz="4" w:space="0" w:color="auto"/>
              <w:bottom w:val="single" w:sz="4" w:space="0" w:color="auto"/>
            </w:tcBorders>
          </w:tcPr>
          <w:p w14:paraId="7E223494" w14:textId="77777777" w:rsidR="004A655A" w:rsidRPr="00337D42" w:rsidRDefault="004A655A" w:rsidP="00337D42">
            <w:pPr>
              <w:snapToGrid w:val="0"/>
              <w:spacing w:line="280" w:lineRule="exact"/>
              <w:jc w:val="center"/>
              <w:rPr>
                <w:rFonts w:eastAsia="新細明體"/>
                <w:sz w:val="20"/>
                <w:szCs w:val="20"/>
                <w:lang w:val="en-US" w:eastAsia="zh-TW"/>
              </w:rPr>
            </w:pPr>
          </w:p>
        </w:tc>
        <w:tc>
          <w:tcPr>
            <w:tcW w:w="560" w:type="pct"/>
            <w:tcBorders>
              <w:top w:val="single" w:sz="4" w:space="0" w:color="auto"/>
              <w:bottom w:val="single" w:sz="4" w:space="0" w:color="auto"/>
            </w:tcBorders>
            <w:vAlign w:val="center"/>
          </w:tcPr>
          <w:p w14:paraId="187547B4" w14:textId="68D63E55"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EG 5</w:t>
            </w:r>
          </w:p>
        </w:tc>
        <w:tc>
          <w:tcPr>
            <w:tcW w:w="1070" w:type="pct"/>
            <w:tcBorders>
              <w:top w:val="single" w:sz="4" w:space="0" w:color="auto"/>
              <w:bottom w:val="single" w:sz="4" w:space="0" w:color="auto"/>
            </w:tcBorders>
            <w:vAlign w:val="center"/>
          </w:tcPr>
          <w:p w14:paraId="664C777D" w14:textId="77777777"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t>GDP</w:t>
            </w:r>
          </w:p>
        </w:tc>
        <w:tc>
          <w:tcPr>
            <w:tcW w:w="1303" w:type="pct"/>
            <w:tcBorders>
              <w:top w:val="single" w:sz="4" w:space="0" w:color="auto"/>
              <w:bottom w:val="single" w:sz="4" w:space="0" w:color="auto"/>
            </w:tcBorders>
          </w:tcPr>
          <w:p w14:paraId="1E90F1F8" w14:textId="2F759092" w:rsidR="004A655A" w:rsidRPr="00337D42" w:rsidRDefault="004A655A" w:rsidP="00337D42">
            <w:pPr>
              <w:snapToGrid w:val="0"/>
              <w:spacing w:line="280" w:lineRule="exact"/>
              <w:jc w:val="center"/>
              <w:rPr>
                <w:rFonts w:eastAsia="新細明體"/>
                <w:sz w:val="20"/>
                <w:szCs w:val="20"/>
                <w:lang w:val="en-US" w:eastAsia="zh-TW"/>
              </w:rPr>
            </w:pPr>
            <w:r w:rsidRPr="00337D42">
              <w:rPr>
                <w:rFonts w:eastAsia="新細明體"/>
                <w:sz w:val="20"/>
                <w:szCs w:val="20"/>
                <w:lang w:val="en-US" w:eastAsia="zh-TW"/>
              </w:rPr>
              <w:fldChar w:fldCharType="begin"/>
            </w:r>
            <w:r w:rsidRPr="00337D42">
              <w:rPr>
                <w:rFonts w:eastAsia="新細明體"/>
                <w:sz w:val="20"/>
                <w:szCs w:val="20"/>
                <w:lang w:val="en-US" w:eastAsia="zh-TW"/>
              </w:rPr>
              <w:instrText xml:space="preserve"> ADDIN ZOTERO_ITEM CSL_CITATION {"citationID":"xD0Xhn02","properties":{"formattedCitation":"(Hickel &amp; Kallis, 2020)","plainCitation":"(Hickel &amp; Kallis, 2020)","dontUpdate":true,"noteIndex":0},"citationItems":[{"id":3094,"uris":["http://zotero.org/users/local/Alzi7ROo/items/SHEB5XIV"],"itemData":{"id":3094,"type":"article-journal","container-title":"New Political Economy","DOI":"10.1080/13563467.2019.1598964","ISSN":"1356-3467, 1469-9923","issue":"4","journalAbbreviation":"New Political Economy","language":"en","page":"469-486","source":"DOI.org (Crossref)","title":"Is Green Growth Possible?","volume":"25","author":[{"family":"Hickel","given":"Jason"},{"family":"Kallis","given":"Giorgos"}],"issued":{"date-parts":[["2020",6,6]]}}}],"schema":"https://github.com/citation-style-language/schema/raw/master/csl-citation.json"} </w:instrText>
            </w:r>
            <w:r w:rsidRPr="00337D42">
              <w:rPr>
                <w:rFonts w:eastAsia="新細明體"/>
                <w:sz w:val="20"/>
                <w:szCs w:val="20"/>
                <w:lang w:val="en-US" w:eastAsia="zh-TW"/>
              </w:rPr>
              <w:fldChar w:fldCharType="separate"/>
            </w:r>
            <w:r w:rsidRPr="00337D42">
              <w:rPr>
                <w:rFonts w:eastAsia="新細明體"/>
                <w:sz w:val="20"/>
                <w:szCs w:val="20"/>
                <w:lang w:val="en-US" w:eastAsia="zh-TW"/>
              </w:rPr>
              <w:t xml:space="preserve">(Hickel </w:t>
            </w:r>
            <w:r w:rsidR="002C3D99" w:rsidRPr="00337D42">
              <w:rPr>
                <w:rFonts w:eastAsia="新細明體"/>
                <w:sz w:val="20"/>
                <w:szCs w:val="20"/>
                <w:lang w:val="en-US" w:eastAsia="zh-TW"/>
              </w:rPr>
              <w:t>&amp;</w:t>
            </w:r>
            <w:r w:rsidRPr="00337D42">
              <w:rPr>
                <w:rFonts w:eastAsia="新細明體"/>
                <w:sz w:val="20"/>
                <w:szCs w:val="20"/>
                <w:lang w:val="en-US" w:eastAsia="zh-TW"/>
              </w:rPr>
              <w:t xml:space="preserve"> Kallis, 20</w:t>
            </w:r>
            <w:r w:rsidR="002C3D99" w:rsidRPr="00337D42">
              <w:rPr>
                <w:rFonts w:eastAsia="新細明體"/>
                <w:sz w:val="20"/>
                <w:szCs w:val="20"/>
                <w:lang w:val="en-US" w:eastAsia="zh-TW"/>
              </w:rPr>
              <w:t>19</w:t>
            </w:r>
            <w:r w:rsidRPr="00337D42">
              <w:rPr>
                <w:rFonts w:eastAsia="新細明體"/>
                <w:sz w:val="20"/>
                <w:szCs w:val="20"/>
                <w:lang w:val="en-US" w:eastAsia="zh-TW"/>
              </w:rPr>
              <w:t>)</w:t>
            </w:r>
            <w:r w:rsidRPr="00337D42">
              <w:rPr>
                <w:rFonts w:eastAsia="新細明體"/>
                <w:sz w:val="20"/>
                <w:szCs w:val="20"/>
                <w:lang w:val="en-US" w:eastAsia="zh-TW"/>
              </w:rPr>
              <w:fldChar w:fldCharType="end"/>
            </w:r>
          </w:p>
        </w:tc>
      </w:tr>
    </w:tbl>
    <w:p w14:paraId="36CD71EC" w14:textId="184A2345" w:rsidR="00B43EA0" w:rsidRPr="006E05A9" w:rsidRDefault="00B43EA0" w:rsidP="009B67B6">
      <w:pPr>
        <w:snapToGrid w:val="0"/>
        <w:spacing w:line="300" w:lineRule="exact"/>
        <w:ind w:left="851" w:hangingChars="327" w:hanging="851"/>
        <w:jc w:val="both"/>
        <w:rPr>
          <w:rFonts w:eastAsiaTheme="minorEastAsia"/>
          <w:sz w:val="26"/>
          <w:szCs w:val="26"/>
          <w:lang w:val="en-US"/>
        </w:rPr>
      </w:pPr>
      <w:bookmarkStart w:id="5" w:name="_Hlk161791941"/>
      <w:bookmarkEnd w:id="4"/>
      <w:r w:rsidRPr="003F3A3A">
        <w:rPr>
          <w:rFonts w:eastAsiaTheme="minorEastAsia"/>
          <w:b/>
          <w:bCs/>
          <w:i/>
          <w:iCs/>
          <w:sz w:val="26"/>
          <w:szCs w:val="26"/>
          <w:lang w:val="en-US"/>
        </w:rPr>
        <w:t>Source</w:t>
      </w:r>
      <w:r w:rsidRPr="00337D42">
        <w:rPr>
          <w:rFonts w:eastAsiaTheme="minorEastAsia"/>
          <w:i/>
          <w:iCs/>
          <w:sz w:val="26"/>
          <w:szCs w:val="26"/>
          <w:lang w:val="en-US"/>
        </w:rPr>
        <w:t>:</w:t>
      </w:r>
      <w:r w:rsidR="00337D42">
        <w:rPr>
          <w:rFonts w:eastAsiaTheme="minorEastAsia"/>
          <w:sz w:val="26"/>
          <w:szCs w:val="26"/>
          <w:lang w:val="en-US"/>
        </w:rPr>
        <w:t xml:space="preserve"> </w:t>
      </w:r>
      <w:r w:rsidRPr="006E05A9">
        <w:rPr>
          <w:rFonts w:eastAsiaTheme="minorEastAsia"/>
          <w:sz w:val="26"/>
          <w:szCs w:val="26"/>
          <w:lang w:val="en-US"/>
        </w:rPr>
        <w:t>Collected from a comprehensive review of the literature conducted by the author</w:t>
      </w:r>
      <w:r w:rsidR="00137B3F">
        <w:rPr>
          <w:rFonts w:eastAsiaTheme="minorEastAsia"/>
          <w:sz w:val="26"/>
          <w:szCs w:val="26"/>
          <w:lang w:val="en-US"/>
        </w:rPr>
        <w:t>s</w:t>
      </w:r>
      <w:r w:rsidR="00337D42">
        <w:rPr>
          <w:rFonts w:eastAsiaTheme="minorEastAsia"/>
          <w:sz w:val="26"/>
          <w:szCs w:val="26"/>
          <w:lang w:val="en-US"/>
        </w:rPr>
        <w:t>.</w:t>
      </w:r>
    </w:p>
    <w:bookmarkEnd w:id="5"/>
    <w:p w14:paraId="2D26567C" w14:textId="77777777" w:rsidR="008B44B2" w:rsidRPr="009A3785" w:rsidRDefault="008B44B2" w:rsidP="008A110A">
      <w:pPr>
        <w:snapToGrid w:val="0"/>
        <w:spacing w:line="360" w:lineRule="exact"/>
        <w:ind w:firstLine="480"/>
        <w:jc w:val="both"/>
        <w:rPr>
          <w:rFonts w:eastAsia="新細明體"/>
          <w:sz w:val="26"/>
          <w:szCs w:val="26"/>
          <w:lang w:val="en-US" w:eastAsia="zh-TW"/>
        </w:rPr>
      </w:pPr>
    </w:p>
    <w:p w14:paraId="1BFB7D46" w14:textId="6B5C4089" w:rsidR="00F15632" w:rsidRPr="009A3785" w:rsidRDefault="00494B4F" w:rsidP="00824E69">
      <w:pPr>
        <w:autoSpaceDE w:val="0"/>
        <w:autoSpaceDN w:val="0"/>
        <w:adjustRightInd w:val="0"/>
        <w:snapToGrid w:val="0"/>
        <w:spacing w:line="300" w:lineRule="auto"/>
        <w:jc w:val="center"/>
        <w:rPr>
          <w:b/>
          <w:caps/>
          <w:color w:val="000000"/>
          <w:sz w:val="26"/>
          <w:szCs w:val="26"/>
        </w:rPr>
      </w:pPr>
      <w:r w:rsidRPr="009A3785">
        <w:rPr>
          <w:b/>
          <w:caps/>
          <w:color w:val="000000"/>
          <w:sz w:val="26"/>
          <w:szCs w:val="26"/>
        </w:rPr>
        <w:t xml:space="preserve">Research </w:t>
      </w:r>
      <w:r w:rsidR="008A7C3A" w:rsidRPr="009A3785">
        <w:rPr>
          <w:b/>
          <w:caps/>
          <w:color w:val="000000"/>
          <w:sz w:val="26"/>
          <w:szCs w:val="26"/>
        </w:rPr>
        <w:t>Methodology</w:t>
      </w:r>
    </w:p>
    <w:p w14:paraId="7804A976" w14:textId="66F1B1B9" w:rsidR="00AC7484" w:rsidRDefault="00AC7484" w:rsidP="00824E69">
      <w:pPr>
        <w:snapToGrid w:val="0"/>
        <w:spacing w:line="300" w:lineRule="auto"/>
        <w:ind w:firstLineChars="200" w:firstLine="520"/>
        <w:jc w:val="both"/>
        <w:rPr>
          <w:noProof/>
          <w:color w:val="000000"/>
          <w:sz w:val="26"/>
          <w:szCs w:val="26"/>
          <w:lang w:val="en-US"/>
        </w:rPr>
      </w:pPr>
      <w:r w:rsidRPr="009A3785">
        <w:rPr>
          <w:noProof/>
          <w:color w:val="000000"/>
          <w:sz w:val="26"/>
          <w:szCs w:val="26"/>
          <w:lang w:val="en-US"/>
        </w:rPr>
        <w:t xml:space="preserve">Based on SEM analysis, the tenets of Circular Supply Chain Enablers (CSCE), Environmental Sustainability Initiatives (ESI), and Economic Growth (EG) </w:t>
      </w:r>
      <w:r w:rsidR="00636098">
        <w:rPr>
          <w:noProof/>
          <w:color w:val="000000"/>
          <w:sz w:val="26"/>
          <w:szCs w:val="26"/>
          <w:lang w:val="en-US"/>
        </w:rPr>
        <w:t>were developed for</w:t>
      </w:r>
      <w:r w:rsidRPr="009A3785">
        <w:rPr>
          <w:noProof/>
          <w:color w:val="000000"/>
          <w:sz w:val="26"/>
          <w:szCs w:val="26"/>
          <w:lang w:val="en-US"/>
        </w:rPr>
        <w:t xml:space="preserve"> the Moroccan textile industry. This study aims to fill the existing gap in the literature by investigating CSCE and ESI within Morocco’s textile industry, which is relatively unexplored and features a dynamic and changing circularity state</w:t>
      </w:r>
      <w:r w:rsidR="00636098">
        <w:rPr>
          <w:noProof/>
          <w:color w:val="000000"/>
          <w:sz w:val="26"/>
          <w:szCs w:val="26"/>
          <w:lang w:val="en-US"/>
        </w:rPr>
        <w:t>,</w:t>
      </w:r>
      <w:r w:rsidRPr="009A3785">
        <w:rPr>
          <w:noProof/>
          <w:color w:val="000000"/>
          <w:sz w:val="26"/>
          <w:szCs w:val="26"/>
          <w:lang w:val="en-US"/>
        </w:rPr>
        <w:t xml:space="preserve"> a</w:t>
      </w:r>
      <w:r w:rsidR="00636098">
        <w:rPr>
          <w:noProof/>
          <w:color w:val="000000"/>
          <w:sz w:val="26"/>
          <w:szCs w:val="26"/>
          <w:lang w:val="en-US"/>
        </w:rPr>
        <w:t>s well as</w:t>
      </w:r>
      <w:r w:rsidRPr="009A3785">
        <w:rPr>
          <w:noProof/>
          <w:color w:val="000000"/>
          <w:sz w:val="26"/>
          <w:szCs w:val="26"/>
          <w:lang w:val="en-US"/>
        </w:rPr>
        <w:t xml:space="preserve"> unique environmental conditions. Therefore, by focusing on these factors, this research aims to address a gap in </w:t>
      </w:r>
      <w:r w:rsidR="00636098">
        <w:rPr>
          <w:noProof/>
          <w:color w:val="000000"/>
          <w:sz w:val="26"/>
          <w:szCs w:val="26"/>
          <w:lang w:val="en-US"/>
        </w:rPr>
        <w:t>the existing literature</w:t>
      </w:r>
      <w:r w:rsidRPr="009A3785">
        <w:rPr>
          <w:noProof/>
          <w:color w:val="000000"/>
          <w:sz w:val="26"/>
          <w:szCs w:val="26"/>
          <w:lang w:val="en-US"/>
        </w:rPr>
        <w:t xml:space="preserve"> that seeks to explain the extent to which circular supply chain enablers and </w:t>
      </w:r>
      <w:r w:rsidR="005972FB" w:rsidRPr="009A3785">
        <w:rPr>
          <w:noProof/>
          <w:color w:val="000000"/>
          <w:sz w:val="26"/>
          <w:szCs w:val="26"/>
          <w:lang w:val="en-US"/>
        </w:rPr>
        <w:t xml:space="preserve">environmental </w:t>
      </w:r>
      <w:r w:rsidRPr="009A3785">
        <w:rPr>
          <w:noProof/>
          <w:color w:val="000000"/>
          <w:sz w:val="26"/>
          <w:szCs w:val="26"/>
          <w:lang w:val="en-US"/>
        </w:rPr>
        <w:t xml:space="preserve">sustainability initiatives </w:t>
      </w:r>
      <w:r w:rsidR="00636098">
        <w:rPr>
          <w:noProof/>
          <w:color w:val="000000"/>
          <w:sz w:val="26"/>
          <w:szCs w:val="26"/>
          <w:lang w:val="en-US"/>
        </w:rPr>
        <w:t>impa</w:t>
      </w:r>
      <w:r w:rsidRPr="009A3785">
        <w:rPr>
          <w:noProof/>
          <w:color w:val="000000"/>
          <w:sz w:val="26"/>
          <w:szCs w:val="26"/>
          <w:lang w:val="en-US"/>
        </w:rPr>
        <w:t>ct economic</w:t>
      </w:r>
      <w:r w:rsidR="007B14F2" w:rsidRPr="009A3785">
        <w:rPr>
          <w:noProof/>
          <w:color w:val="000000"/>
          <w:sz w:val="26"/>
          <w:szCs w:val="26"/>
          <w:lang w:val="en-US"/>
        </w:rPr>
        <w:t xml:space="preserve"> growth</w:t>
      </w:r>
      <w:r w:rsidRPr="009A3785">
        <w:rPr>
          <w:noProof/>
          <w:color w:val="000000"/>
          <w:sz w:val="26"/>
          <w:szCs w:val="26"/>
          <w:lang w:val="en-US"/>
        </w:rPr>
        <w:t xml:space="preserve"> in </w:t>
      </w:r>
      <w:r w:rsidR="00604713" w:rsidRPr="009A3785">
        <w:rPr>
          <w:noProof/>
          <w:color w:val="000000"/>
          <w:sz w:val="26"/>
          <w:szCs w:val="26"/>
          <w:lang w:val="en-US"/>
        </w:rPr>
        <w:t>Morocco’s textile industry</w:t>
      </w:r>
      <w:r w:rsidRPr="009A3785">
        <w:rPr>
          <w:noProof/>
          <w:color w:val="000000"/>
          <w:sz w:val="26"/>
          <w:szCs w:val="26"/>
          <w:lang w:val="en-US"/>
        </w:rPr>
        <w:t>. SEM enables the inclusion of ind</w:t>
      </w:r>
      <w:r w:rsidR="00636098">
        <w:rPr>
          <w:noProof/>
          <w:color w:val="000000"/>
          <w:sz w:val="26"/>
          <w:szCs w:val="26"/>
          <w:lang w:val="en-US"/>
        </w:rPr>
        <w:t>ic</w:t>
      </w:r>
      <w:r w:rsidRPr="009A3785">
        <w:rPr>
          <w:noProof/>
          <w:color w:val="000000"/>
          <w:sz w:val="26"/>
          <w:szCs w:val="26"/>
          <w:lang w:val="en-US"/>
        </w:rPr>
        <w:t>es for observable variables, which correspond to latent constructs, making it possible to assess hypotheses based on empirical facts within a coherent framework of how different variables may be related.</w:t>
      </w:r>
    </w:p>
    <w:p w14:paraId="41715011" w14:textId="77777777" w:rsidR="0069172C" w:rsidRPr="009A3785" w:rsidRDefault="0069172C" w:rsidP="00824E69">
      <w:pPr>
        <w:snapToGrid w:val="0"/>
        <w:spacing w:line="300" w:lineRule="auto"/>
        <w:ind w:firstLineChars="200" w:firstLine="520"/>
        <w:jc w:val="both"/>
        <w:rPr>
          <w:noProof/>
          <w:color w:val="000000"/>
          <w:sz w:val="26"/>
          <w:szCs w:val="26"/>
          <w:lang w:val="en-US"/>
        </w:rPr>
      </w:pPr>
    </w:p>
    <w:p w14:paraId="1B371976" w14:textId="5A82F061" w:rsidR="00EB4F02" w:rsidRPr="009A3785" w:rsidRDefault="004007B9" w:rsidP="00824E69">
      <w:pPr>
        <w:snapToGrid w:val="0"/>
        <w:spacing w:line="300" w:lineRule="auto"/>
        <w:jc w:val="both"/>
        <w:rPr>
          <w:b/>
          <w:noProof/>
          <w:color w:val="000000"/>
          <w:sz w:val="26"/>
          <w:szCs w:val="26"/>
          <w:lang w:val="en-US"/>
        </w:rPr>
      </w:pPr>
      <w:bookmarkStart w:id="6" w:name="_Hlk204973122"/>
      <w:r w:rsidRPr="009A3785">
        <w:rPr>
          <w:b/>
          <w:noProof/>
          <w:color w:val="000000"/>
          <w:sz w:val="26"/>
          <w:szCs w:val="26"/>
          <w:lang w:val="en-US"/>
        </w:rPr>
        <w:t>Structural Equation Modelling</w:t>
      </w:r>
    </w:p>
    <w:bookmarkEnd w:id="6"/>
    <w:p w14:paraId="4DA44B7E" w14:textId="6EB6BA4C" w:rsidR="002B41C7" w:rsidRPr="009A3785" w:rsidRDefault="002B41C7" w:rsidP="00824E69">
      <w:pPr>
        <w:snapToGrid w:val="0"/>
        <w:spacing w:line="300" w:lineRule="auto"/>
        <w:ind w:firstLineChars="200" w:firstLine="520"/>
        <w:jc w:val="both"/>
        <w:rPr>
          <w:noProof/>
          <w:color w:val="000000"/>
          <w:sz w:val="26"/>
          <w:szCs w:val="26"/>
          <w:lang w:val="en-US"/>
        </w:rPr>
      </w:pPr>
      <w:r w:rsidRPr="009A3785">
        <w:rPr>
          <w:noProof/>
          <w:color w:val="000000"/>
          <w:sz w:val="26"/>
          <w:szCs w:val="26"/>
          <w:lang w:val="en-US"/>
        </w:rPr>
        <w:t xml:space="preserve">SEM is one of the most potent and advanced statistical tools researchers have today. It provides them with a whole apparatus for testing, adjusting, or rejecting theoretical models </w:t>
      </w:r>
      <w:r w:rsidRPr="009A3785">
        <w:rPr>
          <w:noProof/>
          <w:color w:val="000000"/>
          <w:sz w:val="26"/>
          <w:szCs w:val="26"/>
          <w:lang w:val="en-US"/>
        </w:rPr>
        <w:fldChar w:fldCharType="begin"/>
      </w:r>
      <w:r w:rsidR="008F2135" w:rsidRPr="009A3785">
        <w:rPr>
          <w:noProof/>
          <w:color w:val="000000"/>
          <w:sz w:val="26"/>
          <w:szCs w:val="26"/>
          <w:lang w:val="en-US"/>
        </w:rPr>
        <w:instrText xml:space="preserve"> ADDIN ZOTERO_ITEM CSL_CITATION {"citationID":"9zQgzjxy","properties":{"formattedCitation":"(Anderson &amp; Gerbing, 1988)","plainCitation":"(Anderson &amp; Gerbing, 1988)","dontUpdate":true,"noteIndex":0},"citationItems":[{"id":2894,"uris":["http://zotero.org/users/local/Alzi7ROo/items/R4ILDGRW"],"itemData":{"id":2894,"type":"article-journal","container-title":"Psychological bulletin","issue":"3","note":"publisher: American Psychological Association","page":"411","source":"Google Scholar","title":"Structural equation modeling in practice: A review and recommended two-step approach.","title-short":"Structural equation modeling in practice","volume":"103","author":[{"family":"Anderson","given":"James C."},{"family":"Gerbing","given":"David W."}],"issued":{"date-parts":[["1988"]]}}}],"schema":"https://github.com/citation-style-language/schema/raw/master/csl-citation.json"} </w:instrText>
      </w:r>
      <w:r w:rsidRPr="009A3785">
        <w:rPr>
          <w:noProof/>
          <w:color w:val="000000"/>
          <w:sz w:val="26"/>
          <w:szCs w:val="26"/>
          <w:lang w:val="en-US"/>
        </w:rPr>
        <w:fldChar w:fldCharType="separate"/>
      </w:r>
      <w:r w:rsidRPr="009A3785">
        <w:rPr>
          <w:noProof/>
          <w:color w:val="000000"/>
          <w:sz w:val="26"/>
          <w:szCs w:val="26"/>
          <w:lang w:val="en-US"/>
        </w:rPr>
        <w:t xml:space="preserve">(Anderson </w:t>
      </w:r>
      <w:r w:rsidR="009E5A12" w:rsidRPr="009A3785">
        <w:rPr>
          <w:noProof/>
          <w:color w:val="000000"/>
          <w:sz w:val="26"/>
          <w:szCs w:val="26"/>
          <w:lang w:val="en-US"/>
        </w:rPr>
        <w:t xml:space="preserve">&amp; </w:t>
      </w:r>
      <w:r w:rsidRPr="009A3785">
        <w:rPr>
          <w:noProof/>
          <w:color w:val="000000"/>
          <w:sz w:val="26"/>
          <w:szCs w:val="26"/>
          <w:lang w:val="en-US"/>
        </w:rPr>
        <w:t>Gerbing, 1988)</w:t>
      </w:r>
      <w:r w:rsidRPr="009A3785">
        <w:rPr>
          <w:noProof/>
          <w:color w:val="000000"/>
          <w:sz w:val="26"/>
          <w:szCs w:val="26"/>
          <w:lang w:val="en-US"/>
        </w:rPr>
        <w:fldChar w:fldCharType="end"/>
      </w:r>
      <w:r w:rsidRPr="009A3785">
        <w:rPr>
          <w:noProof/>
          <w:color w:val="000000"/>
          <w:sz w:val="26"/>
          <w:szCs w:val="26"/>
          <w:lang w:val="en-US"/>
        </w:rPr>
        <w:t xml:space="preserve">. It merges the confirmatory factor analysis with multiple regression (simultaneous equations models) in a single modeling architecture </w:t>
      </w:r>
      <w:r w:rsidRPr="009A3785">
        <w:rPr>
          <w:noProof/>
          <w:color w:val="000000"/>
          <w:sz w:val="26"/>
          <w:szCs w:val="26"/>
          <w:lang w:val="en-US"/>
        </w:rPr>
        <w:fldChar w:fldCharType="begin"/>
      </w:r>
      <w:r w:rsidR="008F2135" w:rsidRPr="009A3785">
        <w:rPr>
          <w:noProof/>
          <w:color w:val="000000"/>
          <w:sz w:val="26"/>
          <w:szCs w:val="26"/>
          <w:lang w:val="en-US"/>
        </w:rPr>
        <w:instrText xml:space="preserve"> ADDIN ZOTERO_ITEM CSL_CITATION {"citationID":"eNRlhDjN","properties":{"formattedCitation":"(Ko &amp; Stewart, 2002)","plainCitation":"(Ko &amp; Stewart, 2002)","dontUpdate":true,"noteIndex":0},"citationItems":[{"id":2896,"uris":["http://zotero.org/users/local/Alzi7ROo/items/MT42JCG7"],"itemData":{"id":2896,"type":"article-journal","container-title":"Tourism management","issue":"5","note":"publisher: Elsevier","page":"521–530","source":"Google Scholar","title":"A structural equation model of residents’ attitudes for tourism development","volume":"23","author":[{"family":"Ko","given":"Dong-Wan"},{"family":"Stewart","given":"William P."}],"issued":{"date-parts":[["2002"]]}}}],"schema":"https://github.com/citation-style-language/schema/raw/master/csl-citation.json"} </w:instrText>
      </w:r>
      <w:r w:rsidRPr="009A3785">
        <w:rPr>
          <w:noProof/>
          <w:color w:val="000000"/>
          <w:sz w:val="26"/>
          <w:szCs w:val="26"/>
          <w:lang w:val="en-US"/>
        </w:rPr>
        <w:fldChar w:fldCharType="separate"/>
      </w:r>
      <w:r w:rsidRPr="009A3785">
        <w:rPr>
          <w:noProof/>
          <w:color w:val="000000"/>
          <w:sz w:val="26"/>
          <w:szCs w:val="26"/>
          <w:lang w:val="en-US"/>
        </w:rPr>
        <w:t>(Ko</w:t>
      </w:r>
      <w:r w:rsidR="009E5A12" w:rsidRPr="009A3785">
        <w:rPr>
          <w:noProof/>
          <w:color w:val="000000"/>
          <w:sz w:val="26"/>
          <w:szCs w:val="26"/>
          <w:lang w:val="en-US"/>
        </w:rPr>
        <w:t xml:space="preserve"> &amp;</w:t>
      </w:r>
      <w:r w:rsidRPr="009A3785">
        <w:rPr>
          <w:noProof/>
          <w:color w:val="000000"/>
          <w:sz w:val="26"/>
          <w:szCs w:val="26"/>
          <w:lang w:val="en-US"/>
        </w:rPr>
        <w:t xml:space="preserve"> Stewart, 2002)</w:t>
      </w:r>
      <w:r w:rsidRPr="009A3785">
        <w:rPr>
          <w:noProof/>
          <w:color w:val="000000"/>
          <w:sz w:val="26"/>
          <w:szCs w:val="26"/>
          <w:lang w:val="en-US"/>
        </w:rPr>
        <w:fldChar w:fldCharType="end"/>
      </w:r>
      <w:r w:rsidRPr="009A3785">
        <w:rPr>
          <w:noProof/>
          <w:color w:val="000000"/>
          <w:sz w:val="26"/>
          <w:szCs w:val="26"/>
          <w:lang w:val="en-US"/>
        </w:rPr>
        <w:t xml:space="preserve">. In addition to many endogenous and exogenous variables, SEM can provide latent (unobservable) variables as linear combinations (weighted averages) of the observed ones. SEM is an ex-ante method that can be used to test the validity of a set of hypotheses </w:t>
      </w:r>
      <w:r w:rsidRPr="009A3785">
        <w:rPr>
          <w:noProof/>
          <w:color w:val="000000"/>
          <w:sz w:val="26"/>
          <w:szCs w:val="26"/>
          <w:lang w:val="en-US"/>
        </w:rPr>
        <w:fldChar w:fldCharType="begin"/>
      </w:r>
      <w:r w:rsidRPr="009A3785">
        <w:rPr>
          <w:noProof/>
          <w:color w:val="000000"/>
          <w:sz w:val="26"/>
          <w:szCs w:val="26"/>
          <w:lang w:val="en-US"/>
        </w:rPr>
        <w:instrText xml:space="preserve"> ADDIN ZOTERO_ITEM CSL_CITATION {"citationID":"5FKthjQH","properties":{"formattedCitation":"(J. F. Hair et al., 2017)","plainCitation":"(J. F. Hair et al., 2017)","noteIndex":0},"citationItems":[{"id":2898,"uris":["http://zotero.org/users/local/Alzi7ROo/items/86SH6HCG"],"itemData":{"id":2898,"type":"article-journal","container-title":"Journal of Advertising","DOI":"10.1080/00913367.2017.1281777","ISSN":"0091-3367, 1557-7805","issue":"1","journalAbbreviation":"Journal of Advertising","language":"en","page":"163-177","source":"DOI.org (Crossref)","title":"Covariance-Based Structural Equation Modeling in the &lt;i&gt;Journal of Advertising&lt;/i&gt; : Review and Recommendations","title-short":"Covariance-Based Structural Equation Modeling in the &lt;i&gt;Journal of Advertising&lt;/i&gt;","volume":"46","author":[{"family":"Hair","given":"Joseph F."},{"family":"Babin","given":"Barry J."},{"family":"Krey","given":"Nina"}],"issued":{"date-parts":[["2017",1,2]]}}}],"schema":"https://github.com/citation-style-language/schema/raw/master/csl-citation.json"} </w:instrText>
      </w:r>
      <w:r w:rsidRPr="009A3785">
        <w:rPr>
          <w:noProof/>
          <w:color w:val="000000"/>
          <w:sz w:val="26"/>
          <w:szCs w:val="26"/>
          <w:lang w:val="en-US"/>
        </w:rPr>
        <w:fldChar w:fldCharType="separate"/>
      </w:r>
      <w:r w:rsidRPr="009A3785">
        <w:rPr>
          <w:noProof/>
          <w:color w:val="000000"/>
          <w:sz w:val="26"/>
          <w:szCs w:val="26"/>
          <w:lang w:val="en-US"/>
        </w:rPr>
        <w:t>(</w:t>
      </w:r>
      <w:r w:rsidR="002C3D99" w:rsidRPr="009A3785">
        <w:rPr>
          <w:noProof/>
          <w:color w:val="000000"/>
          <w:sz w:val="26"/>
          <w:szCs w:val="26"/>
          <w:lang w:val="en-US"/>
        </w:rPr>
        <w:t xml:space="preserve">J. F. </w:t>
      </w:r>
      <w:r w:rsidRPr="009A3785">
        <w:rPr>
          <w:noProof/>
          <w:color w:val="000000"/>
          <w:sz w:val="26"/>
          <w:szCs w:val="26"/>
          <w:lang w:val="en-US"/>
        </w:rPr>
        <w:t>Hair et al., 2017)</w:t>
      </w:r>
      <w:r w:rsidRPr="009A3785">
        <w:rPr>
          <w:noProof/>
          <w:color w:val="000000"/>
          <w:sz w:val="26"/>
          <w:szCs w:val="26"/>
          <w:lang w:val="en-US"/>
        </w:rPr>
        <w:fldChar w:fldCharType="end"/>
      </w:r>
      <w:r w:rsidRPr="009A3785">
        <w:rPr>
          <w:noProof/>
          <w:color w:val="000000"/>
          <w:sz w:val="26"/>
          <w:szCs w:val="26"/>
          <w:lang w:val="en-US"/>
        </w:rPr>
        <w:t xml:space="preserve">. SEM is a very flexible statistical modeling tool. Statistically speaking, SEM is a generalization and extension of so-called linear modeling procedures such as analysis of variance (ANOVA) or multiple regression models </w:t>
      </w:r>
      <w:r w:rsidRPr="009A3785">
        <w:rPr>
          <w:noProof/>
          <w:color w:val="000000"/>
          <w:sz w:val="26"/>
          <w:szCs w:val="26"/>
          <w:lang w:val="en-US"/>
        </w:rPr>
        <w:fldChar w:fldCharType="begin"/>
      </w:r>
      <w:r w:rsidRPr="009A3785">
        <w:rPr>
          <w:noProof/>
          <w:color w:val="000000"/>
          <w:sz w:val="26"/>
          <w:szCs w:val="26"/>
          <w:lang w:val="en-US"/>
        </w:rPr>
        <w:instrText xml:space="preserve"> ADDIN ZOTERO_ITEM CSL_CITATION {"citationID":"8pOd6NIp","properties":{"formattedCitation":"(Byrne, 2013)","plainCitation":"(Byrne, 2013)","noteIndex":0},"citationItems":[{"id":2902,"uris":["http://zotero.org/users/local/Alzi7ROo/items/S8NUMKH8"],"itemData":{"id":2902,"type":"book","publisher":"routledge","source":"Google Scholar","title":"Structural equation modeling with Mplus: Basic concepts, applications, and programming","title-short":"Structural equation modeling with Mplus","URL":"https://www.taylorfrancis.com/books/mono/10.4324/9780203807644/structural-equation-modeling-mplus-barbara-byrne","author":[{"family":"Byrne","given":"Barbara M."}],"accessed":{"date-parts":[["2023",12,20]]},"issued":{"date-parts":[["2013"]]}}}],"schema":"https://github.com/citation-style-language/schema/raw/master/csl-citation.json"} </w:instrText>
      </w:r>
      <w:r w:rsidRPr="009A3785">
        <w:rPr>
          <w:noProof/>
          <w:color w:val="000000"/>
          <w:sz w:val="26"/>
          <w:szCs w:val="26"/>
          <w:lang w:val="en-US"/>
        </w:rPr>
        <w:fldChar w:fldCharType="separate"/>
      </w:r>
      <w:r w:rsidRPr="009A3785">
        <w:rPr>
          <w:noProof/>
          <w:color w:val="000000"/>
          <w:sz w:val="26"/>
          <w:szCs w:val="26"/>
          <w:lang w:val="en-US"/>
        </w:rPr>
        <w:t>(Byrne, 2013)</w:t>
      </w:r>
      <w:r w:rsidRPr="009A3785">
        <w:rPr>
          <w:noProof/>
          <w:color w:val="000000"/>
          <w:sz w:val="26"/>
          <w:szCs w:val="26"/>
          <w:lang w:val="en-US"/>
        </w:rPr>
        <w:fldChar w:fldCharType="end"/>
      </w:r>
      <w:r w:rsidRPr="009A3785">
        <w:rPr>
          <w:noProof/>
          <w:color w:val="000000"/>
          <w:sz w:val="26"/>
          <w:szCs w:val="26"/>
          <w:lang w:val="en-US"/>
        </w:rPr>
        <w:t>. SEM is a confirmatory (or hypothes</w:t>
      </w:r>
      <w:r w:rsidR="00636098">
        <w:rPr>
          <w:noProof/>
          <w:color w:val="000000"/>
          <w:sz w:val="26"/>
          <w:szCs w:val="26"/>
          <w:lang w:val="en-US"/>
        </w:rPr>
        <w:t>is-</w:t>
      </w:r>
      <w:r w:rsidRPr="009A3785">
        <w:rPr>
          <w:noProof/>
          <w:color w:val="000000"/>
          <w:sz w:val="26"/>
          <w:szCs w:val="26"/>
          <w:lang w:val="en-US"/>
        </w:rPr>
        <w:t xml:space="preserve">testing) theory </w:t>
      </w:r>
      <w:r w:rsidR="00776922">
        <w:rPr>
          <w:noProof/>
          <w:color w:val="000000"/>
          <w:sz w:val="26"/>
          <w:szCs w:val="26"/>
          <w:lang w:val="en-US"/>
        </w:rPr>
        <w:t>that</w:t>
      </w:r>
      <w:r w:rsidR="00636098">
        <w:rPr>
          <w:noProof/>
          <w:color w:val="000000"/>
          <w:sz w:val="26"/>
          <w:szCs w:val="26"/>
          <w:lang w:val="en-US"/>
        </w:rPr>
        <w:t xml:space="preserve"> relates</w:t>
      </w:r>
      <w:r w:rsidRPr="009A3785">
        <w:rPr>
          <w:noProof/>
          <w:color w:val="000000"/>
          <w:sz w:val="26"/>
          <w:szCs w:val="26"/>
          <w:lang w:val="en-US"/>
        </w:rPr>
        <w:t xml:space="preserve"> the multivariate analysis of the structural model </w:t>
      </w:r>
      <w:r w:rsidR="00636098">
        <w:rPr>
          <w:noProof/>
          <w:color w:val="000000"/>
          <w:sz w:val="26"/>
          <w:szCs w:val="26"/>
          <w:lang w:val="en-US"/>
        </w:rPr>
        <w:t>to</w:t>
      </w:r>
      <w:r w:rsidRPr="009A3785">
        <w:rPr>
          <w:noProof/>
          <w:color w:val="000000"/>
          <w:sz w:val="26"/>
          <w:szCs w:val="26"/>
          <w:lang w:val="en-US"/>
        </w:rPr>
        <w:t xml:space="preserve"> its variables.</w:t>
      </w:r>
    </w:p>
    <w:p w14:paraId="32F10122" w14:textId="6370BA5D" w:rsidR="002B41C7" w:rsidRPr="009A3785" w:rsidRDefault="002B41C7" w:rsidP="00824E69">
      <w:pPr>
        <w:snapToGrid w:val="0"/>
        <w:spacing w:line="300" w:lineRule="auto"/>
        <w:ind w:firstLineChars="200" w:firstLine="520"/>
        <w:jc w:val="both"/>
        <w:rPr>
          <w:noProof/>
          <w:color w:val="000000"/>
          <w:sz w:val="26"/>
          <w:szCs w:val="26"/>
          <w:lang w:val="en-US"/>
        </w:rPr>
      </w:pPr>
      <w:r w:rsidRPr="009A3785">
        <w:rPr>
          <w:noProof/>
          <w:color w:val="000000"/>
          <w:sz w:val="26"/>
          <w:szCs w:val="26"/>
          <w:lang w:val="en-US"/>
        </w:rPr>
        <w:t xml:space="preserve">Over the </w:t>
      </w:r>
      <w:r w:rsidR="00636098">
        <w:rPr>
          <w:noProof/>
          <w:color w:val="000000"/>
          <w:sz w:val="26"/>
          <w:szCs w:val="26"/>
          <w:lang w:val="en-US"/>
        </w:rPr>
        <w:t>p</w:t>
      </w:r>
      <w:r w:rsidRPr="009A3785">
        <w:rPr>
          <w:noProof/>
          <w:color w:val="000000"/>
          <w:sz w:val="26"/>
          <w:szCs w:val="26"/>
          <w:lang w:val="en-US"/>
        </w:rPr>
        <w:t xml:space="preserve">ast several decades, structural equation modeling has </w:t>
      </w:r>
      <w:r w:rsidR="00636098">
        <w:rPr>
          <w:noProof/>
          <w:color w:val="000000"/>
          <w:sz w:val="26"/>
          <w:szCs w:val="26"/>
          <w:lang w:val="en-US"/>
        </w:rPr>
        <w:t>gained increasing acceptance</w:t>
      </w:r>
      <w:r w:rsidRPr="009A3785">
        <w:rPr>
          <w:noProof/>
          <w:color w:val="000000"/>
          <w:sz w:val="26"/>
          <w:szCs w:val="26"/>
          <w:lang w:val="en-US"/>
        </w:rPr>
        <w:t xml:space="preserve">. The scientific world has </w:t>
      </w:r>
      <w:r w:rsidR="00636098">
        <w:rPr>
          <w:noProof/>
          <w:color w:val="000000"/>
          <w:sz w:val="26"/>
          <w:szCs w:val="26"/>
          <w:lang w:val="en-US"/>
        </w:rPr>
        <w:t>made significant advancements</w:t>
      </w:r>
      <w:r w:rsidRPr="009A3785">
        <w:rPr>
          <w:noProof/>
          <w:color w:val="000000"/>
          <w:sz w:val="26"/>
          <w:szCs w:val="26"/>
          <w:lang w:val="en-US"/>
        </w:rPr>
        <w:t xml:space="preserve"> in supply chains, logistics systems, and social sciences, </w:t>
      </w:r>
      <w:r w:rsidR="00636098">
        <w:rPr>
          <w:noProof/>
          <w:color w:val="000000"/>
          <w:sz w:val="26"/>
          <w:szCs w:val="26"/>
          <w:lang w:val="en-US"/>
        </w:rPr>
        <w:t>encompass</w:t>
      </w:r>
      <w:r w:rsidRPr="009A3785">
        <w:rPr>
          <w:noProof/>
          <w:color w:val="000000"/>
          <w:sz w:val="26"/>
          <w:szCs w:val="26"/>
          <w:lang w:val="en-US"/>
        </w:rPr>
        <w:t>ing economics, operations research</w:t>
      </w:r>
      <w:r w:rsidR="00636098">
        <w:rPr>
          <w:noProof/>
          <w:color w:val="000000"/>
          <w:sz w:val="26"/>
          <w:szCs w:val="26"/>
          <w:lang w:val="en-US"/>
        </w:rPr>
        <w:t>,</w:t>
      </w:r>
      <w:r w:rsidRPr="009A3785">
        <w:rPr>
          <w:noProof/>
          <w:color w:val="000000"/>
          <w:sz w:val="26"/>
          <w:szCs w:val="26"/>
          <w:lang w:val="en-US"/>
        </w:rPr>
        <w:t xml:space="preserve"> management studies, and </w:t>
      </w:r>
      <w:r w:rsidR="00636098">
        <w:rPr>
          <w:noProof/>
          <w:color w:val="000000"/>
          <w:sz w:val="26"/>
          <w:szCs w:val="26"/>
          <w:lang w:val="en-US"/>
        </w:rPr>
        <w:t xml:space="preserve">the </w:t>
      </w:r>
      <w:r w:rsidRPr="009A3785">
        <w:rPr>
          <w:noProof/>
          <w:color w:val="000000"/>
          <w:sz w:val="26"/>
          <w:szCs w:val="26"/>
          <w:lang w:val="en-US"/>
        </w:rPr>
        <w:t xml:space="preserve">natural sciences </w:t>
      </w:r>
      <w:r w:rsidRPr="009A3785">
        <w:rPr>
          <w:noProof/>
          <w:color w:val="000000"/>
          <w:sz w:val="26"/>
          <w:szCs w:val="26"/>
          <w:lang w:val="en-US"/>
        </w:rPr>
        <w:fldChar w:fldCharType="begin"/>
      </w:r>
      <w:r w:rsidRPr="009A3785">
        <w:rPr>
          <w:noProof/>
          <w:color w:val="000000"/>
          <w:sz w:val="26"/>
          <w:szCs w:val="26"/>
          <w:lang w:val="en-US"/>
        </w:rPr>
        <w:instrText xml:space="preserve"> ADDIN ZOTERO_ITEM CSL_CITATION {"citationID":"uwfulekh","properties":{"formattedCitation":"(Anderson &amp; Gerbing, 1988)","plainCitation":"(Anderson &amp; Gerbing, 1988)","noteIndex":0},"citationItems":[{"id":2894,"uris":["http://zotero.org/users/local/Alzi7ROo/items/R4ILDGRW"],"itemData":{"id":2894,"type":"article-journal","container-title":"Psychological bulletin","issue":"3","note":"publisher: American Psychological Association","page":"411","source":"Google Scholar","title":"Structural equation modeling in practice: A review and recommended two-step approach.","title-short":"Structural equation modeling in practice","volume":"103","author":[{"family":"Anderson","given":"James C."},{"family":"Gerbing","given":"David W."}],"issued":{"date-parts":[["1988"]]}}}],"schema":"https://github.com/citation-style-language/schema/raw/master/csl-citation.json"} </w:instrText>
      </w:r>
      <w:r w:rsidRPr="009A3785">
        <w:rPr>
          <w:noProof/>
          <w:color w:val="000000"/>
          <w:sz w:val="26"/>
          <w:szCs w:val="26"/>
          <w:lang w:val="en-US"/>
        </w:rPr>
        <w:fldChar w:fldCharType="separate"/>
      </w:r>
      <w:r w:rsidRPr="009A3785">
        <w:rPr>
          <w:noProof/>
          <w:color w:val="000000"/>
          <w:sz w:val="26"/>
          <w:szCs w:val="26"/>
          <w:lang w:val="en-US"/>
        </w:rPr>
        <w:t>(Anderson &amp; Gerbing, 1988)</w:t>
      </w:r>
      <w:r w:rsidRPr="009A3785">
        <w:rPr>
          <w:noProof/>
          <w:color w:val="000000"/>
          <w:sz w:val="26"/>
          <w:szCs w:val="26"/>
          <w:lang w:val="en-US"/>
        </w:rPr>
        <w:fldChar w:fldCharType="end"/>
      </w:r>
      <w:r w:rsidRPr="009A3785">
        <w:rPr>
          <w:noProof/>
          <w:color w:val="000000"/>
          <w:sz w:val="26"/>
          <w:szCs w:val="26"/>
          <w:lang w:val="en-US"/>
        </w:rPr>
        <w:t xml:space="preserve">. The SEM has proven its effectiveness in capturing purchasing intention </w:t>
      </w:r>
      <w:r w:rsidRPr="009A3785">
        <w:rPr>
          <w:noProof/>
          <w:color w:val="000000"/>
          <w:sz w:val="26"/>
          <w:szCs w:val="26"/>
          <w:lang w:val="en-US"/>
        </w:rPr>
        <w:fldChar w:fldCharType="begin"/>
      </w:r>
      <w:r w:rsidRPr="009A3785">
        <w:rPr>
          <w:noProof/>
          <w:color w:val="000000"/>
          <w:sz w:val="26"/>
          <w:szCs w:val="26"/>
          <w:lang w:val="en-US"/>
        </w:rPr>
        <w:instrText xml:space="preserve"> ADDIN ZOTERO_ITEM CSL_CITATION {"citationID":"aRN76EGx","properties":{"formattedCitation":"(Behjati et al., 2012)","plainCitation":"(Behjati et al., 2012)","noteIndex":0},"citationItems":[{"id":2905,"uris":["http://zotero.org/users/local/Alzi7ROo/items/XGCUY3LI"],"itemData":{"id":2905,"type":"article-journal","container-title":"Industrial Engineering Letters","issue":"6","page":"33–41","source":"Google Scholar","title":"Application of structural equation modeling (SEM) to explain online purchasing intention-an extension of theory of planed behaviour (TPB)","volume":"2","author":[{"family":"Behjati","given":"Saeed"},{"family":"Pandya","given":"Srota"},{"family":"Kumar","given":"D."}],"issued":{"date-parts":[["2012"]]}}}],"schema":"https://github.com/citation-style-language/schema/raw/master/csl-citation.json"} </w:instrText>
      </w:r>
      <w:r w:rsidRPr="009A3785">
        <w:rPr>
          <w:noProof/>
          <w:color w:val="000000"/>
          <w:sz w:val="26"/>
          <w:szCs w:val="26"/>
          <w:lang w:val="en-US"/>
        </w:rPr>
        <w:fldChar w:fldCharType="separate"/>
      </w:r>
      <w:r w:rsidRPr="009A3785">
        <w:rPr>
          <w:noProof/>
          <w:color w:val="000000"/>
          <w:sz w:val="26"/>
          <w:szCs w:val="26"/>
          <w:lang w:val="en-US"/>
        </w:rPr>
        <w:t>(Behjati et al., 2012)</w:t>
      </w:r>
      <w:r w:rsidRPr="009A3785">
        <w:rPr>
          <w:noProof/>
          <w:color w:val="000000"/>
          <w:sz w:val="26"/>
          <w:szCs w:val="26"/>
          <w:lang w:val="en-US"/>
        </w:rPr>
        <w:fldChar w:fldCharType="end"/>
      </w:r>
      <w:r w:rsidRPr="009A3785">
        <w:rPr>
          <w:noProof/>
          <w:color w:val="000000"/>
          <w:sz w:val="26"/>
          <w:szCs w:val="26"/>
          <w:lang w:val="en-US"/>
        </w:rPr>
        <w:t xml:space="preserve">, supply chain flexibility </w:t>
      </w:r>
      <w:r w:rsidRPr="009A3785">
        <w:rPr>
          <w:noProof/>
          <w:color w:val="000000"/>
          <w:sz w:val="26"/>
          <w:szCs w:val="26"/>
          <w:lang w:val="en-US"/>
        </w:rPr>
        <w:fldChar w:fldCharType="begin"/>
      </w:r>
      <w:r w:rsidRPr="009A3785">
        <w:rPr>
          <w:noProof/>
          <w:color w:val="000000"/>
          <w:sz w:val="26"/>
          <w:szCs w:val="26"/>
          <w:lang w:val="en-US"/>
        </w:rPr>
        <w:instrText xml:space="preserve"> ADDIN ZOTERO_ITEM CSL_CITATION {"citationID":"TREfffew","properties":{"formattedCitation":"(Kennedy et al., 2011)","plainCitation":"(Kennedy et al., 2011)","noteIndex":0},"citationItems":[{"id":2908,"uris":["http://zotero.org/users/local/Alzi7ROo/items/A5RPKTZF"],"itemData":{"id":2908,"type":"article-journal","container-title":"I-Business","issue":"4","note":"publisher: Scientific Research Publishing","page":"390","source":"Google Scholar","title":"Supply chain flexibility: structural equation modeling approach","title-short":"Supply chain flexibility","volume":"3","author":[{"family":"Kennedy","given":"Otieno Robert"},{"family":"Novikova","given":"Ksenia KA"},{"family":"Yang","given":"Hualong"},{"family":"Lin","given":"Khin"}],"issued":{"date-parts":[["2011"]]}}}],"schema":"https://github.com/citation-style-language/schema/raw/master/csl-citation.json"} </w:instrText>
      </w:r>
      <w:r w:rsidRPr="009A3785">
        <w:rPr>
          <w:noProof/>
          <w:color w:val="000000"/>
          <w:sz w:val="26"/>
          <w:szCs w:val="26"/>
          <w:lang w:val="en-US"/>
        </w:rPr>
        <w:fldChar w:fldCharType="separate"/>
      </w:r>
      <w:r w:rsidRPr="009A3785">
        <w:rPr>
          <w:noProof/>
          <w:color w:val="000000"/>
          <w:sz w:val="26"/>
          <w:szCs w:val="26"/>
          <w:lang w:val="en-US"/>
        </w:rPr>
        <w:t>(Kennedy, 2011)</w:t>
      </w:r>
      <w:r w:rsidRPr="009A3785">
        <w:rPr>
          <w:noProof/>
          <w:color w:val="000000"/>
          <w:sz w:val="26"/>
          <w:szCs w:val="26"/>
          <w:lang w:val="en-US"/>
        </w:rPr>
        <w:fldChar w:fldCharType="end"/>
      </w:r>
      <w:r w:rsidRPr="009A3785">
        <w:rPr>
          <w:noProof/>
          <w:color w:val="000000"/>
          <w:sz w:val="26"/>
          <w:szCs w:val="26"/>
          <w:lang w:val="en-US"/>
        </w:rPr>
        <w:t xml:space="preserve">, and market research </w:t>
      </w:r>
      <w:r w:rsidRPr="009A3785">
        <w:rPr>
          <w:noProof/>
          <w:color w:val="000000"/>
          <w:sz w:val="26"/>
          <w:szCs w:val="26"/>
          <w:lang w:val="en-US"/>
        </w:rPr>
        <w:fldChar w:fldCharType="begin"/>
      </w:r>
      <w:r w:rsidR="008F2135" w:rsidRPr="009A3785">
        <w:rPr>
          <w:noProof/>
          <w:color w:val="000000"/>
          <w:sz w:val="26"/>
          <w:szCs w:val="26"/>
          <w:lang w:val="en-US"/>
        </w:rPr>
        <w:instrText xml:space="preserve"> ADDIN ZOTERO_ITEM CSL_CITATION {"citationID":"jgIk5LTl","properties":{"formattedCitation":"(Bacon &amp; Bacon, 2001)","plainCitation":"(Bacon &amp; Bacon, 2001)","dontUpdate":true,"noteIndex":0},"citationItems":[{"id":2906,"uris":["http://zotero.org/users/local/Alzi7ROo/items/T6DFPBUR"],"itemData":{"id":2906,"type":"book","publisher":"Lynd Bacon &amp; Associates Limited and SPSS Incorporated Chicago, IL","source":"Google Scholar","title":"Using Amos for structural equation modeling in market research","URL":"https://www.researchgate.net/profile/Lynd-Bacon/publication/237658357_Using_Amos_for_Structural_Equation_Modeling_in_Market_Research/links/543fed700cf2fd72f99dc7bd/Using-Amos-for-Structural-Equation-Modeling-in-Market-Research.pdf","author":[{"family":"Bacon","given":"Lynd D."},{"family":"Bacon","given":"Lynd D."}],"accessed":{"date-parts":[["2023",12,20]]},"issued":{"date-parts":[["2001"]]}}}],"schema":"https://github.com/citation-style-language/schema/raw/master/csl-citation.json"} </w:instrText>
      </w:r>
      <w:r w:rsidRPr="009A3785">
        <w:rPr>
          <w:noProof/>
          <w:color w:val="000000"/>
          <w:sz w:val="26"/>
          <w:szCs w:val="26"/>
          <w:lang w:val="en-US"/>
        </w:rPr>
        <w:fldChar w:fldCharType="separate"/>
      </w:r>
      <w:r w:rsidRPr="009A3785">
        <w:rPr>
          <w:noProof/>
          <w:color w:val="000000"/>
          <w:sz w:val="26"/>
          <w:szCs w:val="26"/>
          <w:lang w:val="en-US"/>
        </w:rPr>
        <w:t>(Bacon</w:t>
      </w:r>
      <w:r w:rsidR="00E60C79" w:rsidRPr="009A3785">
        <w:rPr>
          <w:noProof/>
          <w:color w:val="000000"/>
          <w:sz w:val="26"/>
          <w:szCs w:val="26"/>
          <w:lang w:val="en-US"/>
        </w:rPr>
        <w:t>, 1997</w:t>
      </w:r>
      <w:r w:rsidRPr="009A3785">
        <w:rPr>
          <w:noProof/>
          <w:color w:val="000000"/>
          <w:sz w:val="26"/>
          <w:szCs w:val="26"/>
          <w:lang w:val="en-US"/>
        </w:rPr>
        <w:t>)</w:t>
      </w:r>
      <w:r w:rsidRPr="009A3785">
        <w:rPr>
          <w:noProof/>
          <w:color w:val="000000"/>
          <w:sz w:val="26"/>
          <w:szCs w:val="26"/>
          <w:lang w:val="en-US"/>
        </w:rPr>
        <w:fldChar w:fldCharType="end"/>
      </w:r>
      <w:r w:rsidRPr="009A3785">
        <w:rPr>
          <w:noProof/>
          <w:color w:val="000000"/>
          <w:sz w:val="26"/>
          <w:szCs w:val="26"/>
          <w:lang w:val="en-US"/>
        </w:rPr>
        <w:t xml:space="preserve">; it also explains how to elevate the quality of supply chain management and improve organizational performance </w:t>
      </w:r>
      <w:r w:rsidRPr="009A3785">
        <w:rPr>
          <w:noProof/>
          <w:color w:val="000000"/>
          <w:sz w:val="26"/>
          <w:szCs w:val="26"/>
          <w:lang w:val="en-US"/>
        </w:rPr>
        <w:fldChar w:fldCharType="begin"/>
      </w:r>
      <w:r w:rsidRPr="009A3785">
        <w:rPr>
          <w:noProof/>
          <w:color w:val="000000"/>
          <w:sz w:val="26"/>
          <w:szCs w:val="26"/>
          <w:lang w:val="en-US"/>
        </w:rPr>
        <w:instrText xml:space="preserve"> ADDIN ZOTERO_ITEM CSL_CITATION {"citationID":"s5l1mnNI","properties":{"formattedCitation":"(Lin et al., 2005)","plainCitation":"(Lin et al., 2005)","noteIndex":0},"citationItems":[{"id":2909,"uris":["http://zotero.org/users/local/Alzi7ROo/items/99LXR6FH"],"itemData":{"id":2909,"type":"article-journal","container-title":"International journal of production economics","issue":"3","note":"publisher: Elsevier","page":"355–365","source":"Google Scholar","title":"A structural equation model of supply chain quality management and organizational performance","volume":"96","author":[{"family":"Lin","given":"Chinho"},{"family":"Chow","given":"Wing S."},{"family":"Madu","given":"Christian N."},{"family":"Kuei","given":"Chu-Hua"},{"family":"Yu","given":"Pei Pei"}],"issued":{"date-parts":[["2005"]]}}}],"schema":"https://github.com/citation-style-language/schema/raw/master/csl-citation.json"} </w:instrText>
      </w:r>
      <w:r w:rsidRPr="009A3785">
        <w:rPr>
          <w:noProof/>
          <w:color w:val="000000"/>
          <w:sz w:val="26"/>
          <w:szCs w:val="26"/>
          <w:lang w:val="en-US"/>
        </w:rPr>
        <w:fldChar w:fldCharType="separate"/>
      </w:r>
      <w:r w:rsidRPr="009A3785">
        <w:rPr>
          <w:noProof/>
          <w:color w:val="000000"/>
          <w:sz w:val="26"/>
          <w:szCs w:val="26"/>
          <w:lang w:val="en-US"/>
        </w:rPr>
        <w:t>(</w:t>
      </w:r>
      <w:r w:rsidR="004B622B" w:rsidRPr="009A3785">
        <w:rPr>
          <w:noProof/>
          <w:color w:val="000000"/>
          <w:sz w:val="26"/>
          <w:szCs w:val="26"/>
        </w:rPr>
        <w:t>George et al., 2015</w:t>
      </w:r>
      <w:r w:rsidRPr="009A3785">
        <w:rPr>
          <w:noProof/>
          <w:color w:val="000000"/>
          <w:sz w:val="26"/>
          <w:szCs w:val="26"/>
          <w:lang w:val="en-US"/>
        </w:rPr>
        <w:t>)</w:t>
      </w:r>
      <w:r w:rsidRPr="009A3785">
        <w:rPr>
          <w:noProof/>
          <w:color w:val="000000"/>
          <w:sz w:val="26"/>
          <w:szCs w:val="26"/>
          <w:lang w:val="en-US"/>
        </w:rPr>
        <w:fldChar w:fldCharType="end"/>
      </w:r>
      <w:r w:rsidRPr="009A3785">
        <w:rPr>
          <w:noProof/>
          <w:color w:val="000000"/>
          <w:sz w:val="26"/>
          <w:szCs w:val="26"/>
          <w:lang w:val="en-US"/>
        </w:rPr>
        <w:t>.</w:t>
      </w:r>
    </w:p>
    <w:p w14:paraId="62C53F74" w14:textId="5DCCF70E" w:rsidR="002B41C7" w:rsidRPr="009A3785" w:rsidRDefault="00636098" w:rsidP="00824E69">
      <w:pPr>
        <w:snapToGrid w:val="0"/>
        <w:spacing w:line="300" w:lineRule="auto"/>
        <w:ind w:firstLineChars="200" w:firstLine="520"/>
        <w:jc w:val="both"/>
        <w:rPr>
          <w:noProof/>
          <w:color w:val="000000"/>
          <w:sz w:val="26"/>
          <w:szCs w:val="26"/>
          <w:lang w:val="en-US"/>
        </w:rPr>
      </w:pPr>
      <w:r>
        <w:rPr>
          <w:noProof/>
          <w:color w:val="000000"/>
          <w:sz w:val="26"/>
          <w:szCs w:val="26"/>
          <w:lang w:val="en-US"/>
        </w:rPr>
        <w:t>Based on</w:t>
      </w:r>
      <w:r w:rsidR="002B41C7" w:rsidRPr="009A3785">
        <w:rPr>
          <w:noProof/>
          <w:color w:val="000000"/>
          <w:sz w:val="26"/>
          <w:szCs w:val="26"/>
          <w:lang w:val="en-US"/>
        </w:rPr>
        <w:t xml:space="preserve"> the previous literature, no study has applied SEM </w:t>
      </w:r>
      <w:r>
        <w:rPr>
          <w:noProof/>
          <w:color w:val="000000"/>
          <w:sz w:val="26"/>
          <w:szCs w:val="26"/>
          <w:lang w:val="en-US"/>
        </w:rPr>
        <w:t>to analyze</w:t>
      </w:r>
      <w:r w:rsidR="002B41C7" w:rsidRPr="009A3785">
        <w:rPr>
          <w:noProof/>
          <w:color w:val="000000"/>
          <w:sz w:val="26"/>
          <w:szCs w:val="26"/>
          <w:lang w:val="en-US"/>
        </w:rPr>
        <w:t xml:space="preserve"> the Circular Supply Chain Enablers, Environmental Sustainability Initiatives, and Economic Growth in the Moroccan textile industry. Prior works analyzing circular supply chain practices have been done at the macroeconomic or regional levels </w:t>
      </w:r>
      <w:r w:rsidR="002B41C7" w:rsidRPr="009A3785">
        <w:rPr>
          <w:noProof/>
          <w:color w:val="000000"/>
          <w:sz w:val="26"/>
          <w:szCs w:val="26"/>
          <w:lang w:val="en-US"/>
        </w:rPr>
        <w:fldChar w:fldCharType="begin"/>
      </w:r>
      <w:r w:rsidR="002B41C7" w:rsidRPr="009A3785">
        <w:rPr>
          <w:noProof/>
          <w:color w:val="000000"/>
          <w:sz w:val="26"/>
          <w:szCs w:val="26"/>
          <w:lang w:val="en-US"/>
        </w:rPr>
        <w:instrText xml:space="preserve"> ADDIN ZOTERO_ITEM CSL_CITATION {"citationID":"gXRGhmsG","properties":{"formattedCitation":"(Aguilar-Hernandez et al., 2021; Chen et al., 2020; Radivojevi\\uc0\\u263{} et al., 2024)","plainCitation":"(Aguilar-Hernandez et al., 2021; Chen et al., 2020; Radivojević et al., 2024)","noteIndex":0},"citationItems":[{"id":3456,"uris":["http://zotero.org/users/local/Alzi7ROo/items/RHNDPEG7"],"itemData":{"id":3456,"type":"article-journal","container-title":"Journal of Cleaner Production","note":"publisher: Elsevier","page":"123421","source":"Google Scholar","title":"Macroeconomic, social and environmental impacts of a circular economy up to 2050: A meta-analysis of prospective studies","title-short":"Macroeconomic, social and environmental impacts of a circular economy up to 2050","volume":"278","author":[{"family":"Aguilar-Hernandez","given":"Glenn A."},{"family":"Rodrigues","given":"Joao F. Dias"},{"family":"Tukker","given":"Arnold"}],"issued":{"date-parts":[["2021"]]}}},{"id":3438,"uris":["http://zotero.org/users/local/Alzi7ROo/items/JJ4N2739"],"itemData":{"id":3438,"type":"article-journal","abstract":"This study aims to assess the impact of circular economy on economic growth. In the process of rapid economic growth, China has been facing with the pressure of insufficient supply of resources and environmental pollution, which makes the development model of circular economy (CE) an imperative transformation. China has carried out two batches of CE pilot cities to promote the construction of ecological economy and change the traditional economic development model, which is employed as a quasi-natural experiment in this study. The effect of this CE policy on the local economic growth is explored using the Propensity Score Matching (PSM) method and Difference-in-Differences (DID) model and a panel data of 163 Chinese cities from the year of 2001–2012 has been used. The results show that the growth rate of GDP of the pilot cities decreases significantly but the economic decline gradually recovers as time goes on. In addition, this study further conducts the regional heterogeneity analysis to compare the economic growth of CE pilot cities in three economic zones, i.e., eastern, central and western economic zones, and the sectoral heterogeneity analysis to compare the economic growth of three main industries, i.e., primary, secondary and tertiary industries. Finally, discussion of above results is presented and recommendations for the promotion of urban CE are proposed.","container-title":"Journal of Cleaner Production","DOI":"10.1016/j.jclepro.2020.122558","ISSN":"0959-6526","journalAbbreviation":"Journal of Cleaner Production","page":"122558","source":"ScienceDirect","title":"The </w:instrText>
      </w:r>
      <w:r w:rsidR="002B41C7" w:rsidRPr="009A3785">
        <w:rPr>
          <w:noProof/>
          <w:color w:val="000000"/>
          <w:sz w:val="26"/>
          <w:szCs w:val="26"/>
          <w:lang w:val="fr-FR"/>
        </w:rPr>
        <w:instrText xml:space="preserve">effects of circular economy on economic growth: A quasi-natural experiment in China","title-short":"The effects of circular economy on economic growth","volume":"271","author":[{"family":"Chen","given":"Ziyu"},{"family":"Chen","given":"Shouming"},{"family":"Liu","given":"Chang"},{"family":"Nguyen","given":"Luu Thi"},{"family":"Hasan","given":"Abid"}],"issued":{"date-parts":[["2020",10,20]]}}},{"id":3440,"uris":["http://zotero.org/users/local/Alzi7ROo/items/I9ME29V6"],"itemData":{"id":3440,"type":"article-journal","abstract":"The transition to a circular economy has become an important topic in thinking about the sustainable future of humanity. An important and often disputed point i...","archive_location":"Sage CA: Los Angeles, CA","container-title":"SAGE Open","DOI":"10.1177/21582440241240624","language":"en","license":"© The Author(s) 2024","note":"publisher: SAGE PublicationsSage CA: Los Angeles, CA","source":"journals.sagepub.com","title":"The Role of Circular Economy in Driving Economic Growth: Evidence from EU Countries","title-short":"The Role of Circular Economy in Driving Economic Growth","URL":"https://journals.sagepub.com/doi/full/10.1177/21582440241240624","author":[{"family":"Radivojević","given":"Vladimir"},{"family":"Rađenović","given":"Tamara"},{"family":"Dimovski","given":"Jelena"}],"accessed":{"date-parts":[["2024",12,12]]},"issued":{"date-parts":[["2024",11,14]]}}}],"schema":"https://github.com/citation-style-language/schema/raw/master/csl-citation.json"} </w:instrText>
      </w:r>
      <w:r w:rsidR="002B41C7" w:rsidRPr="009A3785">
        <w:rPr>
          <w:noProof/>
          <w:color w:val="000000"/>
          <w:sz w:val="26"/>
          <w:szCs w:val="26"/>
          <w:lang w:val="en-US"/>
        </w:rPr>
        <w:fldChar w:fldCharType="separate"/>
      </w:r>
      <w:r w:rsidR="002B41C7" w:rsidRPr="009A3785">
        <w:rPr>
          <w:noProof/>
          <w:color w:val="000000"/>
          <w:sz w:val="26"/>
          <w:szCs w:val="26"/>
          <w:lang w:val="fr-FR"/>
        </w:rPr>
        <w:t>(Aguilar-Hernandez et al., 202</w:t>
      </w:r>
      <w:r w:rsidR="002B5C1E" w:rsidRPr="009A3785">
        <w:rPr>
          <w:noProof/>
          <w:color w:val="000000"/>
          <w:sz w:val="26"/>
          <w:szCs w:val="26"/>
          <w:lang w:val="fr-FR"/>
        </w:rPr>
        <w:t>0</w:t>
      </w:r>
      <w:r w:rsidR="002B41C7" w:rsidRPr="009A3785">
        <w:rPr>
          <w:noProof/>
          <w:color w:val="000000"/>
          <w:sz w:val="26"/>
          <w:szCs w:val="26"/>
          <w:lang w:val="fr-FR"/>
        </w:rPr>
        <w:t>; Chen et al., 2020; Radivojević et al., 2024)</w:t>
      </w:r>
      <w:r w:rsidR="002B41C7" w:rsidRPr="009A3785">
        <w:rPr>
          <w:noProof/>
          <w:color w:val="000000"/>
          <w:sz w:val="26"/>
          <w:szCs w:val="26"/>
          <w:lang w:val="en-US"/>
        </w:rPr>
        <w:fldChar w:fldCharType="end"/>
      </w:r>
      <w:r w:rsidR="00421902" w:rsidRPr="009A3785">
        <w:rPr>
          <w:noProof/>
          <w:color w:val="000000"/>
          <w:sz w:val="26"/>
          <w:szCs w:val="26"/>
          <w:lang w:val="fr-FR"/>
        </w:rPr>
        <w:t>.</w:t>
      </w:r>
      <w:r w:rsidR="002B41C7" w:rsidRPr="009A3785">
        <w:rPr>
          <w:noProof/>
          <w:color w:val="000000"/>
          <w:sz w:val="26"/>
          <w:szCs w:val="26"/>
          <w:lang w:val="fr-FR"/>
        </w:rPr>
        <w:t xml:space="preserve"> </w:t>
      </w:r>
      <w:r w:rsidR="00421902" w:rsidRPr="009A3785">
        <w:rPr>
          <w:noProof/>
          <w:color w:val="000000"/>
          <w:sz w:val="26"/>
          <w:szCs w:val="26"/>
          <w:lang w:val="fr-FR"/>
        </w:rPr>
        <w:t xml:space="preserve"> </w:t>
      </w:r>
      <w:r w:rsidR="002B41C7" w:rsidRPr="009A3785">
        <w:rPr>
          <w:noProof/>
          <w:color w:val="000000"/>
          <w:sz w:val="26"/>
          <w:szCs w:val="26"/>
          <w:lang w:val="en-US"/>
        </w:rPr>
        <w:t xml:space="preserve">However, they </w:t>
      </w:r>
      <w:r>
        <w:rPr>
          <w:noProof/>
          <w:color w:val="000000"/>
          <w:sz w:val="26"/>
          <w:szCs w:val="26"/>
          <w:lang w:val="en-US"/>
        </w:rPr>
        <w:t>overlook</w:t>
      </w:r>
      <w:r w:rsidR="002B41C7" w:rsidRPr="009A3785">
        <w:rPr>
          <w:noProof/>
          <w:color w:val="000000"/>
          <w:sz w:val="26"/>
          <w:szCs w:val="26"/>
          <w:lang w:val="en-US"/>
        </w:rPr>
        <w:t xml:space="preserve"> sectoral factors and </w:t>
      </w:r>
      <w:r>
        <w:rPr>
          <w:noProof/>
          <w:color w:val="000000"/>
          <w:sz w:val="26"/>
          <w:szCs w:val="26"/>
          <w:lang w:val="en-US"/>
        </w:rPr>
        <w:t>fail to account for</w:t>
      </w:r>
      <w:r w:rsidR="002B41C7" w:rsidRPr="009A3785">
        <w:rPr>
          <w:noProof/>
          <w:color w:val="000000"/>
          <w:sz w:val="26"/>
          <w:szCs w:val="26"/>
          <w:lang w:val="en-US"/>
        </w:rPr>
        <w:t xml:space="preserve"> the specific role of the observable variable in explaining these constructs. As a result of using SEM, this work can fill these gaps and provide a more detailed understanding of both the latent and observable variables. This approach </w:t>
      </w:r>
      <w:r>
        <w:rPr>
          <w:noProof/>
          <w:color w:val="000000"/>
          <w:sz w:val="26"/>
          <w:szCs w:val="26"/>
          <w:lang w:val="en-US"/>
        </w:rPr>
        <w:t>enables the analysis of</w:t>
      </w:r>
      <w:r w:rsidR="002B41C7" w:rsidRPr="009A3785">
        <w:rPr>
          <w:noProof/>
          <w:color w:val="000000"/>
          <w:sz w:val="26"/>
          <w:szCs w:val="26"/>
          <w:lang w:val="en-US"/>
        </w:rPr>
        <w:t xml:space="preserve"> how specific sector factors affect economic growth, </w:t>
      </w:r>
      <w:r>
        <w:rPr>
          <w:noProof/>
          <w:color w:val="000000"/>
          <w:sz w:val="26"/>
          <w:szCs w:val="26"/>
          <w:lang w:val="en-US"/>
        </w:rPr>
        <w:t>making</w:t>
      </w:r>
      <w:r w:rsidR="002B41C7" w:rsidRPr="009A3785">
        <w:rPr>
          <w:noProof/>
          <w:color w:val="000000"/>
          <w:sz w:val="26"/>
          <w:szCs w:val="26"/>
          <w:lang w:val="en-US"/>
        </w:rPr>
        <w:t xml:space="preserve"> it </w:t>
      </w:r>
      <w:r>
        <w:rPr>
          <w:noProof/>
          <w:color w:val="000000"/>
          <w:sz w:val="26"/>
          <w:szCs w:val="26"/>
          <w:lang w:val="en-US"/>
        </w:rPr>
        <w:t>suitable for identifying</w:t>
      </w:r>
      <w:r w:rsidR="002B41C7" w:rsidRPr="009A3785">
        <w:rPr>
          <w:noProof/>
          <w:color w:val="000000"/>
          <w:sz w:val="26"/>
          <w:szCs w:val="26"/>
          <w:lang w:val="en-US"/>
        </w:rPr>
        <w:t xml:space="preserve"> patterns in emergent markets</w:t>
      </w:r>
      <w:r>
        <w:rPr>
          <w:noProof/>
          <w:color w:val="000000"/>
          <w:sz w:val="26"/>
          <w:szCs w:val="26"/>
          <w:lang w:val="en-US"/>
        </w:rPr>
        <w:t>,</w:t>
      </w:r>
      <w:r w:rsidR="002B41C7" w:rsidRPr="009A3785">
        <w:rPr>
          <w:noProof/>
          <w:color w:val="000000"/>
          <w:sz w:val="26"/>
          <w:szCs w:val="26"/>
          <w:lang w:val="en-US"/>
        </w:rPr>
        <w:t xml:space="preserve"> such as Morocc</w:t>
      </w:r>
      <w:r>
        <w:rPr>
          <w:noProof/>
          <w:color w:val="000000"/>
          <w:sz w:val="26"/>
          <w:szCs w:val="26"/>
          <w:lang w:val="en-US"/>
        </w:rPr>
        <w:t>o</w:t>
      </w:r>
      <w:r w:rsidR="002B41C7" w:rsidRPr="009A3785">
        <w:rPr>
          <w:noProof/>
          <w:color w:val="000000"/>
          <w:sz w:val="26"/>
          <w:szCs w:val="26"/>
          <w:lang w:val="en-US"/>
        </w:rPr>
        <w:t xml:space="preserve">. </w:t>
      </w:r>
    </w:p>
    <w:p w14:paraId="442037A2" w14:textId="36768877" w:rsidR="002B41C7" w:rsidRDefault="002B41C7" w:rsidP="00824E69">
      <w:pPr>
        <w:snapToGrid w:val="0"/>
        <w:spacing w:line="300" w:lineRule="auto"/>
        <w:ind w:firstLineChars="200" w:firstLine="520"/>
        <w:jc w:val="both"/>
        <w:rPr>
          <w:noProof/>
          <w:color w:val="000000"/>
          <w:sz w:val="26"/>
          <w:szCs w:val="26"/>
          <w:lang w:val="en-US"/>
        </w:rPr>
      </w:pPr>
      <w:r w:rsidRPr="009A3785">
        <w:rPr>
          <w:noProof/>
          <w:color w:val="000000"/>
          <w:sz w:val="26"/>
          <w:szCs w:val="26"/>
          <w:lang w:val="en-US"/>
        </w:rPr>
        <w:t>Circular Supply Chain Enablers (CSCE) are assessed by indicators such as cleaner production, reverse logistics infrastructure, and Circular economy relationship management</w:t>
      </w:r>
      <w:r w:rsidR="00636098">
        <w:rPr>
          <w:noProof/>
          <w:color w:val="000000"/>
          <w:sz w:val="26"/>
          <w:szCs w:val="26"/>
          <w:lang w:val="en-US"/>
        </w:rPr>
        <w:t>,</w:t>
      </w:r>
      <w:r w:rsidRPr="009A3785">
        <w:rPr>
          <w:noProof/>
          <w:color w:val="000000"/>
          <w:sz w:val="26"/>
          <w:szCs w:val="26"/>
          <w:lang w:val="en-US"/>
        </w:rPr>
        <w:t xml:space="preserve"> </w:t>
      </w:r>
      <w:r w:rsidR="00636098">
        <w:rPr>
          <w:noProof/>
          <w:color w:val="000000"/>
          <w:sz w:val="26"/>
          <w:szCs w:val="26"/>
          <w:lang w:val="en-US"/>
        </w:rPr>
        <w:t>which</w:t>
      </w:r>
      <w:r w:rsidRPr="009A3785">
        <w:rPr>
          <w:noProof/>
          <w:color w:val="000000"/>
          <w:sz w:val="26"/>
          <w:szCs w:val="26"/>
          <w:lang w:val="en-US"/>
        </w:rPr>
        <w:t xml:space="preserve"> prior research </w:t>
      </w:r>
      <w:r w:rsidR="00636098">
        <w:rPr>
          <w:noProof/>
          <w:color w:val="000000"/>
          <w:sz w:val="26"/>
          <w:szCs w:val="26"/>
          <w:lang w:val="en-US"/>
        </w:rPr>
        <w:t>has identified as affecting</w:t>
      </w:r>
      <w:r w:rsidRPr="009A3785">
        <w:rPr>
          <w:noProof/>
          <w:color w:val="000000"/>
          <w:sz w:val="26"/>
          <w:szCs w:val="26"/>
          <w:lang w:val="en-US"/>
        </w:rPr>
        <w:t xml:space="preserve"> economic performanc</w:t>
      </w:r>
      <w:r w:rsidR="00636098">
        <w:rPr>
          <w:noProof/>
          <w:color w:val="000000"/>
          <w:sz w:val="26"/>
          <w:szCs w:val="26"/>
          <w:lang w:val="en-US"/>
        </w:rPr>
        <w:t>e</w:t>
      </w:r>
      <w:r w:rsidRPr="009A3785">
        <w:rPr>
          <w:noProof/>
          <w:color w:val="000000"/>
          <w:sz w:val="26"/>
          <w:szCs w:val="26"/>
          <w:lang w:val="en-US"/>
        </w:rPr>
        <w:fldChar w:fldCharType="begin"/>
      </w:r>
      <w:r w:rsidRPr="009A3785">
        <w:rPr>
          <w:noProof/>
          <w:color w:val="000000"/>
          <w:sz w:val="26"/>
          <w:szCs w:val="26"/>
          <w:lang w:val="en-US"/>
        </w:rPr>
        <w:instrText xml:space="preserve"> ADDIN ZOTERO_ITEM CSL_CITATION {"citationID":"zVXvKIuw","properties":{"formattedCitation":"(Bilitewski, 2012; Dhakal et al., 2017; Ripanti &amp; Tjahjono, 2019)","plainCitation":"(Bilitewski, 2012; Dhakal et al., 2017; Ripanti &amp; Tjahjono, 2019)","dontUpdate":true,"noteIndex":0},"citationItems":[{"id":3042,"uris":["http://zotero.org/users/local/Alzi7ROo/items/MHWHCN4H"],"itemData":{"id":3042,"type":"article-journal","container-title":"Waste management","issue":"1","page":"1–2","source":"Google Scholar","title":"The circular economy and its risks","volume":"32","author":[{"family":"Bilitewski","given":"Bernd"}],"issued":{"date-parts":[["2012"]]}}},{"id":3052,"uris":["http://zotero.org/users/local/Alzi7ROo/items/I333ZVLJ"],"itemData":{"id":3052,"type":"article-journal","container-title":"The International Journal of Sustainability in Economic, Social and Cultural Context","issue":"1","note":"publisher: Common Ground Research Networks","page":"25","source":"Google Scholar","title":"Secondary market: A significant aspect in reverse logistics and sustainability","title-short":"Secondary market","volume":"12","author":[{"family":"Dhakal","given":"Mamata"},{"family":"Smith","given":"Melanie Hudson"},{"family":"Newbery","given":"Robert"}],"issued":{"date-parts":[["2017"]]}}},{"id":44,"uris":["http://zotero.org/users/local/Alzi7ROo/items/EJRPQ7P7"],"itemData":{"id":44,"type":"article-journal","container-title":"The International Journal of Logistics Management","note":"publisher: Emerald Publishing Limited","source":"Google Scholar","title":"Unveiling the potentials of circular economy values in logistics and supply chain management","author":[{"family":"Ripanti","given":"Eva Faja"},{"family":"Tjahjono","given":"Benny"}],"issued":{"date-parts":[["2019"]]}}}],"schema":"https://github.com/citation-style-language/schema/raw/master/csl-citation.json"} </w:instrText>
      </w:r>
      <w:r w:rsidRPr="009A3785">
        <w:rPr>
          <w:noProof/>
          <w:color w:val="000000"/>
          <w:sz w:val="26"/>
          <w:szCs w:val="26"/>
          <w:lang w:val="en-US"/>
        </w:rPr>
        <w:fldChar w:fldCharType="separate"/>
      </w:r>
      <w:r w:rsidRPr="009A3785">
        <w:rPr>
          <w:noProof/>
          <w:color w:val="000000"/>
          <w:sz w:val="26"/>
          <w:szCs w:val="26"/>
          <w:lang w:val="en-US"/>
        </w:rPr>
        <w:t xml:space="preserve"> (Bilitewski, 201</w:t>
      </w:r>
      <w:r w:rsidR="00404A11" w:rsidRPr="009A3785">
        <w:rPr>
          <w:noProof/>
          <w:color w:val="000000"/>
          <w:sz w:val="26"/>
          <w:szCs w:val="26"/>
          <w:lang w:val="en-US"/>
        </w:rPr>
        <w:t>1</w:t>
      </w:r>
      <w:r w:rsidRPr="009A3785">
        <w:rPr>
          <w:noProof/>
          <w:color w:val="000000"/>
          <w:sz w:val="26"/>
          <w:szCs w:val="26"/>
          <w:lang w:val="en-US"/>
        </w:rPr>
        <w:t>; Dhakal et al., 201</w:t>
      </w:r>
      <w:r w:rsidR="00BE232A" w:rsidRPr="009A3785">
        <w:rPr>
          <w:noProof/>
          <w:color w:val="000000"/>
          <w:sz w:val="26"/>
          <w:szCs w:val="26"/>
          <w:lang w:val="en-US"/>
        </w:rPr>
        <w:t>6</w:t>
      </w:r>
      <w:r w:rsidRPr="009A3785">
        <w:rPr>
          <w:noProof/>
          <w:color w:val="000000"/>
          <w:sz w:val="26"/>
          <w:szCs w:val="26"/>
          <w:lang w:val="en-US"/>
        </w:rPr>
        <w:t xml:space="preserve">; Ripanti </w:t>
      </w:r>
      <w:r w:rsidR="00404A11" w:rsidRPr="009A3785">
        <w:rPr>
          <w:noProof/>
          <w:color w:val="000000"/>
          <w:sz w:val="26"/>
          <w:szCs w:val="26"/>
          <w:lang w:val="en-US"/>
        </w:rPr>
        <w:t>&amp;</w:t>
      </w:r>
      <w:r w:rsidRPr="009A3785">
        <w:rPr>
          <w:noProof/>
          <w:color w:val="000000"/>
          <w:sz w:val="26"/>
          <w:szCs w:val="26"/>
          <w:lang w:val="en-US"/>
        </w:rPr>
        <w:t xml:space="preserve"> Tjahjono, 2019)</w:t>
      </w:r>
      <w:r w:rsidRPr="009A3785">
        <w:rPr>
          <w:noProof/>
          <w:color w:val="000000"/>
          <w:sz w:val="26"/>
          <w:szCs w:val="26"/>
          <w:lang w:val="en-US"/>
        </w:rPr>
        <w:fldChar w:fldCharType="end"/>
      </w:r>
      <w:r w:rsidRPr="009A3785">
        <w:rPr>
          <w:noProof/>
          <w:color w:val="000000"/>
          <w:sz w:val="26"/>
          <w:szCs w:val="26"/>
          <w:lang w:val="en-US"/>
        </w:rPr>
        <w:t>. Similarly, Environmental Sustainability Initiatives</w:t>
      </w:r>
      <w:r w:rsidR="00636098">
        <w:rPr>
          <w:noProof/>
          <w:color w:val="000000"/>
          <w:sz w:val="26"/>
          <w:szCs w:val="26"/>
          <w:lang w:val="en-US"/>
        </w:rPr>
        <w:t>,</w:t>
      </w:r>
      <w:r w:rsidRPr="009A3785">
        <w:rPr>
          <w:noProof/>
          <w:color w:val="000000"/>
          <w:sz w:val="26"/>
          <w:szCs w:val="26"/>
          <w:lang w:val="en-US"/>
        </w:rPr>
        <w:t xml:space="preserve"> such as </w:t>
      </w:r>
      <w:r w:rsidR="00636098">
        <w:rPr>
          <w:noProof/>
          <w:color w:val="000000"/>
          <w:sz w:val="26"/>
          <w:szCs w:val="26"/>
          <w:lang w:val="en-US"/>
        </w:rPr>
        <w:t>r</w:t>
      </w:r>
      <w:r w:rsidRPr="009A3785">
        <w:rPr>
          <w:noProof/>
          <w:color w:val="000000"/>
          <w:sz w:val="26"/>
          <w:szCs w:val="26"/>
          <w:lang w:val="en-US"/>
        </w:rPr>
        <w:t>educing gas emissions, minimizing waste</w:t>
      </w:r>
      <w:r w:rsidR="00636098">
        <w:rPr>
          <w:noProof/>
          <w:color w:val="000000"/>
          <w:sz w:val="26"/>
          <w:szCs w:val="26"/>
          <w:lang w:val="en-US"/>
        </w:rPr>
        <w:t>, and</w:t>
      </w:r>
      <w:r w:rsidRPr="009A3785">
        <w:rPr>
          <w:noProof/>
          <w:color w:val="000000"/>
          <w:sz w:val="26"/>
          <w:szCs w:val="26"/>
          <w:lang w:val="en-US"/>
        </w:rPr>
        <w:t xml:space="preserve"> minimizing the use of virgin input materials</w:t>
      </w:r>
      <w:r w:rsidR="00636098">
        <w:rPr>
          <w:noProof/>
          <w:color w:val="000000"/>
          <w:sz w:val="26"/>
          <w:szCs w:val="26"/>
          <w:lang w:val="en-US"/>
        </w:rPr>
        <w:t>,</w:t>
      </w:r>
      <w:r w:rsidRPr="009A3785">
        <w:rPr>
          <w:noProof/>
          <w:color w:val="000000"/>
          <w:sz w:val="26"/>
          <w:szCs w:val="26"/>
          <w:lang w:val="en-US"/>
        </w:rPr>
        <w:t xml:space="preserve"> are associated with economic growth in various settings </w:t>
      </w:r>
      <w:r w:rsidRPr="009A3785">
        <w:rPr>
          <w:noProof/>
          <w:color w:val="000000"/>
          <w:sz w:val="26"/>
          <w:szCs w:val="26"/>
          <w:lang w:val="en-US"/>
        </w:rPr>
        <w:fldChar w:fldCharType="begin"/>
      </w:r>
      <w:r w:rsidR="008F2135" w:rsidRPr="009A3785">
        <w:rPr>
          <w:noProof/>
          <w:color w:val="000000"/>
          <w:sz w:val="26"/>
          <w:szCs w:val="26"/>
          <w:lang w:val="en-US"/>
        </w:rPr>
        <w:instrText xml:space="preserve"> ADDIN ZOTERO_ITEM CSL_CITATION {"citationID":"5cLk1Xnh","properties":{"formattedCitation":"(Parvin et al., 2020; Patricio et al., 2018; Setiawan &amp; Iswati, 2019)","plainCitation":"(Parvin et al., 2020; Patricio et al., 2018; Setiawan &amp; Iswati, 2019)","dontUpdate":true,"noteIndex":0},"citationItems":[{"id":3090,"uris":["http://zotero.org/users/local/Alzi7ROo/items/KB64LGS5"],"itemData":{"id":3090,"type":"article-journal","container-title":"Biomed. J. Sci. Tech. Res","page":"21831–21844","source":"Google Scholar","title":"A study on the solutions of environment pollutions and worker’s health problems caused by textile manufacturing operations","volume":"28","author":[{"family":"Parvin","given":"Forida"},{"family":"Islam","given":"Shariful"},{"family":"Akm","given":"Saiful Islam"},{"family":"Urmy","given":"Zakia"},{"family":"Ahmed","given":"Shaharia"}],"issued":{"date-parts":[["2020"]]}}},{"id":1212,"uris":["http://zotero.org/users/local/Alzi7ROo/items/WKC3ZMHM"],"itemData":{"id":1212,"type":"article-journal","abstract":"Small and Medium Enterprises make up the vast majority of the businesses within the European Union, and are consequently important contributors to local and regional well-being. Nevertheless, Small and Medium Enterprises face many challenges when it comes to fostering innovation and improving environmental performance as part of their day-to-day activities. In parallel, the global consumption of raw materials is increasing, which makes it necessary to define and establish strategies to reduce the amount of, and dependence on, raw material extraction and imports, whilst also improving the sustainability of SMEs. In this context it is essential to promote circular economy strategies, such as industrial symbiosis partnerships, where companies use the waste products of other industries as raw materials. To achieve this, there is a need to find enablers to support industrial symbiosis collaborations among SMEs. These could include regional developers and local authorities. The aims of this study are to investigate whether industrial symbiosis is already a common practice within SMEs in the Västra Götaland Region of Sweden, as well as identifying barriers and motivations for partnerships. For this purpose, case studies of two industries were carried out: beer production and mushroom farming. Information was collected using on-site visits and semi-structured interviews, and the key findings where combined with a literature review, then used to propose new industrial symbiosis opportunities. The results show that industrial symbiosis is already used by some of the beer and mushroom producers. Economic gains and better environmental performance were presented as the main motivations for the companies to be involved in these partnerships. Nevertheless, industrial symbiosis could be extended to also include those companies that do not yet share their waste, mostly due to a lack of time or knowledge. Consequently, the study suggests potential industrial symbiosis partnerships that could be implemented within a short period of time, and be used by the local authorities to help SMEs to achieve circularity of wastes. Future work considers the dissemination of the results among SMEs as well as apply the approach to other types of industries operating in the region to identify additional IS potential partnerships. © 2018 Elsevier Ltd","container-title":"Journal of Cleaner Production","DOI":"10.1016/j.jclepro.2018.07.230","ISSN":"09596526","language":"English","note":"publisher: Elsevier Ltd\ntype: Article","page":"1120 – 1130","title":"Enabling industrial symbiosis collaborations between SMEs from a regional perspective","volume":"202","author":[{"family":"Patricio","given":"Joao"},{"family":"Axelsson","given":"Lovisa"},{"family":"Blomé","given":"Simon"},{"family":"Rosado","given":"Leonardo"}],"issued":{"date-parts":[["2018"]]}}},{"id":3119,"uris":["http://zotero.org/users/local/Alzi7ROo/items/UJ5TL5UZ"],"itemData":{"id":3119,"type":"article-journal","container-title":"Indonesian Journal of Sustainability Accounting and Management","issue":"2","page":"215â–226","source":"Google Scholar","title":"Carbon emissions disclosure, environmental management system, and environmental performance: evidence from the plantation industries in indonesia","title-short":"Carbon emissions disclosure, environmental management system, and environmental performance","volume":"3","author":[{"family":"Setiawan","given":"Pikar"},{"family":"Iswati","given":"Sri"}],"issued":{"date-parts":[["2019"]]}}}],"schema":"https://github.com/citation-style-language/schema/raw/master/csl-citation.json"} </w:instrText>
      </w:r>
      <w:r w:rsidRPr="009A3785">
        <w:rPr>
          <w:noProof/>
          <w:color w:val="000000"/>
          <w:sz w:val="26"/>
          <w:szCs w:val="26"/>
          <w:lang w:val="en-US"/>
        </w:rPr>
        <w:fldChar w:fldCharType="separate"/>
      </w:r>
      <w:r w:rsidRPr="009A3785">
        <w:rPr>
          <w:noProof/>
          <w:color w:val="000000"/>
          <w:sz w:val="26"/>
          <w:szCs w:val="26"/>
          <w:lang w:val="en-US"/>
        </w:rPr>
        <w:t xml:space="preserve">(Parvin et al., 2020; Patricio et al., 2018; Setiawan </w:t>
      </w:r>
      <w:r w:rsidR="00404A11" w:rsidRPr="009A3785">
        <w:rPr>
          <w:noProof/>
          <w:color w:val="000000"/>
          <w:sz w:val="26"/>
          <w:szCs w:val="26"/>
          <w:lang w:val="en-US"/>
        </w:rPr>
        <w:t>&amp;</w:t>
      </w:r>
      <w:r w:rsidRPr="009A3785">
        <w:rPr>
          <w:noProof/>
          <w:color w:val="000000"/>
          <w:sz w:val="26"/>
          <w:szCs w:val="26"/>
          <w:lang w:val="en-US"/>
        </w:rPr>
        <w:t xml:space="preserve"> Iswati, 2019)</w:t>
      </w:r>
      <w:r w:rsidRPr="009A3785">
        <w:rPr>
          <w:noProof/>
          <w:color w:val="000000"/>
          <w:sz w:val="26"/>
          <w:szCs w:val="26"/>
          <w:lang w:val="en-US"/>
        </w:rPr>
        <w:fldChar w:fldCharType="end"/>
      </w:r>
      <w:r w:rsidRPr="009A3785">
        <w:rPr>
          <w:noProof/>
          <w:color w:val="000000"/>
          <w:sz w:val="26"/>
          <w:szCs w:val="26"/>
          <w:lang w:val="en-US"/>
        </w:rPr>
        <w:t>. These insights informed the formulation of the following hypotheses:</w:t>
      </w:r>
    </w:p>
    <w:p w14:paraId="7C5E0ED3" w14:textId="77777777" w:rsidR="00337D42" w:rsidRPr="009A3785" w:rsidRDefault="00337D42" w:rsidP="00824E69">
      <w:pPr>
        <w:snapToGrid w:val="0"/>
        <w:spacing w:line="300" w:lineRule="auto"/>
        <w:ind w:firstLineChars="200" w:firstLine="520"/>
        <w:jc w:val="both"/>
        <w:rPr>
          <w:noProof/>
          <w:color w:val="000000"/>
          <w:sz w:val="26"/>
          <w:szCs w:val="26"/>
          <w:lang w:val="en-US"/>
        </w:rPr>
      </w:pPr>
    </w:p>
    <w:p w14:paraId="23030A4F" w14:textId="3E80F308" w:rsidR="002B41C7" w:rsidRPr="009A3785" w:rsidRDefault="002B41C7" w:rsidP="00824E69">
      <w:pPr>
        <w:snapToGrid w:val="0"/>
        <w:spacing w:line="300" w:lineRule="auto"/>
        <w:ind w:left="521" w:hangingChars="200" w:hanging="521"/>
        <w:jc w:val="both"/>
        <w:rPr>
          <w:noProof/>
          <w:color w:val="000000"/>
          <w:sz w:val="26"/>
          <w:szCs w:val="26"/>
          <w:lang w:val="en-US"/>
        </w:rPr>
      </w:pPr>
      <w:r w:rsidRPr="009A3785">
        <w:rPr>
          <w:b/>
          <w:bCs/>
          <w:noProof/>
          <w:color w:val="000000"/>
          <w:sz w:val="26"/>
          <w:szCs w:val="26"/>
          <w:lang w:val="en-US"/>
        </w:rPr>
        <w:t>H</w:t>
      </w:r>
      <w:r w:rsidRPr="009B67B6">
        <w:rPr>
          <w:b/>
          <w:bCs/>
          <w:noProof/>
          <w:color w:val="000000"/>
          <w:sz w:val="26"/>
          <w:szCs w:val="26"/>
          <w:vertAlign w:val="subscript"/>
          <w:lang w:val="en-US"/>
        </w:rPr>
        <w:t>1</w:t>
      </w:r>
      <w:r w:rsidRPr="009A3785">
        <w:rPr>
          <w:b/>
          <w:bCs/>
          <w:noProof/>
          <w:color w:val="000000"/>
          <w:sz w:val="26"/>
          <w:szCs w:val="26"/>
          <w:lang w:val="en-US"/>
        </w:rPr>
        <w:t>:</w:t>
      </w:r>
      <w:r w:rsidRPr="009A3785">
        <w:rPr>
          <w:noProof/>
          <w:color w:val="000000"/>
          <w:sz w:val="26"/>
          <w:szCs w:val="26"/>
          <w:lang w:val="en-US"/>
        </w:rPr>
        <w:t xml:space="preserve"> It can be postulated that Circular Supply Chain Enablers (CSCE) have </w:t>
      </w:r>
      <w:r w:rsidR="00636098">
        <w:rPr>
          <w:noProof/>
          <w:color w:val="000000"/>
          <w:sz w:val="26"/>
          <w:szCs w:val="26"/>
          <w:lang w:val="en-US"/>
        </w:rPr>
        <w:t>a significant positive</w:t>
      </w:r>
      <w:r w:rsidRPr="009A3785">
        <w:rPr>
          <w:noProof/>
          <w:color w:val="000000"/>
          <w:sz w:val="26"/>
          <w:szCs w:val="26"/>
          <w:lang w:val="en-US"/>
        </w:rPr>
        <w:t xml:space="preserve"> impact on Economic </w:t>
      </w:r>
      <w:r w:rsidR="005855C5">
        <w:rPr>
          <w:noProof/>
          <w:color w:val="000000"/>
          <w:sz w:val="26"/>
          <w:szCs w:val="26"/>
          <w:lang w:val="en-US"/>
        </w:rPr>
        <w:t>G</w:t>
      </w:r>
      <w:r w:rsidRPr="009A3785">
        <w:rPr>
          <w:noProof/>
          <w:color w:val="000000"/>
          <w:sz w:val="26"/>
          <w:szCs w:val="26"/>
          <w:lang w:val="en-US"/>
        </w:rPr>
        <w:t>rowth (EG).</w:t>
      </w:r>
    </w:p>
    <w:p w14:paraId="46AF44FA" w14:textId="6E53029A" w:rsidR="002B41C7" w:rsidRDefault="002B41C7" w:rsidP="00824E69">
      <w:pPr>
        <w:snapToGrid w:val="0"/>
        <w:spacing w:line="300" w:lineRule="auto"/>
        <w:ind w:left="521" w:hangingChars="200" w:hanging="521"/>
        <w:jc w:val="both"/>
        <w:rPr>
          <w:noProof/>
          <w:color w:val="000000"/>
          <w:sz w:val="26"/>
          <w:szCs w:val="26"/>
          <w:lang w:val="en-US"/>
        </w:rPr>
      </w:pPr>
      <w:r w:rsidRPr="009A3785">
        <w:rPr>
          <w:b/>
          <w:bCs/>
          <w:noProof/>
          <w:color w:val="000000"/>
          <w:sz w:val="26"/>
          <w:szCs w:val="26"/>
          <w:lang w:val="en-US"/>
        </w:rPr>
        <w:t>H</w:t>
      </w:r>
      <w:r w:rsidRPr="009B67B6">
        <w:rPr>
          <w:b/>
          <w:bCs/>
          <w:noProof/>
          <w:color w:val="000000"/>
          <w:sz w:val="26"/>
          <w:szCs w:val="26"/>
          <w:vertAlign w:val="subscript"/>
          <w:lang w:val="en-US"/>
        </w:rPr>
        <w:t>2</w:t>
      </w:r>
      <w:r w:rsidRPr="009A3785">
        <w:rPr>
          <w:b/>
          <w:bCs/>
          <w:noProof/>
          <w:color w:val="000000"/>
          <w:sz w:val="26"/>
          <w:szCs w:val="26"/>
          <w:lang w:val="en-US"/>
        </w:rPr>
        <w:t>:</w:t>
      </w:r>
      <w:r w:rsidRPr="009A3785">
        <w:rPr>
          <w:noProof/>
          <w:color w:val="000000"/>
          <w:sz w:val="26"/>
          <w:szCs w:val="26"/>
          <w:lang w:val="en-US"/>
        </w:rPr>
        <w:t xml:space="preserve"> </w:t>
      </w:r>
      <w:bookmarkStart w:id="7" w:name="_Hlk185006552"/>
      <w:r w:rsidRPr="009A3785">
        <w:rPr>
          <w:noProof/>
          <w:color w:val="000000"/>
          <w:sz w:val="26"/>
          <w:szCs w:val="26"/>
          <w:lang w:val="en-US"/>
        </w:rPr>
        <w:t xml:space="preserve">Environmental Sustainability Initiatives (ESI) </w:t>
      </w:r>
      <w:r w:rsidR="00636098">
        <w:rPr>
          <w:noProof/>
          <w:color w:val="000000"/>
          <w:sz w:val="26"/>
          <w:szCs w:val="26"/>
          <w:lang w:val="en-US"/>
        </w:rPr>
        <w:t>have a positive</w:t>
      </w:r>
      <w:r w:rsidRPr="009A3785">
        <w:rPr>
          <w:noProof/>
          <w:color w:val="000000"/>
          <w:sz w:val="26"/>
          <w:szCs w:val="26"/>
          <w:lang w:val="en-US"/>
        </w:rPr>
        <w:t xml:space="preserve"> impact </w:t>
      </w:r>
      <w:r w:rsidR="00636098">
        <w:rPr>
          <w:noProof/>
          <w:color w:val="000000"/>
          <w:sz w:val="26"/>
          <w:szCs w:val="26"/>
          <w:lang w:val="en-US"/>
        </w:rPr>
        <w:t xml:space="preserve">on </w:t>
      </w:r>
      <w:r w:rsidRPr="009A3785">
        <w:rPr>
          <w:noProof/>
          <w:color w:val="000000"/>
          <w:sz w:val="26"/>
          <w:szCs w:val="26"/>
          <w:lang w:val="en-US"/>
        </w:rPr>
        <w:t>Economic Growth (EG).</w:t>
      </w:r>
      <w:bookmarkEnd w:id="7"/>
    </w:p>
    <w:p w14:paraId="0197CA7B" w14:textId="77777777" w:rsidR="00330023" w:rsidRPr="009A3785" w:rsidRDefault="00330023" w:rsidP="00824E69">
      <w:pPr>
        <w:snapToGrid w:val="0"/>
        <w:spacing w:line="300" w:lineRule="auto"/>
        <w:ind w:left="520" w:hangingChars="200" w:hanging="520"/>
        <w:jc w:val="both"/>
        <w:rPr>
          <w:noProof/>
          <w:color w:val="000000"/>
          <w:sz w:val="26"/>
          <w:szCs w:val="26"/>
          <w:lang w:val="en-US"/>
        </w:rPr>
      </w:pPr>
    </w:p>
    <w:p w14:paraId="50E4F8BD" w14:textId="5945B594" w:rsidR="00F8647A" w:rsidRDefault="00636098" w:rsidP="00824E69">
      <w:pPr>
        <w:snapToGrid w:val="0"/>
        <w:spacing w:line="300" w:lineRule="auto"/>
        <w:ind w:firstLineChars="200" w:firstLine="520"/>
        <w:jc w:val="both"/>
        <w:rPr>
          <w:noProof/>
          <w:color w:val="000000"/>
          <w:sz w:val="26"/>
          <w:szCs w:val="26"/>
          <w:lang w:val="en-US"/>
        </w:rPr>
      </w:pPr>
      <w:r>
        <w:rPr>
          <w:noProof/>
          <w:color w:val="000000"/>
          <w:sz w:val="26"/>
          <w:szCs w:val="26"/>
          <w:lang w:val="en-US"/>
        </w:rPr>
        <w:t>Although</w:t>
      </w:r>
      <w:r w:rsidR="00F8647A" w:rsidRPr="009A3785">
        <w:rPr>
          <w:noProof/>
          <w:color w:val="000000"/>
          <w:sz w:val="26"/>
          <w:szCs w:val="26"/>
          <w:lang w:val="en-US"/>
        </w:rPr>
        <w:t xml:space="preserve"> the hypotheses are grounded in </w:t>
      </w:r>
      <w:r>
        <w:rPr>
          <w:noProof/>
          <w:color w:val="000000"/>
          <w:sz w:val="26"/>
          <w:szCs w:val="26"/>
          <w:lang w:val="en-US"/>
        </w:rPr>
        <w:t>existing</w:t>
      </w:r>
      <w:r w:rsidR="00F8647A" w:rsidRPr="009A3785">
        <w:rPr>
          <w:noProof/>
          <w:color w:val="000000"/>
          <w:sz w:val="26"/>
          <w:szCs w:val="26"/>
          <w:lang w:val="en-US"/>
        </w:rPr>
        <w:t xml:space="preserve"> literature, their applica</w:t>
      </w:r>
      <w:r>
        <w:rPr>
          <w:noProof/>
          <w:color w:val="000000"/>
          <w:sz w:val="26"/>
          <w:szCs w:val="26"/>
          <w:lang w:val="en-US"/>
        </w:rPr>
        <w:t>bility</w:t>
      </w:r>
      <w:r w:rsidR="00F8647A" w:rsidRPr="009A3785">
        <w:rPr>
          <w:noProof/>
          <w:color w:val="000000"/>
          <w:sz w:val="26"/>
          <w:szCs w:val="26"/>
          <w:lang w:val="en-US"/>
        </w:rPr>
        <w:t xml:space="preserve"> and relevance to the Moroccan textile industry have not been </w:t>
      </w:r>
      <w:r>
        <w:rPr>
          <w:noProof/>
          <w:color w:val="000000"/>
          <w:sz w:val="26"/>
          <w:szCs w:val="26"/>
          <w:lang w:val="en-US"/>
        </w:rPr>
        <w:t xml:space="preserve">thoroughly </w:t>
      </w:r>
      <w:r w:rsidR="00F8647A" w:rsidRPr="009A3785">
        <w:rPr>
          <w:noProof/>
          <w:color w:val="000000"/>
          <w:sz w:val="26"/>
          <w:szCs w:val="26"/>
          <w:lang w:val="en-US"/>
        </w:rPr>
        <w:t xml:space="preserve">tested. This paper fills this gap by </w:t>
      </w:r>
      <w:r>
        <w:rPr>
          <w:noProof/>
          <w:color w:val="000000"/>
          <w:sz w:val="26"/>
          <w:szCs w:val="26"/>
          <w:lang w:val="en-US"/>
        </w:rPr>
        <w:t>operationalizing</w:t>
      </w:r>
      <w:r w:rsidR="00F8647A" w:rsidRPr="009A3785">
        <w:rPr>
          <w:noProof/>
          <w:color w:val="000000"/>
          <w:sz w:val="26"/>
          <w:szCs w:val="26"/>
          <w:lang w:val="en-US"/>
        </w:rPr>
        <w:t xml:space="preserve"> the latent constructs </w:t>
      </w:r>
      <w:r>
        <w:rPr>
          <w:noProof/>
          <w:color w:val="000000"/>
          <w:sz w:val="26"/>
          <w:szCs w:val="26"/>
          <w:lang w:val="en-US"/>
        </w:rPr>
        <w:t>using observable variables and examining</w:t>
      </w:r>
      <w:r w:rsidR="00F8647A" w:rsidRPr="009A3785">
        <w:rPr>
          <w:noProof/>
          <w:color w:val="000000"/>
          <w:sz w:val="26"/>
          <w:szCs w:val="26"/>
          <w:lang w:val="en-US"/>
        </w:rPr>
        <w:t xml:space="preserve"> the hypotheses through a structural equation model</w:t>
      </w:r>
      <w:r>
        <w:rPr>
          <w:noProof/>
          <w:color w:val="000000"/>
          <w:sz w:val="26"/>
          <w:szCs w:val="26"/>
          <w:lang w:val="en-US"/>
        </w:rPr>
        <w:t>,</w:t>
      </w:r>
      <w:r w:rsidR="00F8647A" w:rsidRPr="009A3785">
        <w:rPr>
          <w:noProof/>
          <w:color w:val="000000"/>
          <w:sz w:val="26"/>
          <w:szCs w:val="26"/>
          <w:lang w:val="en-US"/>
        </w:rPr>
        <w:t xml:space="preserve"> u</w:t>
      </w:r>
      <w:r>
        <w:rPr>
          <w:noProof/>
          <w:color w:val="000000"/>
          <w:sz w:val="26"/>
          <w:szCs w:val="26"/>
          <w:lang w:val="en-US"/>
        </w:rPr>
        <w:t>tiliz</w:t>
      </w:r>
      <w:r w:rsidR="00F8647A" w:rsidRPr="009A3785">
        <w:rPr>
          <w:noProof/>
          <w:color w:val="000000"/>
          <w:sz w:val="26"/>
          <w:szCs w:val="26"/>
          <w:lang w:val="en-US"/>
        </w:rPr>
        <w:t xml:space="preserve">ing SmartPLS software. The measurement model </w:t>
      </w:r>
      <w:r>
        <w:rPr>
          <w:noProof/>
          <w:color w:val="000000"/>
          <w:sz w:val="26"/>
          <w:szCs w:val="26"/>
          <w:lang w:val="en-US"/>
        </w:rPr>
        <w:t>employ</w:t>
      </w:r>
      <w:r w:rsidR="00F8647A" w:rsidRPr="009A3785">
        <w:rPr>
          <w:noProof/>
          <w:color w:val="000000"/>
          <w:sz w:val="26"/>
          <w:szCs w:val="26"/>
          <w:lang w:val="en-US"/>
        </w:rPr>
        <w:t>s a formative specification of Circular Supply Chain Enablers (CSCE), Environmental Sustainability Initiatives (ESI), and Economic Growth (EG)</w:t>
      </w:r>
      <w:r>
        <w:rPr>
          <w:noProof/>
          <w:color w:val="000000"/>
          <w:sz w:val="26"/>
          <w:szCs w:val="26"/>
          <w:lang w:val="en-US"/>
        </w:rPr>
        <w:t>,</w:t>
      </w:r>
      <w:r w:rsidR="00F8647A" w:rsidRPr="009A3785">
        <w:rPr>
          <w:noProof/>
          <w:color w:val="000000"/>
          <w:sz w:val="26"/>
          <w:szCs w:val="26"/>
          <w:lang w:val="en-US"/>
        </w:rPr>
        <w:t xml:space="preserve"> as the</w:t>
      </w:r>
      <w:r>
        <w:rPr>
          <w:noProof/>
          <w:color w:val="000000"/>
          <w:sz w:val="26"/>
          <w:szCs w:val="26"/>
          <w:lang w:val="en-US"/>
        </w:rPr>
        <w:t>se</w:t>
      </w:r>
      <w:r w:rsidR="00F8647A" w:rsidRPr="009A3785">
        <w:rPr>
          <w:noProof/>
          <w:color w:val="000000"/>
          <w:sz w:val="26"/>
          <w:szCs w:val="26"/>
          <w:lang w:val="en-US"/>
        </w:rPr>
        <w:t xml:space="preserve"> are built on distinct and non-substitutable elements. CSCE and ESI comprise a variety of enablers and environmental initiatives, respectively, each contributing uniquely to the construct. In a similar context, EG encompasses </w:t>
      </w:r>
      <w:r>
        <w:rPr>
          <w:noProof/>
          <w:color w:val="000000"/>
          <w:sz w:val="26"/>
          <w:szCs w:val="26"/>
          <w:lang w:val="en-US"/>
        </w:rPr>
        <w:t>several</w:t>
      </w:r>
      <w:r w:rsidR="00F8647A" w:rsidRPr="009A3785">
        <w:rPr>
          <w:noProof/>
          <w:color w:val="000000"/>
          <w:sz w:val="26"/>
          <w:szCs w:val="26"/>
          <w:lang w:val="en-US"/>
        </w:rPr>
        <w:t xml:space="preserve"> economic indicators that </w:t>
      </w:r>
      <w:r>
        <w:rPr>
          <w:noProof/>
          <w:color w:val="000000"/>
          <w:sz w:val="26"/>
          <w:szCs w:val="26"/>
          <w:lang w:val="en-US"/>
        </w:rPr>
        <w:t>collectively</w:t>
      </w:r>
      <w:r w:rsidR="00F8647A" w:rsidRPr="009A3785">
        <w:rPr>
          <w:noProof/>
          <w:color w:val="000000"/>
          <w:sz w:val="26"/>
          <w:szCs w:val="26"/>
          <w:lang w:val="en-US"/>
        </w:rPr>
        <w:t xml:space="preserve"> </w:t>
      </w:r>
      <w:r w:rsidR="00337D42">
        <w:rPr>
          <w:noProof/>
          <w:color w:val="000000"/>
          <w:sz w:val="26"/>
          <w:szCs w:val="26"/>
          <w:lang w:val="en-US"/>
        </w:rPr>
        <w:t>determine sectoral economic growth effectively</w:t>
      </w:r>
      <w:r w:rsidR="00F8647A" w:rsidRPr="009A3785">
        <w:rPr>
          <w:noProof/>
          <w:color w:val="000000"/>
          <w:sz w:val="26"/>
          <w:szCs w:val="26"/>
          <w:lang w:val="en-US"/>
        </w:rPr>
        <w:t xml:space="preserve">. The validity of measurement is made by using the assessment of the outer weights, analysis of multicollinearity based on the variance inflation factors (VIF), and testing of significance levels based on bootstrapping, as per the accepted standards of the methodological points of view of formative constructs </w:t>
      </w:r>
      <w:r w:rsidR="00D926B3" w:rsidRPr="009A3785">
        <w:rPr>
          <w:noProof/>
          <w:color w:val="000000"/>
          <w:sz w:val="26"/>
          <w:szCs w:val="26"/>
          <w:lang w:val="en-US"/>
        </w:rPr>
        <w:fldChar w:fldCharType="begin"/>
      </w:r>
      <w:r w:rsidR="00D926B3" w:rsidRPr="009A3785">
        <w:rPr>
          <w:noProof/>
          <w:color w:val="000000"/>
          <w:sz w:val="26"/>
          <w:szCs w:val="26"/>
          <w:lang w:val="en-US"/>
        </w:rPr>
        <w:instrText xml:space="preserve"> ADDIN ZOTERO_ITEM CSL_CITATION {"citationID":"8LROurSo","properties":{"formattedCitation":"(Cenfetelli &amp; Bassellier, 2009; Hair Jr et al., 2021)","plainCitation":"(Cenfetelli &amp; Bassellier, 2009; Hair Jr et al., 2021)","noteIndex":0},"citationItems":[{"id":3133,"uris":["http://zotero.org/users/local/Alzi7ROo/items/SSPE48P8"],"itemData":{"id":3133,"type":"article-journal","container-title":"MIS quarterly","note":"publisher: JSTOR","page":"689–707","source":"Google Scholar","title":"Interpretation of formative measurement in information systems research","author":[{"family":"Cenfetelli","given":"Ronald T."},{"family":"Bassellier","given":"Geneviève"}],"issued":{"date-parts":[["2009"]]}}},{"id":3831,"uris":["http://zotero.org/users/local/Alzi7ROo/items/4VS4N8A3"],"itemData":{"id":3831,"type":"chapter","container-title":"Partial least squares structural equation modeling (PLS-SEM) using R: A workbook","page":"91–113","publisher":"Springer International Publishing Cham","source":"Google Scholar","title":"Evaluation of formative measurement models","URL":"https://library.oapen.org/bitstream/handle/20.500.12657/51463/9783030805197.pdf?sequence%C2%A0=%C2%A01#page=104","author":[{"family":"Hair Jr","given":"Joseph F."},{"family":"Hult","given":"G. Tomas M."},{"family":"Ringle","given":"Christian M."},{"family":"Sarstedt","given":"Marko"},{"family":"Danks","given":"Nicholas P."},{"family":"Ray","given":"Soumya"}],"accessed":{"date-parts":[["2025",8,4]]},"issued":{"date-parts":[["2021"]]}}}],"schema":"https://github.com/citation-style-language/schema/raw/master/csl-citation.json"} </w:instrText>
      </w:r>
      <w:r w:rsidR="00D926B3" w:rsidRPr="009A3785">
        <w:rPr>
          <w:noProof/>
          <w:color w:val="000000"/>
          <w:sz w:val="26"/>
          <w:szCs w:val="26"/>
          <w:lang w:val="en-US"/>
        </w:rPr>
        <w:fldChar w:fldCharType="separate"/>
      </w:r>
      <w:r w:rsidR="00D926B3" w:rsidRPr="009A3785">
        <w:rPr>
          <w:sz w:val="26"/>
          <w:szCs w:val="26"/>
        </w:rPr>
        <w:t xml:space="preserve">(Cenfetelli &amp; Bassellier, 2009; </w:t>
      </w:r>
      <w:r w:rsidR="002B5C1E" w:rsidRPr="009A3785">
        <w:rPr>
          <w:sz w:val="26"/>
          <w:szCs w:val="26"/>
        </w:rPr>
        <w:t xml:space="preserve">J. F. </w:t>
      </w:r>
      <w:r w:rsidR="00D926B3" w:rsidRPr="009A3785">
        <w:rPr>
          <w:sz w:val="26"/>
          <w:szCs w:val="26"/>
        </w:rPr>
        <w:t>Hair et al., 2021)</w:t>
      </w:r>
      <w:r w:rsidR="00D926B3" w:rsidRPr="009A3785">
        <w:rPr>
          <w:noProof/>
          <w:color w:val="000000"/>
          <w:sz w:val="26"/>
          <w:szCs w:val="26"/>
          <w:lang w:val="en-US"/>
        </w:rPr>
        <w:fldChar w:fldCharType="end"/>
      </w:r>
      <w:r w:rsidR="00F8647A" w:rsidRPr="009A3785">
        <w:rPr>
          <w:noProof/>
          <w:color w:val="000000"/>
          <w:sz w:val="26"/>
          <w:szCs w:val="26"/>
          <w:lang w:val="en-US"/>
        </w:rPr>
        <w:t xml:space="preserve">. </w:t>
      </w:r>
      <w:r>
        <w:rPr>
          <w:noProof/>
          <w:color w:val="000000"/>
          <w:sz w:val="26"/>
          <w:szCs w:val="26"/>
          <w:lang w:val="en-US"/>
        </w:rPr>
        <w:t>This</w:t>
      </w:r>
      <w:r w:rsidR="00F8647A" w:rsidRPr="009A3785">
        <w:rPr>
          <w:noProof/>
          <w:color w:val="000000"/>
          <w:sz w:val="26"/>
          <w:szCs w:val="26"/>
          <w:lang w:val="en-US"/>
        </w:rPr>
        <w:t xml:space="preserve"> modeling method a</w:t>
      </w:r>
      <w:r>
        <w:rPr>
          <w:noProof/>
          <w:color w:val="000000"/>
          <w:sz w:val="26"/>
          <w:szCs w:val="26"/>
          <w:lang w:val="en-US"/>
        </w:rPr>
        <w:t>chieve</w:t>
      </w:r>
      <w:r w:rsidR="00F8647A" w:rsidRPr="009A3785">
        <w:rPr>
          <w:noProof/>
          <w:color w:val="000000"/>
          <w:sz w:val="26"/>
          <w:szCs w:val="26"/>
          <w:lang w:val="en-US"/>
        </w:rPr>
        <w:t xml:space="preserve">s methodological rigor and </w:t>
      </w:r>
      <w:r>
        <w:rPr>
          <w:noProof/>
          <w:color w:val="000000"/>
          <w:sz w:val="26"/>
          <w:szCs w:val="26"/>
          <w:lang w:val="en-US"/>
        </w:rPr>
        <w:t>provides nuanced insights into</w:t>
      </w:r>
      <w:r w:rsidR="00F8647A" w:rsidRPr="009A3785">
        <w:rPr>
          <w:noProof/>
          <w:color w:val="000000"/>
          <w:sz w:val="26"/>
          <w:szCs w:val="26"/>
          <w:lang w:val="en-US"/>
        </w:rPr>
        <w:t xml:space="preserve"> the determinants of economic growth in the Moroccan textile industry.</w:t>
      </w:r>
    </w:p>
    <w:p w14:paraId="6FF44A1A" w14:textId="77777777" w:rsidR="0069172C" w:rsidRPr="009A3785" w:rsidRDefault="0069172C" w:rsidP="00824E69">
      <w:pPr>
        <w:snapToGrid w:val="0"/>
        <w:spacing w:line="300" w:lineRule="auto"/>
        <w:ind w:firstLineChars="200" w:firstLine="520"/>
        <w:jc w:val="both"/>
        <w:rPr>
          <w:noProof/>
          <w:color w:val="000000"/>
          <w:sz w:val="26"/>
          <w:szCs w:val="26"/>
          <w:lang w:val="en-US"/>
        </w:rPr>
      </w:pPr>
    </w:p>
    <w:p w14:paraId="66B5310C" w14:textId="055C232E" w:rsidR="00527B92" w:rsidRPr="009A3785" w:rsidRDefault="001E0966" w:rsidP="00824E69">
      <w:pPr>
        <w:snapToGrid w:val="0"/>
        <w:spacing w:line="300" w:lineRule="auto"/>
        <w:jc w:val="both"/>
        <w:rPr>
          <w:b/>
          <w:noProof/>
          <w:color w:val="000000"/>
          <w:sz w:val="26"/>
          <w:szCs w:val="26"/>
          <w:lang w:val="en-US"/>
        </w:rPr>
      </w:pPr>
      <w:r w:rsidRPr="009A3785">
        <w:rPr>
          <w:b/>
          <w:noProof/>
          <w:color w:val="000000"/>
          <w:sz w:val="26"/>
          <w:szCs w:val="26"/>
          <w:lang w:val="en-US"/>
        </w:rPr>
        <w:t>Questionnaire Development and Data Collection</w:t>
      </w:r>
    </w:p>
    <w:p w14:paraId="442B9C55" w14:textId="2B71673F" w:rsidR="009018CF" w:rsidRPr="009A3785" w:rsidRDefault="009018CF" w:rsidP="00824E69">
      <w:pPr>
        <w:snapToGrid w:val="0"/>
        <w:spacing w:line="300" w:lineRule="auto"/>
        <w:ind w:firstLineChars="200" w:firstLine="520"/>
        <w:jc w:val="both"/>
        <w:rPr>
          <w:noProof/>
          <w:color w:val="000000"/>
          <w:sz w:val="26"/>
          <w:szCs w:val="26"/>
          <w:lang w:val="en-US"/>
        </w:rPr>
      </w:pPr>
      <w:r w:rsidRPr="009A3785">
        <w:rPr>
          <w:noProof/>
          <w:color w:val="000000"/>
          <w:sz w:val="26"/>
          <w:szCs w:val="26"/>
          <w:lang w:val="en-US"/>
        </w:rPr>
        <w:t xml:space="preserve">This paper tested our research hypotheses using the primary survey data collected from Moroccan textile firms. </w:t>
      </w:r>
      <w:r w:rsidR="00636098">
        <w:rPr>
          <w:noProof/>
          <w:color w:val="000000"/>
          <w:sz w:val="26"/>
          <w:szCs w:val="26"/>
          <w:lang w:val="en-US"/>
        </w:rPr>
        <w:t>Based on</w:t>
      </w:r>
      <w:r w:rsidRPr="009A3785">
        <w:rPr>
          <w:noProof/>
          <w:color w:val="000000"/>
          <w:sz w:val="26"/>
          <w:szCs w:val="26"/>
          <w:lang w:val="en-US"/>
        </w:rPr>
        <w:t xml:space="preserve"> this literature review, the observable variables were operationalized into measurement items for the survey</w:t>
      </w:r>
      <w:r w:rsidR="00636098">
        <w:rPr>
          <w:noProof/>
          <w:color w:val="000000"/>
          <w:sz w:val="26"/>
          <w:szCs w:val="26"/>
          <w:lang w:val="en-US"/>
        </w:rPr>
        <w:t>,</w:t>
      </w:r>
      <w:r w:rsidRPr="009A3785">
        <w:rPr>
          <w:noProof/>
          <w:color w:val="000000"/>
          <w:sz w:val="26"/>
          <w:szCs w:val="26"/>
          <w:lang w:val="en-US"/>
        </w:rPr>
        <w:t xml:space="preserve"> </w:t>
      </w:r>
      <w:r w:rsidR="00636098">
        <w:rPr>
          <w:noProof/>
          <w:color w:val="000000"/>
          <w:sz w:val="26"/>
          <w:szCs w:val="26"/>
          <w:lang w:val="en-US"/>
        </w:rPr>
        <w:t>which were</w:t>
      </w:r>
      <w:r w:rsidRPr="009A3785">
        <w:rPr>
          <w:noProof/>
          <w:color w:val="000000"/>
          <w:sz w:val="26"/>
          <w:szCs w:val="26"/>
          <w:lang w:val="en-US"/>
        </w:rPr>
        <w:t xml:space="preserve"> used to derive the questions for this study </w:t>
      </w:r>
      <w:r w:rsidR="00636098">
        <w:rPr>
          <w:noProof/>
          <w:color w:val="000000"/>
          <w:sz w:val="26"/>
          <w:szCs w:val="26"/>
          <w:lang w:val="en-US"/>
        </w:rPr>
        <w:t>and</w:t>
      </w:r>
      <w:r w:rsidRPr="009A3785">
        <w:rPr>
          <w:noProof/>
          <w:color w:val="000000"/>
          <w:sz w:val="26"/>
          <w:szCs w:val="26"/>
          <w:lang w:val="en-US"/>
        </w:rPr>
        <w:t xml:space="preserve"> are provided in Appendix 1. Each of these items is supported by previous research. As cited in the literature, the recogniz</w:t>
      </w:r>
      <w:r w:rsidR="00636098">
        <w:rPr>
          <w:noProof/>
          <w:color w:val="000000"/>
          <w:sz w:val="26"/>
          <w:szCs w:val="26"/>
          <w:lang w:val="en-US"/>
        </w:rPr>
        <w:t>ed</w:t>
      </w:r>
      <w:r w:rsidRPr="009A3785">
        <w:rPr>
          <w:noProof/>
          <w:color w:val="000000"/>
          <w:sz w:val="26"/>
          <w:szCs w:val="26"/>
          <w:lang w:val="en-US"/>
        </w:rPr>
        <w:t xml:space="preserve"> sources </w:t>
      </w:r>
      <w:r w:rsidR="00636098">
        <w:rPr>
          <w:noProof/>
          <w:color w:val="000000"/>
          <w:sz w:val="26"/>
          <w:szCs w:val="26"/>
          <w:lang w:val="en-US"/>
        </w:rPr>
        <w:t xml:space="preserve">of variables </w:t>
      </w:r>
      <w:r w:rsidRPr="009A3785">
        <w:rPr>
          <w:noProof/>
          <w:color w:val="000000"/>
          <w:sz w:val="26"/>
          <w:szCs w:val="26"/>
          <w:lang w:val="en-US"/>
        </w:rPr>
        <w:t xml:space="preserve">were employed to ensure </w:t>
      </w:r>
      <w:r w:rsidR="00636098">
        <w:rPr>
          <w:noProof/>
          <w:color w:val="000000"/>
          <w:sz w:val="26"/>
          <w:szCs w:val="26"/>
          <w:lang w:val="en-US"/>
        </w:rPr>
        <w:t xml:space="preserve">that </w:t>
      </w:r>
      <w:r w:rsidRPr="009A3785">
        <w:rPr>
          <w:noProof/>
          <w:color w:val="000000"/>
          <w:sz w:val="26"/>
          <w:szCs w:val="26"/>
          <w:lang w:val="en-US"/>
        </w:rPr>
        <w:t xml:space="preserve">the questions were created from </w:t>
      </w:r>
      <w:r w:rsidR="00636098">
        <w:rPr>
          <w:noProof/>
          <w:color w:val="000000"/>
          <w:sz w:val="26"/>
          <w:szCs w:val="26"/>
          <w:lang w:val="en-US"/>
        </w:rPr>
        <w:t xml:space="preserve">established </w:t>
      </w:r>
      <w:r w:rsidRPr="009A3785">
        <w:rPr>
          <w:noProof/>
          <w:color w:val="000000"/>
          <w:sz w:val="26"/>
          <w:szCs w:val="26"/>
          <w:lang w:val="en-US"/>
        </w:rPr>
        <w:t>scales.</w:t>
      </w:r>
    </w:p>
    <w:p w14:paraId="581942A4" w14:textId="460A4EA2" w:rsidR="009018CF" w:rsidRPr="009A3785" w:rsidRDefault="009018CF" w:rsidP="00824E69">
      <w:pPr>
        <w:snapToGrid w:val="0"/>
        <w:spacing w:line="300" w:lineRule="auto"/>
        <w:ind w:firstLineChars="200" w:firstLine="520"/>
        <w:jc w:val="both"/>
        <w:rPr>
          <w:noProof/>
          <w:color w:val="000000"/>
          <w:sz w:val="26"/>
          <w:szCs w:val="26"/>
          <w:lang w:val="en-US"/>
        </w:rPr>
      </w:pPr>
      <w:r w:rsidRPr="009A3785">
        <w:rPr>
          <w:noProof/>
          <w:color w:val="000000"/>
          <w:sz w:val="26"/>
          <w:szCs w:val="26"/>
          <w:lang w:val="en-US"/>
        </w:rPr>
        <w:t xml:space="preserve">Consequently, a stratified random sampling technique was </w:t>
      </w:r>
      <w:r w:rsidR="00636098">
        <w:rPr>
          <w:noProof/>
          <w:color w:val="000000"/>
          <w:sz w:val="26"/>
          <w:szCs w:val="26"/>
          <w:lang w:val="en-US"/>
        </w:rPr>
        <w:t>employ</w:t>
      </w:r>
      <w:r w:rsidRPr="009A3785">
        <w:rPr>
          <w:noProof/>
          <w:color w:val="000000"/>
          <w:sz w:val="26"/>
          <w:szCs w:val="26"/>
          <w:lang w:val="en-US"/>
        </w:rPr>
        <w:t xml:space="preserve">ed to </w:t>
      </w:r>
      <w:r w:rsidR="00636098">
        <w:rPr>
          <w:noProof/>
          <w:color w:val="000000"/>
          <w:sz w:val="26"/>
          <w:szCs w:val="26"/>
          <w:lang w:val="en-US"/>
        </w:rPr>
        <w:t>select</w:t>
      </w:r>
      <w:r w:rsidRPr="009A3785">
        <w:rPr>
          <w:noProof/>
          <w:color w:val="000000"/>
          <w:sz w:val="26"/>
          <w:szCs w:val="26"/>
          <w:lang w:val="en-US"/>
        </w:rPr>
        <w:t xml:space="preserve"> 287 textile firms </w:t>
      </w:r>
      <w:r w:rsidR="00636098">
        <w:rPr>
          <w:noProof/>
          <w:color w:val="000000"/>
          <w:sz w:val="26"/>
          <w:szCs w:val="26"/>
          <w:lang w:val="en-US"/>
        </w:rPr>
        <w:t>from</w:t>
      </w:r>
      <w:r w:rsidRPr="009A3785">
        <w:rPr>
          <w:noProof/>
          <w:color w:val="000000"/>
          <w:sz w:val="26"/>
          <w:szCs w:val="26"/>
          <w:lang w:val="en-US"/>
        </w:rPr>
        <w:t xml:space="preserve"> the 1078 textile firms in Morocco. The s</w:t>
      </w:r>
      <w:r w:rsidR="00636098">
        <w:rPr>
          <w:noProof/>
          <w:color w:val="000000"/>
          <w:sz w:val="26"/>
          <w:szCs w:val="26"/>
          <w:lang w:val="en-US"/>
        </w:rPr>
        <w:t>ample siz</w:t>
      </w:r>
      <w:r w:rsidRPr="009A3785">
        <w:rPr>
          <w:noProof/>
          <w:color w:val="000000"/>
          <w:sz w:val="26"/>
          <w:szCs w:val="26"/>
          <w:lang w:val="en-US"/>
        </w:rPr>
        <w:t xml:space="preserve">e was estimated </w:t>
      </w:r>
      <w:r w:rsidR="00636098">
        <w:rPr>
          <w:noProof/>
          <w:color w:val="000000"/>
          <w:sz w:val="26"/>
          <w:szCs w:val="26"/>
          <w:lang w:val="en-US"/>
        </w:rPr>
        <w:t>using</w:t>
      </w:r>
      <w:r w:rsidRPr="009A3785">
        <w:rPr>
          <w:noProof/>
          <w:color w:val="000000"/>
          <w:sz w:val="26"/>
          <w:szCs w:val="26"/>
          <w:lang w:val="en-US"/>
        </w:rPr>
        <w:t xml:space="preserve"> the Krejcie and Morgan sample size table</w:t>
      </w:r>
      <w:r w:rsidR="00636098">
        <w:rPr>
          <w:noProof/>
          <w:color w:val="000000"/>
          <w:sz w:val="26"/>
          <w:szCs w:val="26"/>
          <w:lang w:val="en-US"/>
        </w:rPr>
        <w:t>,</w:t>
      </w:r>
      <w:r w:rsidRPr="009A3785">
        <w:rPr>
          <w:noProof/>
          <w:color w:val="000000"/>
          <w:sz w:val="26"/>
          <w:szCs w:val="26"/>
          <w:lang w:val="en-US"/>
        </w:rPr>
        <w:t xml:space="preserve"> </w:t>
      </w:r>
      <w:r w:rsidR="00636098">
        <w:rPr>
          <w:noProof/>
          <w:color w:val="000000"/>
          <w:sz w:val="26"/>
          <w:szCs w:val="26"/>
          <w:lang w:val="en-US"/>
        </w:rPr>
        <w:t>which is based on</w:t>
      </w:r>
      <w:r w:rsidRPr="009A3785">
        <w:rPr>
          <w:noProof/>
          <w:color w:val="000000"/>
          <w:sz w:val="26"/>
          <w:szCs w:val="26"/>
          <w:lang w:val="en-US"/>
        </w:rPr>
        <w:t xml:space="preserve"> the target population size </w:t>
      </w:r>
      <w:r w:rsidRPr="009A3785">
        <w:rPr>
          <w:noProof/>
          <w:color w:val="000000"/>
          <w:sz w:val="26"/>
          <w:szCs w:val="26"/>
          <w:lang w:val="en-US"/>
        </w:rPr>
        <w:fldChar w:fldCharType="begin"/>
      </w:r>
      <w:r w:rsidR="008F2135" w:rsidRPr="009A3785">
        <w:rPr>
          <w:noProof/>
          <w:color w:val="000000"/>
          <w:sz w:val="26"/>
          <w:szCs w:val="26"/>
          <w:lang w:val="en-US"/>
        </w:rPr>
        <w:instrText xml:space="preserve"> ADDIN ZOTERO_ITEM CSL_CITATION {"citationID":"9Eo1kTHh","properties":{"formattedCitation":"(Krejcie &amp; Morgan, 1970)","plainCitation":"(Krejcie &amp; Morgan, 1970)","dontUpdate":true,"noteIndex":0},"citationItems":[{"id":76,"uris":["http://zotero.org/users/local/Alzi7ROo/items/LT968CKW"],"itemData":{"id":76,"type":"article-journal","container-title":"Educational and psychological measurement","issue":"3","note":"publisher: Sage publications Sage CA: Los Angeles, CA","page":"607–610","source":"Google Scholar","title":"Determining sample size for research activities","volume":"30","author":[{"family":"Krejcie","given":"Robert V."},{"family":"Morgan","given":"Daryle W."}],"issued":{"date-parts":[["1970"]]}}}],"schema":"https://github.com/citation-style-language/schema/raw/master/csl-citation.json"} </w:instrText>
      </w:r>
      <w:r w:rsidRPr="009A3785">
        <w:rPr>
          <w:noProof/>
          <w:color w:val="000000"/>
          <w:sz w:val="26"/>
          <w:szCs w:val="26"/>
          <w:lang w:val="en-US"/>
        </w:rPr>
        <w:fldChar w:fldCharType="separate"/>
      </w:r>
      <w:r w:rsidRPr="009A3785">
        <w:rPr>
          <w:noProof/>
          <w:color w:val="000000"/>
          <w:sz w:val="26"/>
          <w:szCs w:val="26"/>
          <w:lang w:val="en-US"/>
        </w:rPr>
        <w:t>(Krejcie</w:t>
      </w:r>
      <w:r w:rsidR="00404A11" w:rsidRPr="009A3785">
        <w:rPr>
          <w:noProof/>
          <w:color w:val="000000"/>
          <w:sz w:val="26"/>
          <w:szCs w:val="26"/>
          <w:lang w:val="en-US"/>
        </w:rPr>
        <w:t xml:space="preserve"> &amp; </w:t>
      </w:r>
      <w:r w:rsidRPr="009A3785">
        <w:rPr>
          <w:noProof/>
          <w:color w:val="000000"/>
          <w:sz w:val="26"/>
          <w:szCs w:val="26"/>
          <w:lang w:val="en-US"/>
        </w:rPr>
        <w:t>Morgan, 1970)</w:t>
      </w:r>
      <w:r w:rsidRPr="009A3785">
        <w:rPr>
          <w:noProof/>
          <w:color w:val="000000"/>
          <w:sz w:val="26"/>
          <w:szCs w:val="26"/>
          <w:lang w:val="en-US"/>
        </w:rPr>
        <w:fldChar w:fldCharType="end"/>
      </w:r>
      <w:r w:rsidRPr="009A3785">
        <w:rPr>
          <w:noProof/>
          <w:color w:val="000000"/>
          <w:sz w:val="26"/>
          <w:szCs w:val="26"/>
          <w:lang w:val="en-US"/>
        </w:rPr>
        <w:t xml:space="preserve">. The survey was designed as an online questionnaire </w:t>
      </w:r>
      <w:r w:rsidR="000B732E" w:rsidRPr="009A3785">
        <w:rPr>
          <w:noProof/>
          <w:color w:val="000000"/>
          <w:sz w:val="26"/>
          <w:szCs w:val="26"/>
          <w:lang w:val="en-US"/>
        </w:rPr>
        <w:t xml:space="preserve">with response options in a multiple-choice format </w:t>
      </w:r>
      <w:r w:rsidR="00636098">
        <w:rPr>
          <w:noProof/>
          <w:color w:val="000000"/>
          <w:sz w:val="26"/>
          <w:szCs w:val="26"/>
          <w:lang w:val="en-US"/>
        </w:rPr>
        <w:t>for</w:t>
      </w:r>
      <w:r w:rsidRPr="009A3785">
        <w:rPr>
          <w:noProof/>
          <w:color w:val="000000"/>
          <w:sz w:val="26"/>
          <w:szCs w:val="26"/>
          <w:lang w:val="en-US"/>
        </w:rPr>
        <w:t xml:space="preserve"> each question, using a Likert scale </w:t>
      </w:r>
      <w:r w:rsidR="00636098">
        <w:rPr>
          <w:noProof/>
          <w:color w:val="000000"/>
          <w:sz w:val="26"/>
          <w:szCs w:val="26"/>
          <w:lang w:val="en-US"/>
        </w:rPr>
        <w:t xml:space="preserve">ranging </w:t>
      </w:r>
      <w:r w:rsidRPr="009A3785">
        <w:rPr>
          <w:noProof/>
          <w:color w:val="000000"/>
          <w:sz w:val="26"/>
          <w:szCs w:val="26"/>
          <w:lang w:val="en-US"/>
        </w:rPr>
        <w:t xml:space="preserve">from 1 to 5. </w:t>
      </w:r>
      <w:r w:rsidR="006969FB" w:rsidRPr="009A3785">
        <w:rPr>
          <w:noProof/>
          <w:color w:val="000000"/>
          <w:sz w:val="26"/>
          <w:szCs w:val="26"/>
          <w:lang w:val="en-US"/>
        </w:rPr>
        <w:t>The participants were determined by the use of professional platforms and Textile industry directories in Morocco.</w:t>
      </w:r>
      <w:r w:rsidRPr="009A3785">
        <w:rPr>
          <w:noProof/>
          <w:color w:val="000000"/>
          <w:sz w:val="26"/>
          <w:szCs w:val="26"/>
          <w:lang w:val="en-US"/>
        </w:rPr>
        <w:t xml:space="preserve"> The Web-based survey was </w:t>
      </w:r>
      <w:r w:rsidR="00FD38BA" w:rsidRPr="009A3785">
        <w:rPr>
          <w:noProof/>
          <w:color w:val="000000"/>
          <w:sz w:val="26"/>
          <w:szCs w:val="26"/>
          <w:lang w:val="en-US"/>
        </w:rPr>
        <w:t>sent</w:t>
      </w:r>
      <w:r w:rsidRPr="009A3785">
        <w:rPr>
          <w:noProof/>
          <w:color w:val="000000"/>
          <w:sz w:val="26"/>
          <w:szCs w:val="26"/>
          <w:lang w:val="en-US"/>
        </w:rPr>
        <w:t xml:space="preserve"> </w:t>
      </w:r>
      <w:r w:rsidR="00636098">
        <w:rPr>
          <w:noProof/>
          <w:color w:val="000000"/>
          <w:sz w:val="26"/>
          <w:szCs w:val="26"/>
          <w:lang w:val="en-US"/>
        </w:rPr>
        <w:t>via e</w:t>
      </w:r>
      <w:r w:rsidRPr="009A3785">
        <w:rPr>
          <w:noProof/>
          <w:color w:val="000000"/>
          <w:sz w:val="26"/>
          <w:szCs w:val="26"/>
          <w:lang w:val="en-US"/>
        </w:rPr>
        <w:t>mail; together with the invitation, participants were provided with a brief description of the study’s relevance and purpose</w:t>
      </w:r>
      <w:r w:rsidR="00636098">
        <w:rPr>
          <w:noProof/>
          <w:color w:val="000000"/>
          <w:sz w:val="26"/>
          <w:szCs w:val="26"/>
          <w:lang w:val="en-US"/>
        </w:rPr>
        <w:t>. I</w:t>
      </w:r>
      <w:r w:rsidRPr="009A3785">
        <w:rPr>
          <w:noProof/>
          <w:color w:val="000000"/>
          <w:sz w:val="26"/>
          <w:szCs w:val="26"/>
          <w:lang w:val="en-US"/>
        </w:rPr>
        <w:t xml:space="preserve">t was mentioned that the selected company representatives should complete the questionnaire if they had more than four years of working experience in environmental management. </w:t>
      </w:r>
      <w:r w:rsidR="00185C3E" w:rsidRPr="009A3785">
        <w:rPr>
          <w:noProof/>
          <w:color w:val="000000"/>
          <w:sz w:val="26"/>
          <w:szCs w:val="26"/>
          <w:lang w:val="en-US"/>
        </w:rPr>
        <w:t>These participants are recognized as professionals within the Textile industry, and their experience was appreciable in the area of investigation in the study.</w:t>
      </w:r>
    </w:p>
    <w:p w14:paraId="5C1E7EA5" w14:textId="578579C9" w:rsidR="009018CF" w:rsidRPr="009A3785" w:rsidRDefault="009018CF" w:rsidP="00824E69">
      <w:pPr>
        <w:snapToGrid w:val="0"/>
        <w:spacing w:line="300" w:lineRule="auto"/>
        <w:ind w:firstLineChars="200" w:firstLine="520"/>
        <w:jc w:val="both"/>
        <w:rPr>
          <w:noProof/>
          <w:color w:val="000000"/>
          <w:sz w:val="26"/>
          <w:szCs w:val="26"/>
          <w:lang w:val="en-US"/>
        </w:rPr>
      </w:pPr>
      <w:r w:rsidRPr="009A3785">
        <w:rPr>
          <w:noProof/>
          <w:color w:val="000000"/>
          <w:sz w:val="26"/>
          <w:szCs w:val="26"/>
          <w:lang w:val="en-US"/>
        </w:rPr>
        <w:t xml:space="preserve">In total, 194 valid responses were collected, with one </w:t>
      </w:r>
      <w:r w:rsidR="00636098">
        <w:rPr>
          <w:noProof/>
          <w:color w:val="000000"/>
          <w:sz w:val="26"/>
          <w:szCs w:val="26"/>
          <w:lang w:val="en-US"/>
        </w:rPr>
        <w:t xml:space="preserve">response </w:t>
      </w:r>
      <w:r w:rsidRPr="009A3785">
        <w:rPr>
          <w:noProof/>
          <w:color w:val="000000"/>
          <w:sz w:val="26"/>
          <w:szCs w:val="26"/>
          <w:lang w:val="en-US"/>
        </w:rPr>
        <w:t xml:space="preserve">from each company </w:t>
      </w:r>
      <w:r w:rsidR="00636098">
        <w:rPr>
          <w:noProof/>
          <w:color w:val="000000"/>
          <w:sz w:val="26"/>
          <w:szCs w:val="26"/>
          <w:lang w:val="en-US"/>
        </w:rPr>
        <w:t>during</w:t>
      </w:r>
      <w:r w:rsidRPr="009A3785">
        <w:rPr>
          <w:noProof/>
          <w:color w:val="000000"/>
          <w:sz w:val="26"/>
          <w:szCs w:val="26"/>
          <w:lang w:val="en-US"/>
        </w:rPr>
        <w:t xml:space="preserve"> the survey period </w:t>
      </w:r>
      <w:r w:rsidR="00636098">
        <w:rPr>
          <w:noProof/>
          <w:color w:val="000000"/>
          <w:sz w:val="26"/>
          <w:szCs w:val="26"/>
          <w:lang w:val="en-US"/>
        </w:rPr>
        <w:t>from</w:t>
      </w:r>
      <w:r w:rsidRPr="009A3785">
        <w:rPr>
          <w:noProof/>
          <w:color w:val="000000"/>
          <w:sz w:val="26"/>
          <w:szCs w:val="26"/>
          <w:lang w:val="en-US"/>
        </w:rPr>
        <w:t xml:space="preserve"> October 2023 </w:t>
      </w:r>
      <w:r w:rsidR="00636098">
        <w:rPr>
          <w:noProof/>
          <w:color w:val="000000"/>
          <w:sz w:val="26"/>
          <w:szCs w:val="26"/>
          <w:lang w:val="en-US"/>
        </w:rPr>
        <w:t>to</w:t>
      </w:r>
      <w:r w:rsidRPr="009A3785">
        <w:rPr>
          <w:noProof/>
          <w:color w:val="000000"/>
          <w:sz w:val="26"/>
          <w:szCs w:val="26"/>
          <w:lang w:val="en-US"/>
        </w:rPr>
        <w:t xml:space="preserve"> January 2024, </w:t>
      </w:r>
      <w:r w:rsidR="00636098">
        <w:rPr>
          <w:noProof/>
          <w:color w:val="000000"/>
          <w:sz w:val="26"/>
          <w:szCs w:val="26"/>
          <w:lang w:val="en-US"/>
        </w:rPr>
        <w:t>resulting in</w:t>
      </w:r>
      <w:r w:rsidRPr="009A3785">
        <w:rPr>
          <w:noProof/>
          <w:color w:val="000000"/>
          <w:sz w:val="26"/>
          <w:szCs w:val="26"/>
          <w:lang w:val="en-US"/>
        </w:rPr>
        <w:t xml:space="preserve"> a response rate of 67.60%. The response rate generated through this study is sufficiently high to merit being adequate for the kind of analysis proposed by several scholars</w:t>
      </w:r>
      <w:r w:rsidR="00CF7C39">
        <w:rPr>
          <w:noProof/>
          <w:color w:val="000000"/>
          <w:sz w:val="26"/>
          <w:szCs w:val="26"/>
          <w:lang w:val="en-US"/>
        </w:rPr>
        <w:t>,</w:t>
      </w:r>
      <w:r w:rsidRPr="009A3785">
        <w:rPr>
          <w:noProof/>
          <w:color w:val="000000"/>
          <w:sz w:val="26"/>
          <w:szCs w:val="26"/>
          <w:lang w:val="en-US"/>
        </w:rPr>
        <w:t xml:space="preserve"> </w:t>
      </w:r>
      <w:r w:rsidR="00636098">
        <w:rPr>
          <w:noProof/>
          <w:color w:val="000000"/>
          <w:sz w:val="26"/>
          <w:szCs w:val="26"/>
          <w:lang w:val="en-US"/>
        </w:rPr>
        <w:t>as</w:t>
      </w:r>
      <w:r w:rsidRPr="009A3785">
        <w:rPr>
          <w:noProof/>
          <w:color w:val="000000"/>
          <w:sz w:val="26"/>
          <w:szCs w:val="26"/>
          <w:lang w:val="en-US"/>
        </w:rPr>
        <w:t xml:space="preserve"> a response rate of 20% is standard </w:t>
      </w:r>
      <w:r w:rsidRPr="009A3785">
        <w:rPr>
          <w:noProof/>
          <w:color w:val="000000"/>
          <w:sz w:val="26"/>
          <w:szCs w:val="26"/>
          <w:lang w:val="en-US"/>
        </w:rPr>
        <w:fldChar w:fldCharType="begin"/>
      </w:r>
      <w:r w:rsidR="0097065A" w:rsidRPr="009A3785">
        <w:rPr>
          <w:noProof/>
          <w:color w:val="000000"/>
          <w:sz w:val="26"/>
          <w:szCs w:val="26"/>
          <w:lang w:val="en-US"/>
        </w:rPr>
        <w:instrText xml:space="preserve"> ADDIN ZOTERO_ITEM CSL_CITATION {"citationID":"9TyxOP7h","properties":{"formattedCitation":"(Centobelli et al., 2019; Malhotra &amp; Grover, 1998)","plainCitation":"(Centobelli et al., 2019; Malhotra &amp; Grover, 1998)","dontUpdate":true,"noteIndex":0},"citationItems":[{"id":"eMDksKob/VWQYhwhM","uris":["http://zotero.org/users/local/Alzi7ROo/items/UTHIUMB4"],"itemData":{"id":3124,"type":"article-journal","container-title":"International Journal of Production Economics","note":"publisher: Elsevier","page":"111–124","source":"Google Scholar","title":"The impact of leanness and innovativeness on environmental and financial performance: Insights from Indian SMEs","title-short":"The impact of leanness and innovativeness on environmental and financial performance","volume":"212","author":[{"family":"Centobelli","given":"Piera"},{"family":"Cerchione","given":"Roberto"},{"family":"Singh","given":"Rajwinder"}],"issued":{"date-parts":[["2019"]]}}},{"id":3121,"uris":["http://zotero.org/users/local/Alzi7ROo/items/TKRNJRKW"],"itemData":{"id":3121,"type":"article-journal","container-title":"Journal of operations management","issue":"4","note":"publisher: Elsevier","page":"407–425","source":"Google Scholar","title":"An assessment of survey research in POM: from constructs to theory","title-short":"An assessment of survey research in POM","volume":"16","author":[{"family":"Malhotra","given":"Manoj K."},{"family":"Grover","given":"Varun"}],"issued":{"date-parts":[["1998"]]}}}],"schema":"https://github.com/citation-style-language/schema/raw/master/csl-citation.json"} </w:instrText>
      </w:r>
      <w:r w:rsidRPr="009A3785">
        <w:rPr>
          <w:noProof/>
          <w:color w:val="000000"/>
          <w:sz w:val="26"/>
          <w:szCs w:val="26"/>
          <w:lang w:val="en-US"/>
        </w:rPr>
        <w:fldChar w:fldCharType="separate"/>
      </w:r>
      <w:r w:rsidRPr="009A3785">
        <w:rPr>
          <w:noProof/>
          <w:color w:val="000000"/>
          <w:sz w:val="26"/>
          <w:szCs w:val="26"/>
          <w:lang w:val="en-US"/>
        </w:rPr>
        <w:t>(</w:t>
      </w:r>
      <w:r w:rsidR="00404A11" w:rsidRPr="009A3785">
        <w:rPr>
          <w:noProof/>
          <w:color w:val="000000"/>
          <w:sz w:val="26"/>
          <w:szCs w:val="26"/>
        </w:rPr>
        <w:t>Malhotra &amp; Grover, 1998</w:t>
      </w:r>
      <w:r w:rsidR="002B5C1E" w:rsidRPr="009A3785">
        <w:rPr>
          <w:noProof/>
          <w:color w:val="000000"/>
          <w:sz w:val="26"/>
          <w:szCs w:val="26"/>
        </w:rPr>
        <w:t>; Shashi et al., 2019</w:t>
      </w:r>
      <w:r w:rsidRPr="009A3785">
        <w:rPr>
          <w:noProof/>
          <w:color w:val="000000"/>
          <w:sz w:val="26"/>
          <w:szCs w:val="26"/>
          <w:lang w:val="en-US"/>
        </w:rPr>
        <w:t>)</w:t>
      </w:r>
      <w:r w:rsidRPr="009A3785">
        <w:rPr>
          <w:noProof/>
          <w:color w:val="000000"/>
          <w:sz w:val="26"/>
          <w:szCs w:val="26"/>
          <w:lang w:val="en-US"/>
        </w:rPr>
        <w:fldChar w:fldCharType="end"/>
      </w:r>
      <w:r w:rsidRPr="009A3785">
        <w:rPr>
          <w:noProof/>
          <w:color w:val="000000"/>
          <w:sz w:val="26"/>
          <w:szCs w:val="26"/>
          <w:lang w:val="en-US"/>
        </w:rPr>
        <w:t>.</w:t>
      </w:r>
    </w:p>
    <w:p w14:paraId="0372D1A0" w14:textId="77777777" w:rsidR="0011086F" w:rsidRPr="009A3785" w:rsidRDefault="0011086F" w:rsidP="00824E69">
      <w:pPr>
        <w:snapToGrid w:val="0"/>
        <w:spacing w:line="300" w:lineRule="auto"/>
        <w:ind w:firstLineChars="200" w:firstLine="521"/>
        <w:jc w:val="both"/>
        <w:rPr>
          <w:rFonts w:eastAsia="Calibri"/>
          <w:b/>
          <w:caps/>
          <w:sz w:val="26"/>
          <w:szCs w:val="26"/>
        </w:rPr>
      </w:pPr>
    </w:p>
    <w:p w14:paraId="027D6F7D" w14:textId="68185A42" w:rsidR="00F15632" w:rsidRPr="009A3785" w:rsidRDefault="00D8300D" w:rsidP="00824E69">
      <w:pPr>
        <w:snapToGrid w:val="0"/>
        <w:spacing w:line="300" w:lineRule="auto"/>
        <w:ind w:firstLineChars="200" w:firstLine="521"/>
        <w:jc w:val="center"/>
        <w:rPr>
          <w:rFonts w:eastAsia="Calibri"/>
          <w:b/>
          <w:sz w:val="26"/>
          <w:szCs w:val="26"/>
        </w:rPr>
      </w:pPr>
      <w:r w:rsidRPr="009A3785">
        <w:rPr>
          <w:rFonts w:eastAsia="Calibri"/>
          <w:b/>
          <w:caps/>
          <w:sz w:val="26"/>
          <w:szCs w:val="26"/>
        </w:rPr>
        <w:t>Results and Analysis</w:t>
      </w:r>
    </w:p>
    <w:p w14:paraId="1586A2F0" w14:textId="7B2AE62A" w:rsidR="005B720A" w:rsidRPr="009A3785" w:rsidRDefault="00052D71" w:rsidP="00824E69">
      <w:pPr>
        <w:autoSpaceDE w:val="0"/>
        <w:autoSpaceDN w:val="0"/>
        <w:adjustRightInd w:val="0"/>
        <w:snapToGrid w:val="0"/>
        <w:spacing w:line="300" w:lineRule="auto"/>
        <w:jc w:val="both"/>
        <w:rPr>
          <w:rFonts w:eastAsia="Calibri"/>
          <w:b/>
          <w:sz w:val="26"/>
          <w:szCs w:val="26"/>
        </w:rPr>
      </w:pPr>
      <w:r w:rsidRPr="009A3785">
        <w:rPr>
          <w:rFonts w:eastAsia="Calibri"/>
          <w:b/>
          <w:sz w:val="26"/>
          <w:szCs w:val="26"/>
        </w:rPr>
        <w:t xml:space="preserve">Results with </w:t>
      </w:r>
      <w:r w:rsidR="00636098">
        <w:rPr>
          <w:rFonts w:eastAsia="Calibri"/>
          <w:b/>
          <w:sz w:val="26"/>
          <w:szCs w:val="26"/>
        </w:rPr>
        <w:t xml:space="preserve">the </w:t>
      </w:r>
      <w:r w:rsidRPr="009A3785">
        <w:rPr>
          <w:rFonts w:eastAsia="Calibri"/>
          <w:b/>
          <w:sz w:val="26"/>
          <w:szCs w:val="26"/>
        </w:rPr>
        <w:t>PLS-SEM A</w:t>
      </w:r>
      <w:r w:rsidR="00C1086E" w:rsidRPr="009A3785">
        <w:rPr>
          <w:rFonts w:eastAsia="Calibri"/>
          <w:b/>
          <w:sz w:val="26"/>
          <w:szCs w:val="26"/>
        </w:rPr>
        <w:t>lgorithm</w:t>
      </w:r>
    </w:p>
    <w:p w14:paraId="65CDC28C" w14:textId="45E2E0FB" w:rsidR="00B81B03" w:rsidRPr="009A3785" w:rsidRDefault="00B81B03" w:rsidP="00824E69">
      <w:pPr>
        <w:autoSpaceDE w:val="0"/>
        <w:autoSpaceDN w:val="0"/>
        <w:adjustRightInd w:val="0"/>
        <w:snapToGrid w:val="0"/>
        <w:spacing w:line="300" w:lineRule="auto"/>
        <w:ind w:firstLineChars="200" w:firstLine="520"/>
        <w:jc w:val="both"/>
        <w:rPr>
          <w:rFonts w:eastAsia="Calibri"/>
          <w:noProof/>
          <w:sz w:val="26"/>
          <w:szCs w:val="26"/>
          <w:lang w:val="en-US"/>
        </w:rPr>
      </w:pPr>
      <w:bookmarkStart w:id="8" w:name="_Toc323222257"/>
      <w:r w:rsidRPr="009A3785">
        <w:rPr>
          <w:rFonts w:eastAsia="Calibri"/>
          <w:noProof/>
          <w:sz w:val="26"/>
          <w:szCs w:val="26"/>
          <w:lang w:val="en-US"/>
        </w:rPr>
        <w:t xml:space="preserve">With the aid of SmartPLS 4, our PLS-SEM analysis </w:t>
      </w:r>
      <w:r w:rsidR="00D11169">
        <w:rPr>
          <w:rFonts w:eastAsia="Calibri"/>
          <w:noProof/>
          <w:sz w:val="26"/>
          <w:szCs w:val="26"/>
          <w:lang w:val="en-US"/>
        </w:rPr>
        <w:t>yields path coefficients that reveal the interdependencies between all variables, resulting in a structure that clarifies</w:t>
      </w:r>
      <w:r w:rsidRPr="009A3785">
        <w:rPr>
          <w:rFonts w:eastAsia="Calibri"/>
          <w:noProof/>
          <w:sz w:val="26"/>
          <w:szCs w:val="26"/>
          <w:lang w:val="en-US"/>
        </w:rPr>
        <w:t xml:space="preserve"> our model. </w:t>
      </w:r>
      <w:r w:rsidR="003608B4" w:rsidRPr="009A3785">
        <w:rPr>
          <w:rFonts w:eastAsia="Calibri"/>
          <w:noProof/>
          <w:sz w:val="26"/>
          <w:szCs w:val="26"/>
          <w:lang w:val="en-US"/>
        </w:rPr>
        <w:t xml:space="preserve">The arrows in the model </w:t>
      </w:r>
      <w:r w:rsidR="00636098">
        <w:rPr>
          <w:rFonts w:eastAsia="Calibri"/>
          <w:noProof/>
          <w:sz w:val="26"/>
          <w:szCs w:val="26"/>
          <w:lang w:val="en-US"/>
        </w:rPr>
        <w:t>re</w:t>
      </w:r>
      <w:r w:rsidR="003608B4" w:rsidRPr="009A3785">
        <w:rPr>
          <w:rFonts w:eastAsia="Calibri"/>
          <w:noProof/>
          <w:sz w:val="26"/>
          <w:szCs w:val="26"/>
          <w:lang w:val="en-US"/>
        </w:rPr>
        <w:t xml:space="preserve">present the relationships between the latent constructs and between indicators related </w:t>
      </w:r>
      <w:r w:rsidR="00636098">
        <w:rPr>
          <w:rFonts w:eastAsia="Calibri"/>
          <w:noProof/>
          <w:sz w:val="26"/>
          <w:szCs w:val="26"/>
          <w:lang w:val="en-US"/>
        </w:rPr>
        <w:t xml:space="preserve">to these </w:t>
      </w:r>
      <w:r w:rsidR="003608B4" w:rsidRPr="009A3785">
        <w:rPr>
          <w:rFonts w:eastAsia="Calibri"/>
          <w:noProof/>
          <w:sz w:val="26"/>
          <w:szCs w:val="26"/>
          <w:lang w:val="en-US"/>
        </w:rPr>
        <w:t xml:space="preserve">constructs. The outer weights and path coefficients are </w:t>
      </w:r>
      <w:r w:rsidR="00337D42">
        <w:rPr>
          <w:rFonts w:eastAsia="Calibri"/>
          <w:noProof/>
          <w:sz w:val="26"/>
          <w:szCs w:val="26"/>
          <w:lang w:val="en-US"/>
        </w:rPr>
        <w:t>defin</w:t>
      </w:r>
      <w:r w:rsidR="003608B4" w:rsidRPr="009A3785">
        <w:rPr>
          <w:rFonts w:eastAsia="Calibri"/>
          <w:noProof/>
          <w:sz w:val="26"/>
          <w:szCs w:val="26"/>
          <w:lang w:val="en-US"/>
        </w:rPr>
        <w:t>ed by the values shown above the arrows.  Visual clarity is enhanced by indicators in yellow and constructs in blue.</w:t>
      </w:r>
    </w:p>
    <w:p w14:paraId="21AD64A8" w14:textId="57A2DE45" w:rsidR="00CB1F99" w:rsidRDefault="00CB1F99" w:rsidP="00824E69">
      <w:pPr>
        <w:snapToGrid w:val="0"/>
        <w:spacing w:line="300" w:lineRule="auto"/>
        <w:rPr>
          <w:rFonts w:eastAsia="Calibri"/>
          <w:b/>
          <w:bCs/>
          <w:noProof/>
          <w:sz w:val="26"/>
          <w:szCs w:val="26"/>
          <w:lang w:val="en-US"/>
        </w:rPr>
      </w:pPr>
    </w:p>
    <w:p w14:paraId="56BE63A2" w14:textId="2846E20B" w:rsidR="00862945" w:rsidRPr="009A3785" w:rsidRDefault="00B81B03" w:rsidP="00824E69">
      <w:pPr>
        <w:autoSpaceDE w:val="0"/>
        <w:autoSpaceDN w:val="0"/>
        <w:adjustRightInd w:val="0"/>
        <w:snapToGrid w:val="0"/>
        <w:spacing w:line="300" w:lineRule="auto"/>
        <w:jc w:val="both"/>
        <w:rPr>
          <w:rFonts w:eastAsia="Calibri"/>
          <w:b/>
          <w:bCs/>
          <w:noProof/>
          <w:sz w:val="26"/>
          <w:szCs w:val="26"/>
          <w:lang w:val="en-US"/>
        </w:rPr>
      </w:pPr>
      <w:r w:rsidRPr="009A3785">
        <w:rPr>
          <w:rFonts w:eastAsia="新細明體"/>
          <w:b/>
          <w:noProof/>
          <w:sz w:val="26"/>
          <w:szCs w:val="26"/>
          <w:lang w:val="en-US" w:eastAsia="zh-TW"/>
        </w:rPr>
        <w:t>Figure 1</w:t>
      </w:r>
      <w:r w:rsidR="00337D42">
        <w:rPr>
          <w:rFonts w:eastAsia="新細明體"/>
          <w:b/>
          <w:noProof/>
          <w:sz w:val="26"/>
          <w:szCs w:val="26"/>
          <w:lang w:val="en-US" w:eastAsia="zh-TW"/>
        </w:rPr>
        <w:t xml:space="preserve"> </w:t>
      </w:r>
      <w:r w:rsidRPr="009A3785">
        <w:rPr>
          <w:rFonts w:eastAsia="Calibri"/>
          <w:b/>
          <w:bCs/>
          <w:noProof/>
          <w:sz w:val="26"/>
          <w:szCs w:val="26"/>
          <w:lang w:val="en-US"/>
        </w:rPr>
        <w:t xml:space="preserve"> </w:t>
      </w:r>
      <w:r w:rsidRPr="00F25BE0">
        <w:rPr>
          <w:rFonts w:eastAsia="新細明體"/>
          <w:bCs/>
          <w:i/>
          <w:iCs/>
          <w:noProof/>
          <w:sz w:val="26"/>
          <w:szCs w:val="26"/>
          <w:lang w:val="en-US" w:eastAsia="zh-TW"/>
        </w:rPr>
        <w:t>Values of the</w:t>
      </w:r>
      <w:r w:rsidR="00337D42" w:rsidRPr="00F25BE0">
        <w:rPr>
          <w:rFonts w:eastAsia="新細明體"/>
          <w:bCs/>
          <w:i/>
          <w:iCs/>
          <w:noProof/>
          <w:sz w:val="26"/>
          <w:szCs w:val="26"/>
          <w:lang w:val="en-US" w:eastAsia="zh-TW"/>
        </w:rPr>
        <w:t xml:space="preserve"> Path Coefficients Obtained after Runnin</w:t>
      </w:r>
      <w:r w:rsidRPr="00F25BE0">
        <w:rPr>
          <w:rFonts w:eastAsia="新細明體"/>
          <w:bCs/>
          <w:i/>
          <w:iCs/>
          <w:noProof/>
          <w:sz w:val="26"/>
          <w:szCs w:val="26"/>
          <w:lang w:val="en-US" w:eastAsia="zh-TW"/>
        </w:rPr>
        <w:t xml:space="preserve">g the PLS-SEM </w:t>
      </w:r>
      <w:r w:rsidR="00337D42" w:rsidRPr="00F25BE0">
        <w:rPr>
          <w:rFonts w:eastAsia="新細明體"/>
          <w:bCs/>
          <w:i/>
          <w:iCs/>
          <w:noProof/>
          <w:sz w:val="26"/>
          <w:szCs w:val="26"/>
          <w:lang w:val="en-US" w:eastAsia="zh-TW"/>
        </w:rPr>
        <w:t>algorithm using</w:t>
      </w:r>
      <w:r w:rsidRPr="00F25BE0">
        <w:rPr>
          <w:rFonts w:eastAsia="新細明體"/>
          <w:bCs/>
          <w:i/>
          <w:iCs/>
          <w:noProof/>
          <w:sz w:val="26"/>
          <w:szCs w:val="26"/>
          <w:lang w:val="en-US" w:eastAsia="zh-TW"/>
        </w:rPr>
        <w:t xml:space="preserve"> the SmartPLS 4® software.</w:t>
      </w:r>
    </w:p>
    <w:p w14:paraId="637DC8E4" w14:textId="08451FE3" w:rsidR="003E2871" w:rsidRPr="009A3785" w:rsidRDefault="00EA7476" w:rsidP="008A110A">
      <w:pPr>
        <w:spacing w:line="360" w:lineRule="auto"/>
        <w:jc w:val="both"/>
        <w:rPr>
          <w:b/>
          <w:bCs/>
          <w:sz w:val="26"/>
          <w:szCs w:val="26"/>
        </w:rPr>
      </w:pPr>
      <w:r>
        <w:rPr>
          <w:b/>
          <w:bCs/>
          <w:noProof/>
          <w:sz w:val="26"/>
          <w:szCs w:val="26"/>
        </w:rPr>
        <mc:AlternateContent>
          <mc:Choice Requires="wpg">
            <w:drawing>
              <wp:anchor distT="0" distB="0" distL="114300" distR="114300" simplePos="0" relativeHeight="251698176" behindDoc="0" locked="0" layoutInCell="1" allowOverlap="1" wp14:anchorId="6911D91D" wp14:editId="5B1A1DB5">
                <wp:simplePos x="0" y="0"/>
                <wp:positionH relativeFrom="column">
                  <wp:posOffset>171450</wp:posOffset>
                </wp:positionH>
                <wp:positionV relativeFrom="paragraph">
                  <wp:posOffset>127000</wp:posOffset>
                </wp:positionV>
                <wp:extent cx="5423553" cy="3809366"/>
                <wp:effectExtent l="0" t="0" r="24765" b="19685"/>
                <wp:wrapNone/>
                <wp:docPr id="2106933872" name="Group 59"/>
                <wp:cNvGraphicFramePr/>
                <a:graphic xmlns:a="http://schemas.openxmlformats.org/drawingml/2006/main">
                  <a:graphicData uri="http://schemas.microsoft.com/office/word/2010/wordprocessingGroup">
                    <wpg:wgp>
                      <wpg:cNvGrpSpPr/>
                      <wpg:grpSpPr>
                        <a:xfrm>
                          <a:off x="0" y="0"/>
                          <a:ext cx="5423553" cy="3809366"/>
                          <a:chOff x="-18410" y="0"/>
                          <a:chExt cx="6564669" cy="3809366"/>
                        </a:xfrm>
                      </wpg:grpSpPr>
                      <wps:wsp>
                        <wps:cNvPr id="1915292389" name="Oval 2"/>
                        <wps:cNvSpPr/>
                        <wps:spPr>
                          <a:xfrm>
                            <a:off x="2698972" y="1915971"/>
                            <a:ext cx="1106790" cy="813816"/>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427DAE41" w14:textId="77777777" w:rsidR="005E09B0" w:rsidRDefault="003E2871" w:rsidP="003E2871">
                              <w:pPr>
                                <w:jc w:val="center"/>
                                <w:rPr>
                                  <w:b/>
                                  <w:bCs/>
                                  <w:lang w:val="en-GB"/>
                                </w:rPr>
                              </w:pPr>
                              <w:r w:rsidRPr="000F4AAD">
                                <w:rPr>
                                  <w:b/>
                                  <w:bCs/>
                                  <w:lang w:val="en-GB"/>
                                </w:rPr>
                                <w:t>0.404</w:t>
                              </w:r>
                            </w:p>
                            <w:p w14:paraId="753462BE" w14:textId="205D9DDB" w:rsidR="003E2871" w:rsidRPr="000F4AAD" w:rsidRDefault="003E2871" w:rsidP="003E2871">
                              <w:pPr>
                                <w:jc w:val="center"/>
                                <w:rPr>
                                  <w:b/>
                                  <w:bCs/>
                                  <w:lang w:val="en-GB"/>
                                </w:rPr>
                              </w:pPr>
                              <w:r w:rsidRPr="000F4AAD">
                                <w:rPr>
                                  <w:b/>
                                  <w:bCs/>
                                  <w:lang w:val="en-GB"/>
                                </w:rPr>
                                <w:t>EG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389303" name="Oval 2"/>
                        <wps:cNvSpPr/>
                        <wps:spPr>
                          <a:xfrm>
                            <a:off x="1601624" y="681070"/>
                            <a:ext cx="1110008" cy="813938"/>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4259106D" w14:textId="77777777" w:rsidR="003E2871" w:rsidRPr="000F4AAD" w:rsidRDefault="003E2871" w:rsidP="003E2871">
                              <w:pPr>
                                <w:jc w:val="center"/>
                                <w:rPr>
                                  <w:b/>
                                  <w:bCs/>
                                  <w:lang w:val="en-GB"/>
                                </w:rPr>
                              </w:pPr>
                              <w:r w:rsidRPr="000F4AAD">
                                <w:rPr>
                                  <w:b/>
                                  <w:bCs/>
                                  <w:lang w:val="en-GB"/>
                                </w:rPr>
                                <w:t>CSCE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799899" name="Oval 2"/>
                        <wps:cNvSpPr/>
                        <wps:spPr>
                          <a:xfrm>
                            <a:off x="3983574" y="592678"/>
                            <a:ext cx="1106790" cy="815340"/>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12FC1707" w14:textId="77777777" w:rsidR="003E2871" w:rsidRPr="00DC1541" w:rsidRDefault="003E2871" w:rsidP="003E2871">
                              <w:pPr>
                                <w:jc w:val="center"/>
                                <w:rPr>
                                  <w:b/>
                                  <w:bCs/>
                                  <w:lang w:val="en-GB"/>
                                </w:rPr>
                              </w:pPr>
                              <w:r w:rsidRPr="00DC1541">
                                <w:rPr>
                                  <w:b/>
                                  <w:bCs/>
                                  <w:lang w:val="en-GB"/>
                                </w:rPr>
                                <w:t>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9541136" name="Rectangle: Rounded Corners 3"/>
                        <wps:cNvSpPr/>
                        <wps:spPr>
                          <a:xfrm>
                            <a:off x="-18410" y="0"/>
                            <a:ext cx="912391" cy="24384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1127699" name="Rectangle: Rounded Corners 3"/>
                        <wps:cNvSpPr/>
                        <wps:spPr>
                          <a:xfrm>
                            <a:off x="5741713" y="125995"/>
                            <a:ext cx="804546" cy="183615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0974649" name="Rectangle: Rounded Corners 4"/>
                        <wps:cNvSpPr/>
                        <wps:spPr>
                          <a:xfrm>
                            <a:off x="1353064" y="3278874"/>
                            <a:ext cx="3628935" cy="530492"/>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0597878" name="Rectangle: Rounded Corners 5"/>
                        <wps:cNvSpPr/>
                        <wps:spPr>
                          <a:xfrm>
                            <a:off x="32539" y="106895"/>
                            <a:ext cx="784812" cy="266485"/>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A03781D"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CSCE2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6102719" name="Rectangle: Rounded Corners 5"/>
                        <wps:cNvSpPr/>
                        <wps:spPr>
                          <a:xfrm>
                            <a:off x="40108" y="477912"/>
                            <a:ext cx="777244" cy="251460"/>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6FAC5DA"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CSCE3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5413601" name="Rectangle: Rounded Corners 5"/>
                        <wps:cNvSpPr/>
                        <wps:spPr>
                          <a:xfrm>
                            <a:off x="40133" y="852161"/>
                            <a:ext cx="806475" cy="253365"/>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9F257AB"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CSCE4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1542688" name="Rectangle: Rounded Corners 5"/>
                        <wps:cNvSpPr/>
                        <wps:spPr>
                          <a:xfrm>
                            <a:off x="40106" y="1227698"/>
                            <a:ext cx="777226" cy="248478"/>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DD8031B"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CSCE5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5766140" name="Rectangle: Rounded Corners 5"/>
                        <wps:cNvSpPr/>
                        <wps:spPr>
                          <a:xfrm>
                            <a:off x="32542" y="1605570"/>
                            <a:ext cx="777186" cy="287655"/>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27754D9"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CSCE6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4509279" name="Rectangle: Rounded Corners 5"/>
                        <wps:cNvSpPr/>
                        <wps:spPr>
                          <a:xfrm>
                            <a:off x="40197" y="2006055"/>
                            <a:ext cx="777157" cy="263525"/>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6FEE465"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CSCE1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032981" name="Straight Arrow Connector 6"/>
                        <wps:cNvCnPr/>
                        <wps:spPr>
                          <a:xfrm>
                            <a:off x="828407" y="342900"/>
                            <a:ext cx="945681" cy="3978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39886702" name="Straight Arrow Connector 7"/>
                        <wps:cNvCnPr>
                          <a:stCxn id="1136102719" idx="3"/>
                        </wps:cNvCnPr>
                        <wps:spPr>
                          <a:xfrm>
                            <a:off x="817332" y="603642"/>
                            <a:ext cx="815141" cy="32599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09775424" name="Straight Arrow Connector 8"/>
                        <wps:cNvCnPr>
                          <a:stCxn id="405413601" idx="3"/>
                        </wps:cNvCnPr>
                        <wps:spPr>
                          <a:xfrm>
                            <a:off x="846581" y="978844"/>
                            <a:ext cx="771170" cy="1283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78883035" name="Straight Arrow Connector 9"/>
                        <wps:cNvCnPr>
                          <a:stCxn id="891542688" idx="3"/>
                        </wps:cNvCnPr>
                        <wps:spPr>
                          <a:xfrm flipV="1">
                            <a:off x="817331" y="1243444"/>
                            <a:ext cx="792762" cy="1084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37135291" name="Straight Arrow Connector 10"/>
                        <wps:cNvCnPr>
                          <a:stCxn id="1125766140" idx="3"/>
                        </wps:cNvCnPr>
                        <wps:spPr>
                          <a:xfrm flipV="1">
                            <a:off x="809701" y="1349791"/>
                            <a:ext cx="912361" cy="39960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89409156" name="Straight Arrow Connector 11"/>
                        <wps:cNvCnPr/>
                        <wps:spPr>
                          <a:xfrm flipV="1">
                            <a:off x="828435" y="1501140"/>
                            <a:ext cx="968451" cy="647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0690196" name="Rectangle: Rounded Corners 5"/>
                        <wps:cNvSpPr/>
                        <wps:spPr>
                          <a:xfrm>
                            <a:off x="5833241" y="290085"/>
                            <a:ext cx="647700" cy="264795"/>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223D038" w14:textId="77777777" w:rsidR="003E2871" w:rsidRPr="00C9735C" w:rsidRDefault="003E2871" w:rsidP="003E2871">
                              <w:pPr>
                                <w:jc w:val="center"/>
                                <w:rPr>
                                  <w:b/>
                                  <w:bCs/>
                                  <w:color w:val="000000" w:themeColor="text1"/>
                                  <w:sz w:val="18"/>
                                  <w:szCs w:val="18"/>
                                  <w:lang w:val="en-GB"/>
                                </w:rPr>
                              </w:pPr>
                              <w:r w:rsidRPr="00C9735C">
                                <w:rPr>
                                  <w:b/>
                                  <w:bCs/>
                                  <w:color w:val="000000" w:themeColor="text1"/>
                                  <w:sz w:val="18"/>
                                  <w:szCs w:val="18"/>
                                  <w:lang w:val="en-GB"/>
                                </w:rPr>
                                <w:t>ESI1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6728181" name="Rectangle: Rounded Corners 5"/>
                        <wps:cNvSpPr/>
                        <wps:spPr>
                          <a:xfrm>
                            <a:off x="5801710" y="681070"/>
                            <a:ext cx="685800" cy="265245"/>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1126A90" w14:textId="6B8286CE" w:rsidR="003E2871" w:rsidRPr="00C9735C" w:rsidRDefault="00C900BB" w:rsidP="003E2871">
                              <w:pPr>
                                <w:jc w:val="center"/>
                                <w:rPr>
                                  <w:b/>
                                  <w:bCs/>
                                  <w:color w:val="000000" w:themeColor="text1"/>
                                  <w:sz w:val="18"/>
                                  <w:szCs w:val="18"/>
                                  <w:lang w:val="en-GB"/>
                                </w:rPr>
                              </w:pPr>
                              <w:r w:rsidRPr="00C9735C">
                                <w:rPr>
                                  <w:b/>
                                  <w:bCs/>
                                  <w:noProof/>
                                  <w:color w:val="000000" w:themeColor="text1"/>
                                  <w:sz w:val="18"/>
                                  <w:szCs w:val="18"/>
                                  <w:lang w:val="en-GB"/>
                                </w:rPr>
                                <w:t>ES</w:t>
                              </w:r>
                              <w:r w:rsidR="00A54309" w:rsidRPr="00C9735C">
                                <w:rPr>
                                  <w:b/>
                                  <w:bCs/>
                                  <w:noProof/>
                                  <w:color w:val="000000" w:themeColor="text1"/>
                                  <w:sz w:val="18"/>
                                  <w:szCs w:val="18"/>
                                  <w:lang w:val="en-GB"/>
                                </w:rPr>
                                <w:t>I2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4720495" name="Rectangle: Rounded Corners 5"/>
                        <wps:cNvSpPr/>
                        <wps:spPr>
                          <a:xfrm>
                            <a:off x="5820629" y="1097280"/>
                            <a:ext cx="685800" cy="289560"/>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AEE8E0E" w14:textId="61E23434" w:rsidR="003E2871" w:rsidRPr="00960D03" w:rsidRDefault="003E2871" w:rsidP="003E2871">
                              <w:pPr>
                                <w:jc w:val="center"/>
                                <w:rPr>
                                  <w:b/>
                                  <w:bCs/>
                                  <w:color w:val="000000" w:themeColor="text1"/>
                                  <w:sz w:val="18"/>
                                  <w:szCs w:val="18"/>
                                  <w:lang w:val="en-GB"/>
                                </w:rPr>
                              </w:pPr>
                              <w:r w:rsidRPr="00960D03">
                                <w:rPr>
                                  <w:b/>
                                  <w:bCs/>
                                  <w:color w:val="000000" w:themeColor="text1"/>
                                  <w:sz w:val="18"/>
                                  <w:szCs w:val="18"/>
                                  <w:lang w:val="en-GB"/>
                                </w:rPr>
                                <w:t>ESI3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2389851" name="Rectangle: Rounded Corners 5"/>
                        <wps:cNvSpPr/>
                        <wps:spPr>
                          <a:xfrm>
                            <a:off x="5839548" y="1500877"/>
                            <a:ext cx="685800" cy="304800"/>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3F50568" w14:textId="1A6D30ED" w:rsidR="003E2871" w:rsidRPr="005F014C" w:rsidRDefault="003E2871" w:rsidP="003E2871">
                              <w:pPr>
                                <w:jc w:val="center"/>
                                <w:rPr>
                                  <w:color w:val="000000" w:themeColor="text1"/>
                                  <w:sz w:val="18"/>
                                  <w:szCs w:val="18"/>
                                  <w:lang w:val="en-GB"/>
                                </w:rPr>
                              </w:pPr>
                              <w:r w:rsidRPr="00C9735C">
                                <w:rPr>
                                  <w:b/>
                                  <w:bCs/>
                                  <w:color w:val="000000" w:themeColor="text1"/>
                                  <w:sz w:val="18"/>
                                  <w:szCs w:val="18"/>
                                  <w:lang w:val="en-GB"/>
                                </w:rPr>
                                <w:t>ESI4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9403745" name="Straight Arrow Connector 15"/>
                        <wps:cNvCnPr/>
                        <wps:spPr>
                          <a:xfrm flipH="1">
                            <a:off x="5013697" y="397291"/>
                            <a:ext cx="822960" cy="3975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22594357" name="Straight Arrow Connector 16"/>
                        <wps:cNvCnPr/>
                        <wps:spPr>
                          <a:xfrm flipH="1">
                            <a:off x="5083065" y="807194"/>
                            <a:ext cx="723900" cy="1600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28140745" name="Straight Arrow Connector 17"/>
                        <wps:cNvCnPr/>
                        <wps:spPr>
                          <a:xfrm flipH="1" flipV="1">
                            <a:off x="5076497" y="1135511"/>
                            <a:ext cx="742950" cy="914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37395454" name="Straight Arrow Connector 18"/>
                        <wps:cNvCnPr/>
                        <wps:spPr>
                          <a:xfrm flipH="1" flipV="1">
                            <a:off x="4982166" y="1274116"/>
                            <a:ext cx="837531" cy="3767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94783869" name="Rectangle: Rounded Corners 5"/>
                        <wps:cNvSpPr/>
                        <wps:spPr>
                          <a:xfrm>
                            <a:off x="1406498" y="3381356"/>
                            <a:ext cx="609359" cy="304800"/>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3E02F84" w14:textId="2DF881F4" w:rsidR="003E2871" w:rsidRPr="00BB639E" w:rsidRDefault="003E2871" w:rsidP="003E2871">
                              <w:pPr>
                                <w:jc w:val="center"/>
                                <w:rPr>
                                  <w:b/>
                                  <w:bCs/>
                                  <w:color w:val="000000" w:themeColor="text1"/>
                                  <w:sz w:val="18"/>
                                  <w:szCs w:val="18"/>
                                  <w:lang w:val="en-GB"/>
                                </w:rPr>
                              </w:pPr>
                              <w:r w:rsidRPr="00BB639E">
                                <w:rPr>
                                  <w:b/>
                                  <w:bCs/>
                                  <w:color w:val="000000" w:themeColor="text1"/>
                                  <w:sz w:val="18"/>
                                  <w:szCs w:val="18"/>
                                  <w:lang w:val="en-GB"/>
                                </w:rPr>
                                <w:t>EG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7288236" name="Rectangle: Rounded Corners 5"/>
                        <wps:cNvSpPr/>
                        <wps:spPr>
                          <a:xfrm>
                            <a:off x="2126316" y="3399039"/>
                            <a:ext cx="600108" cy="297180"/>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5E31BF5" w14:textId="61438168" w:rsidR="003E2871" w:rsidRPr="00BB639E" w:rsidRDefault="003E2871" w:rsidP="003E2871">
                              <w:pPr>
                                <w:jc w:val="center"/>
                                <w:rPr>
                                  <w:b/>
                                  <w:bCs/>
                                  <w:color w:val="000000" w:themeColor="text1"/>
                                  <w:sz w:val="18"/>
                                  <w:szCs w:val="18"/>
                                  <w:lang w:val="en-GB"/>
                                </w:rPr>
                              </w:pPr>
                              <w:r w:rsidRPr="00BB639E">
                                <w:rPr>
                                  <w:b/>
                                  <w:bCs/>
                                  <w:color w:val="000000" w:themeColor="text1"/>
                                  <w:sz w:val="18"/>
                                  <w:szCs w:val="18"/>
                                  <w:lang w:val="en-GB"/>
                                </w:rPr>
                                <w:t>EG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541526" name="Rectangle: Rounded Corners 5"/>
                        <wps:cNvSpPr/>
                        <wps:spPr>
                          <a:xfrm>
                            <a:off x="2779859" y="3406621"/>
                            <a:ext cx="625580" cy="274320"/>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39D9E07" w14:textId="7169213E" w:rsidR="003E2871" w:rsidRPr="002900BC" w:rsidRDefault="003E2871" w:rsidP="003E2871">
                              <w:pPr>
                                <w:jc w:val="center"/>
                                <w:rPr>
                                  <w:b/>
                                  <w:bCs/>
                                  <w:color w:val="000000" w:themeColor="text1"/>
                                  <w:sz w:val="18"/>
                                  <w:szCs w:val="18"/>
                                  <w:lang w:val="en-GB"/>
                                </w:rPr>
                              </w:pPr>
                              <w:r w:rsidRPr="002900BC">
                                <w:rPr>
                                  <w:b/>
                                  <w:bCs/>
                                  <w:color w:val="000000" w:themeColor="text1"/>
                                  <w:sz w:val="18"/>
                                  <w:szCs w:val="18"/>
                                  <w:lang w:val="en-GB"/>
                                </w:rPr>
                                <w:t>EG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2658526" name="Rectangle: Rounded Corners 5"/>
                        <wps:cNvSpPr/>
                        <wps:spPr>
                          <a:xfrm>
                            <a:off x="3450754" y="3399001"/>
                            <a:ext cx="617781" cy="281940"/>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CBC0ED7" w14:textId="74C6F2A9" w:rsidR="003E2871" w:rsidRPr="002900BC" w:rsidRDefault="003E2871" w:rsidP="003E2871">
                              <w:pPr>
                                <w:jc w:val="center"/>
                                <w:rPr>
                                  <w:b/>
                                  <w:bCs/>
                                  <w:color w:val="000000" w:themeColor="text1"/>
                                  <w:sz w:val="18"/>
                                  <w:szCs w:val="18"/>
                                  <w:lang w:val="en-GB"/>
                                </w:rPr>
                              </w:pPr>
                              <w:r w:rsidRPr="002900BC">
                                <w:rPr>
                                  <w:b/>
                                  <w:bCs/>
                                  <w:color w:val="000000" w:themeColor="text1"/>
                                  <w:sz w:val="18"/>
                                  <w:szCs w:val="18"/>
                                  <w:lang w:val="en-GB"/>
                                </w:rPr>
                                <w:t>EG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8257343" name="Rectangle: Rounded Corners 5"/>
                        <wps:cNvSpPr/>
                        <wps:spPr>
                          <a:xfrm>
                            <a:off x="4181081" y="3389586"/>
                            <a:ext cx="596226" cy="297180"/>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2F31982" w14:textId="7F5FBA14" w:rsidR="003E2871" w:rsidRPr="002900BC" w:rsidRDefault="003E2871" w:rsidP="003E2871">
                              <w:pPr>
                                <w:jc w:val="center"/>
                                <w:rPr>
                                  <w:b/>
                                  <w:bCs/>
                                  <w:color w:val="000000" w:themeColor="text1"/>
                                  <w:sz w:val="18"/>
                                  <w:szCs w:val="18"/>
                                  <w:lang w:val="en-GB"/>
                                </w:rPr>
                              </w:pPr>
                              <w:r w:rsidRPr="002900BC">
                                <w:rPr>
                                  <w:b/>
                                  <w:bCs/>
                                  <w:color w:val="000000" w:themeColor="text1"/>
                                  <w:sz w:val="18"/>
                                  <w:szCs w:val="18"/>
                                  <w:lang w:val="en-GB"/>
                                </w:rPr>
                                <w:t>EG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3470381" name="Straight Arrow Connector 21"/>
                        <wps:cNvCnPr/>
                        <wps:spPr>
                          <a:xfrm flipV="1">
                            <a:off x="1961230" y="2421846"/>
                            <a:ext cx="890270" cy="9677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9071193" name="Straight Arrow Connector 22"/>
                        <wps:cNvCnPr/>
                        <wps:spPr>
                          <a:xfrm flipV="1">
                            <a:off x="2503564" y="2718237"/>
                            <a:ext cx="571500" cy="6592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64887618" name="Straight Arrow Connector 23"/>
                        <wps:cNvCnPr>
                          <a:stCxn id="106541526" idx="0"/>
                          <a:endCxn id="1915292389" idx="4"/>
                        </wps:cNvCnPr>
                        <wps:spPr>
                          <a:xfrm flipV="1">
                            <a:off x="3092650" y="2729787"/>
                            <a:ext cx="159717" cy="6768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170793" name="Straight Arrow Connector 25"/>
                        <wps:cNvCnPr/>
                        <wps:spPr>
                          <a:xfrm flipH="1" flipV="1">
                            <a:off x="3487987" y="2667787"/>
                            <a:ext cx="1037080" cy="7312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97167619" name="Straight Arrow Connector 27"/>
                        <wps:cNvCnPr/>
                        <wps:spPr>
                          <a:xfrm>
                            <a:off x="2200814" y="1456733"/>
                            <a:ext cx="578980" cy="6692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07491478" name="Straight Arrow Connector 28"/>
                        <wps:cNvCnPr/>
                        <wps:spPr>
                          <a:xfrm flipH="1">
                            <a:off x="3781568" y="1368446"/>
                            <a:ext cx="785594" cy="7346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911D91D" id="Group 59" o:spid="_x0000_s1026" style="position:absolute;left:0;text-align:left;margin-left:13.5pt;margin-top:10pt;width:427.05pt;height:299.95pt;z-index:251698176;mso-width-relative:margin" coordorigin="-184" coordsize="65646,38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">
                <v:oval id="Oval 2" o:spid="_x0000_s1027" style="position:absolute;left:26989;top:19159;width:11068;height:81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" fillcolor="#65a0d7 [3028]" strokecolor="#5b9bd5 [3204]" strokeweight=".5pt">
                  <v:fill color2="#5898d4 [3172]" rotate="t" colors="0 #71a6db;.5 #559bdb;1 #438ac9" focus="100%" type="gradient">
                    <o:fill v:ext="view" type="gradientUnscaled"/>
                  </v:fill>
                  <v:stroke joinstyle="miter"/>
                  <v:textbox>
                    <w:txbxContent>
                      <w:p w14:paraId="427DAE41" w14:textId="77777777" w:rsidR="005E09B0" w:rsidRDefault="003E2871" w:rsidP="003E2871">
                        <w:pPr>
                          <w:jc w:val="center"/>
                          <w:rPr>
                            <w:b/>
                            <w:bCs/>
                            <w:lang w:val="en-GB"/>
                          </w:rPr>
                        </w:pPr>
                        <w:r w:rsidRPr="000F4AAD">
                          <w:rPr>
                            <w:b/>
                            <w:bCs/>
                            <w:lang w:val="en-GB"/>
                          </w:rPr>
                          <w:t>0.404</w:t>
                        </w:r>
                      </w:p>
                      <w:p w14:paraId="753462BE" w14:textId="205D9DDB" w:rsidR="003E2871" w:rsidRPr="000F4AAD" w:rsidRDefault="003E2871" w:rsidP="003E2871">
                        <w:pPr>
                          <w:jc w:val="center"/>
                          <w:rPr>
                            <w:b/>
                            <w:bCs/>
                            <w:lang w:val="en-GB"/>
                          </w:rPr>
                        </w:pPr>
                        <w:r w:rsidRPr="000F4AAD">
                          <w:rPr>
                            <w:b/>
                            <w:bCs/>
                            <w:lang w:val="en-GB"/>
                          </w:rPr>
                          <w:t>EG</w:t>
                        </w:r>
                      </w:p>
                    </w:txbxContent>
                  </v:textbox>
                </v:oval>
                <v:oval id="Oval 2" o:spid="_x0000_s1028" style="position:absolute;left:16016;top:6810;width:11100;height:8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" fillcolor="#65a0d7 [3028]" strokecolor="#5b9bd5 [3204]" strokeweight=".5pt">
                  <v:fill color2="#5898d4 [3172]" rotate="t" colors="0 #71a6db;.5 #559bdb;1 #438ac9" focus="100%" type="gradient">
                    <o:fill v:ext="view" type="gradientUnscaled"/>
                  </v:fill>
                  <v:stroke joinstyle="miter"/>
                  <v:textbox>
                    <w:txbxContent>
                      <w:p w14:paraId="4259106D" w14:textId="77777777" w:rsidR="003E2871" w:rsidRPr="000F4AAD" w:rsidRDefault="003E2871" w:rsidP="003E2871">
                        <w:pPr>
                          <w:jc w:val="center"/>
                          <w:rPr>
                            <w:b/>
                            <w:bCs/>
                            <w:lang w:val="en-GB"/>
                          </w:rPr>
                        </w:pPr>
                        <w:r w:rsidRPr="000F4AAD">
                          <w:rPr>
                            <w:b/>
                            <w:bCs/>
                            <w:lang w:val="en-GB"/>
                          </w:rPr>
                          <w:t>CSCE</w:t>
                        </w:r>
                      </w:p>
                    </w:txbxContent>
                  </v:textbox>
                </v:oval>
                <v:oval id="Oval 2" o:spid="_x0000_s1029" style="position:absolute;left:39835;top:5926;width:11068;height:8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" fillcolor="#65a0d7 [3028]" strokecolor="#5b9bd5 [3204]" strokeweight=".5pt">
                  <v:fill color2="#5898d4 [3172]" rotate="t" colors="0 #71a6db;.5 #559bdb;1 #438ac9" focus="100%" type="gradient">
                    <o:fill v:ext="view" type="gradientUnscaled"/>
                  </v:fill>
                  <v:stroke joinstyle="miter"/>
                  <v:textbox>
                    <w:txbxContent>
                      <w:p w14:paraId="12FC1707" w14:textId="77777777" w:rsidR="003E2871" w:rsidRPr="00DC1541" w:rsidRDefault="003E2871" w:rsidP="003E2871">
                        <w:pPr>
                          <w:jc w:val="center"/>
                          <w:rPr>
                            <w:b/>
                            <w:bCs/>
                            <w:lang w:val="en-GB"/>
                          </w:rPr>
                        </w:pPr>
                        <w:r w:rsidRPr="00DC1541">
                          <w:rPr>
                            <w:b/>
                            <w:bCs/>
                            <w:lang w:val="en-GB"/>
                          </w:rPr>
                          <w:t>ESI</w:t>
                        </w:r>
                      </w:p>
                    </w:txbxContent>
                  </v:textbox>
                </v:oval>
                <v:roundrect id="Rectangle: Rounded Corners 3" o:spid="_x0000_s1030" style="position:absolute;left:-184;width:9123;height:243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" fillcolor="white [3201]" strokecolor="#70ad47 [3209]" strokeweight="1pt">
                  <v:stroke joinstyle="miter"/>
                </v:roundrect>
                <v:roundrect id="Rectangle: Rounded Corners 3" o:spid="_x0000_s1031" style="position:absolute;left:57417;top:1259;width:8045;height:183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" fillcolor="white [3201]" strokecolor="#70ad47 [3209]" strokeweight="1pt">
                  <v:stroke joinstyle="miter"/>
                </v:roundrect>
                <v:roundrect id="Rectangle: Rounded Corners 4" o:spid="_x0000_s1032" style="position:absolute;left:13530;top:32788;width:36289;height:53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" fillcolor="white [3201]" strokecolor="#70ad47 [3209]" strokeweight="1pt">
                  <v:stroke joinstyle="miter"/>
                </v:roundrect>
                <v:roundrect id="Rectangle: Rounded Corners 5" o:spid="_x0000_s1033" style="position:absolute;left:325;top:1068;width:7848;height:26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" fillcolor="yellow" strokecolor="#091723 [484]" strokeweight="1pt">
                  <v:stroke joinstyle="miter"/>
                  <v:textbox>
                    <w:txbxContent>
                      <w:p w14:paraId="3A03781D"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CSCE2</w:t>
                        </w:r>
                      </w:p>
                    </w:txbxContent>
                  </v:textbox>
                </v:roundrect>
                <v:roundrect id="Rectangle: Rounded Corners 5" o:spid="_x0000_s1034" style="position:absolute;left:401;top:4779;width:7772;height:25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" fillcolor="yellow" strokecolor="#091723 [484]" strokeweight="1pt">
                  <v:stroke joinstyle="miter"/>
                  <v:textbox>
                    <w:txbxContent>
                      <w:p w14:paraId="76FAC5DA"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CSCE3</w:t>
                        </w:r>
                      </w:p>
                    </w:txbxContent>
                  </v:textbox>
                </v:roundrect>
                <v:roundrect id="Rectangle: Rounded Corners 5" o:spid="_x0000_s1035" style="position:absolute;left:401;top:8521;width:8065;height:25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" fillcolor="yellow" strokecolor="#091723 [484]" strokeweight="1pt">
                  <v:stroke joinstyle="miter"/>
                  <v:textbox>
                    <w:txbxContent>
                      <w:p w14:paraId="49F257AB"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CSCE4</w:t>
                        </w:r>
                      </w:p>
                    </w:txbxContent>
                  </v:textbox>
                </v:roundrect>
                <v:roundrect id="Rectangle: Rounded Corners 5" o:spid="_x0000_s1036" style="position:absolute;left:401;top:12276;width:7772;height:24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" fillcolor="yellow" strokecolor="#091723 [484]" strokeweight="1pt">
                  <v:stroke joinstyle="miter"/>
                  <v:textbox>
                    <w:txbxContent>
                      <w:p w14:paraId="6DD8031B"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CSCE5</w:t>
                        </w:r>
                      </w:p>
                    </w:txbxContent>
                  </v:textbox>
                </v:roundrect>
                <v:roundrect id="Rectangle: Rounded Corners 5" o:spid="_x0000_s1037" style="position:absolute;left:325;top:16055;width:7772;height:28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" fillcolor="yellow" strokecolor="#091723 [484]" strokeweight="1pt">
                  <v:stroke joinstyle="miter"/>
                  <v:textbox>
                    <w:txbxContent>
                      <w:p w14:paraId="527754D9"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CSCE6</w:t>
                        </w:r>
                      </w:p>
                    </w:txbxContent>
                  </v:textbox>
                </v:roundrect>
                <v:roundrect id="Rectangle: Rounded Corners 5" o:spid="_x0000_s1038" style="position:absolute;left:401;top:20060;width:7772;height:26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" fillcolor="yellow" strokecolor="#091723 [484]" strokeweight="1pt">
                  <v:stroke joinstyle="miter"/>
                  <v:textbox>
                    <w:txbxContent>
                      <w:p w14:paraId="46FEE465"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CSCE1</w:t>
                        </w:r>
                      </w:p>
                    </w:txbxContent>
                  </v:textbox>
                </v:roundrect>
                <v:shapetype id="_x0000_t32" coordsize="21600,21600" o:spt="32" o:oned="t" path="m,l21600,21600e" filled="f">
                  <v:path arrowok="t" fillok="f" o:connecttype="none"/>
                  <o:lock v:ext="edit" shapetype="t"/>
                </v:shapetype>
                <v:shape id="Straight Arrow Connector 6" o:spid="_x0000_s1039" type="#_x0000_t32" style="position:absolute;left:8284;top:3429;width:9456;height:39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" strokecolor="#5b9bd5 [3204]" strokeweight=".5pt">
                  <v:stroke endarrow="block" joinstyle="miter"/>
                </v:shape>
                <v:shape id="Straight Arrow Connector 7" o:spid="_x0000_s1040" type="#_x0000_t32" style="position:absolute;left:8173;top:6036;width:8151;height:3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" strokecolor="#5b9bd5 [3204]" strokeweight=".5pt">
                  <v:stroke endarrow="block" joinstyle="miter"/>
                </v:shape>
                <v:shape id="Straight Arrow Connector 8" o:spid="_x0000_s1041" type="#_x0000_t32" style="position:absolute;left:8465;top:9788;width:7712;height:1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" strokecolor="#5b9bd5 [3204]" strokeweight=".5pt">
                  <v:stroke endarrow="block" joinstyle="miter"/>
                </v:shape>
                <v:shape id="Straight Arrow Connector 9" o:spid="_x0000_s1042" type="#_x0000_t32" style="position:absolute;left:8173;top:12434;width:7927;height:10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" strokecolor="#5b9bd5 [3204]" strokeweight=".5pt">
                  <v:stroke endarrow="block" joinstyle="miter"/>
                </v:shape>
                <v:shape id="Straight Arrow Connector 10" o:spid="_x0000_s1043" type="#_x0000_t32" style="position:absolute;left:8097;top:13497;width:9123;height:39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" strokecolor="#5b9bd5 [3204]" strokeweight=".5pt">
                  <v:stroke endarrow="block" joinstyle="miter"/>
                </v:shape>
                <v:shape id="Straight Arrow Connector 11" o:spid="_x0000_s1044" type="#_x0000_t32" style="position:absolute;left:8284;top:15011;width:9684;height:64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" strokecolor="#5b9bd5 [3204]" strokeweight=".5pt">
                  <v:stroke endarrow="block" joinstyle="miter"/>
                </v:shape>
                <v:roundrect id="Rectangle: Rounded Corners 5" o:spid="_x0000_s1045" style="position:absolute;left:58332;top:2900;width:6477;height:26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" fillcolor="yellow" strokecolor="#091723 [484]" strokeweight="1pt">
                  <v:stroke joinstyle="miter"/>
                  <v:textbox>
                    <w:txbxContent>
                      <w:p w14:paraId="3223D038" w14:textId="77777777" w:rsidR="003E2871" w:rsidRPr="00C9735C" w:rsidRDefault="003E2871" w:rsidP="003E2871">
                        <w:pPr>
                          <w:jc w:val="center"/>
                          <w:rPr>
                            <w:b/>
                            <w:bCs/>
                            <w:color w:val="000000" w:themeColor="text1"/>
                            <w:sz w:val="18"/>
                            <w:szCs w:val="18"/>
                            <w:lang w:val="en-GB"/>
                          </w:rPr>
                        </w:pPr>
                        <w:r w:rsidRPr="00C9735C">
                          <w:rPr>
                            <w:b/>
                            <w:bCs/>
                            <w:color w:val="000000" w:themeColor="text1"/>
                            <w:sz w:val="18"/>
                            <w:szCs w:val="18"/>
                            <w:lang w:val="en-GB"/>
                          </w:rPr>
                          <w:t>ESI1</w:t>
                        </w:r>
                      </w:p>
                    </w:txbxContent>
                  </v:textbox>
                </v:roundrect>
                <v:roundrect id="Rectangle: Rounded Corners 5" o:spid="_x0000_s1046" style="position:absolute;left:58017;top:6810;width:6858;height:26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" fillcolor="yellow" strokecolor="#091723 [484]" strokeweight="1pt">
                  <v:stroke joinstyle="miter"/>
                  <v:textbox>
                    <w:txbxContent>
                      <w:p w14:paraId="21126A90" w14:textId="6B8286CE" w:rsidR="003E2871" w:rsidRPr="00C9735C" w:rsidRDefault="00C900BB" w:rsidP="003E2871">
                        <w:pPr>
                          <w:jc w:val="center"/>
                          <w:rPr>
                            <w:b/>
                            <w:bCs/>
                            <w:color w:val="000000" w:themeColor="text1"/>
                            <w:sz w:val="18"/>
                            <w:szCs w:val="18"/>
                            <w:lang w:val="en-GB"/>
                          </w:rPr>
                        </w:pPr>
                        <w:r w:rsidRPr="00C9735C">
                          <w:rPr>
                            <w:b/>
                            <w:bCs/>
                            <w:noProof/>
                            <w:color w:val="000000" w:themeColor="text1"/>
                            <w:sz w:val="18"/>
                            <w:szCs w:val="18"/>
                            <w:lang w:val="en-GB"/>
                          </w:rPr>
                          <w:t>ES</w:t>
                        </w:r>
                        <w:r w:rsidR="00A54309" w:rsidRPr="00C9735C">
                          <w:rPr>
                            <w:b/>
                            <w:bCs/>
                            <w:noProof/>
                            <w:color w:val="000000" w:themeColor="text1"/>
                            <w:sz w:val="18"/>
                            <w:szCs w:val="18"/>
                            <w:lang w:val="en-GB"/>
                          </w:rPr>
                          <w:t>I2</w:t>
                        </w:r>
                      </w:p>
                    </w:txbxContent>
                  </v:textbox>
                </v:roundrect>
                <v:roundrect id="Rectangle: Rounded Corners 5" o:spid="_x0000_s1047" style="position:absolute;left:58206;top:10972;width:6858;height:2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" fillcolor="yellow" strokecolor="#091723 [484]" strokeweight="1pt">
                  <v:stroke joinstyle="miter"/>
                  <v:textbox>
                    <w:txbxContent>
                      <w:p w14:paraId="1AEE8E0E" w14:textId="61E23434" w:rsidR="003E2871" w:rsidRPr="00960D03" w:rsidRDefault="003E2871" w:rsidP="003E2871">
                        <w:pPr>
                          <w:jc w:val="center"/>
                          <w:rPr>
                            <w:b/>
                            <w:bCs/>
                            <w:color w:val="000000" w:themeColor="text1"/>
                            <w:sz w:val="18"/>
                            <w:szCs w:val="18"/>
                            <w:lang w:val="en-GB"/>
                          </w:rPr>
                        </w:pPr>
                        <w:r w:rsidRPr="00960D03">
                          <w:rPr>
                            <w:b/>
                            <w:bCs/>
                            <w:color w:val="000000" w:themeColor="text1"/>
                            <w:sz w:val="18"/>
                            <w:szCs w:val="18"/>
                            <w:lang w:val="en-GB"/>
                          </w:rPr>
                          <w:t>ESI3</w:t>
                        </w:r>
                      </w:p>
                    </w:txbxContent>
                  </v:textbox>
                </v:roundrect>
                <v:roundrect id="Rectangle: Rounded Corners 5" o:spid="_x0000_s1048" style="position:absolute;left:58395;top:15008;width:6858;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" fillcolor="yellow" strokecolor="#091723 [484]" strokeweight="1pt">
                  <v:stroke joinstyle="miter"/>
                  <v:textbox>
                    <w:txbxContent>
                      <w:p w14:paraId="23F50568" w14:textId="1A6D30ED" w:rsidR="003E2871" w:rsidRPr="005F014C" w:rsidRDefault="003E2871" w:rsidP="003E2871">
                        <w:pPr>
                          <w:jc w:val="center"/>
                          <w:rPr>
                            <w:color w:val="000000" w:themeColor="text1"/>
                            <w:sz w:val="18"/>
                            <w:szCs w:val="18"/>
                            <w:lang w:val="en-GB"/>
                          </w:rPr>
                        </w:pPr>
                        <w:r w:rsidRPr="00C9735C">
                          <w:rPr>
                            <w:b/>
                            <w:bCs/>
                            <w:color w:val="000000" w:themeColor="text1"/>
                            <w:sz w:val="18"/>
                            <w:szCs w:val="18"/>
                            <w:lang w:val="en-GB"/>
                          </w:rPr>
                          <w:t>ESI4</w:t>
                        </w:r>
                      </w:p>
                    </w:txbxContent>
                  </v:textbox>
                </v:roundrect>
                <v:shape id="Straight Arrow Connector 15" o:spid="_x0000_s1049" type="#_x0000_t32" style="position:absolute;left:50136;top:3972;width:8230;height:39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" strokecolor="#5b9bd5 [3204]" strokeweight=".5pt">
                  <v:stroke endarrow="block" joinstyle="miter"/>
                </v:shape>
                <v:shape id="Straight Arrow Connector 16" o:spid="_x0000_s1050" type="#_x0000_t32" style="position:absolute;left:50830;top:8071;width:7239;height:16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" strokecolor="#5b9bd5 [3204]" strokeweight=".5pt">
                  <v:stroke endarrow="block" joinstyle="miter"/>
                </v:shape>
                <v:shape id="Straight Arrow Connector 17" o:spid="_x0000_s1051" type="#_x0000_t32" style="position:absolute;left:50764;top:11355;width:7430;height:91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" strokecolor="#5b9bd5 [3204]" strokeweight=".5pt">
                  <v:stroke endarrow="block" joinstyle="miter"/>
                </v:shape>
                <v:shape id="Straight Arrow Connector 18" o:spid="_x0000_s1052" type="#_x0000_t32" style="position:absolute;left:49821;top:12741;width:8375;height:37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" strokecolor="#5b9bd5 [3204]" strokeweight=".5pt">
                  <v:stroke endarrow="block" joinstyle="miter"/>
                </v:shape>
                <v:roundrect id="Rectangle: Rounded Corners 5" o:spid="_x0000_s1053" style="position:absolute;left:14064;top:33813;width:6094;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" fillcolor="yellow" strokecolor="#091723 [484]" strokeweight="1pt">
                  <v:stroke joinstyle="miter"/>
                  <v:textbox>
                    <w:txbxContent>
                      <w:p w14:paraId="23E02F84" w14:textId="2DF881F4" w:rsidR="003E2871" w:rsidRPr="00BB639E" w:rsidRDefault="003E2871" w:rsidP="003E2871">
                        <w:pPr>
                          <w:jc w:val="center"/>
                          <w:rPr>
                            <w:b/>
                            <w:bCs/>
                            <w:color w:val="000000" w:themeColor="text1"/>
                            <w:sz w:val="18"/>
                            <w:szCs w:val="18"/>
                            <w:lang w:val="en-GB"/>
                          </w:rPr>
                        </w:pPr>
                        <w:r w:rsidRPr="00BB639E">
                          <w:rPr>
                            <w:b/>
                            <w:bCs/>
                            <w:color w:val="000000" w:themeColor="text1"/>
                            <w:sz w:val="18"/>
                            <w:szCs w:val="18"/>
                            <w:lang w:val="en-GB"/>
                          </w:rPr>
                          <w:t>EG 1</w:t>
                        </w:r>
                      </w:p>
                    </w:txbxContent>
                  </v:textbox>
                </v:roundrect>
                <v:roundrect id="Rectangle: Rounded Corners 5" o:spid="_x0000_s1054" style="position:absolute;left:21263;top:33990;width:6001;height:29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" fillcolor="yellow" strokecolor="#091723 [484]" strokeweight="1pt">
                  <v:stroke joinstyle="miter"/>
                  <v:textbox>
                    <w:txbxContent>
                      <w:p w14:paraId="05E31BF5" w14:textId="61438168" w:rsidR="003E2871" w:rsidRPr="00BB639E" w:rsidRDefault="003E2871" w:rsidP="003E2871">
                        <w:pPr>
                          <w:jc w:val="center"/>
                          <w:rPr>
                            <w:b/>
                            <w:bCs/>
                            <w:color w:val="000000" w:themeColor="text1"/>
                            <w:sz w:val="18"/>
                            <w:szCs w:val="18"/>
                            <w:lang w:val="en-GB"/>
                          </w:rPr>
                        </w:pPr>
                        <w:r w:rsidRPr="00BB639E">
                          <w:rPr>
                            <w:b/>
                            <w:bCs/>
                            <w:color w:val="000000" w:themeColor="text1"/>
                            <w:sz w:val="18"/>
                            <w:szCs w:val="18"/>
                            <w:lang w:val="en-GB"/>
                          </w:rPr>
                          <w:t>EG 2</w:t>
                        </w:r>
                      </w:p>
                    </w:txbxContent>
                  </v:textbox>
                </v:roundrect>
                <v:roundrect id="Rectangle: Rounded Corners 5" o:spid="_x0000_s1055" style="position:absolute;left:27798;top:34066;width:6256;height:27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" fillcolor="yellow" strokecolor="#091723 [484]" strokeweight="1pt">
                  <v:stroke joinstyle="miter"/>
                  <v:textbox>
                    <w:txbxContent>
                      <w:p w14:paraId="339D9E07" w14:textId="7169213E" w:rsidR="003E2871" w:rsidRPr="002900BC" w:rsidRDefault="003E2871" w:rsidP="003E2871">
                        <w:pPr>
                          <w:jc w:val="center"/>
                          <w:rPr>
                            <w:b/>
                            <w:bCs/>
                            <w:color w:val="000000" w:themeColor="text1"/>
                            <w:sz w:val="18"/>
                            <w:szCs w:val="18"/>
                            <w:lang w:val="en-GB"/>
                          </w:rPr>
                        </w:pPr>
                        <w:r w:rsidRPr="002900BC">
                          <w:rPr>
                            <w:b/>
                            <w:bCs/>
                            <w:color w:val="000000" w:themeColor="text1"/>
                            <w:sz w:val="18"/>
                            <w:szCs w:val="18"/>
                            <w:lang w:val="en-GB"/>
                          </w:rPr>
                          <w:t>EG 3</w:t>
                        </w:r>
                      </w:p>
                    </w:txbxContent>
                  </v:textbox>
                </v:roundrect>
                <v:roundrect id="Rectangle: Rounded Corners 5" o:spid="_x0000_s1056" style="position:absolute;left:34507;top:33990;width:6178;height:28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" fillcolor="yellow" strokecolor="#091723 [484]" strokeweight="1pt">
                  <v:stroke joinstyle="miter"/>
                  <v:textbox>
                    <w:txbxContent>
                      <w:p w14:paraId="4CBC0ED7" w14:textId="74C6F2A9" w:rsidR="003E2871" w:rsidRPr="002900BC" w:rsidRDefault="003E2871" w:rsidP="003E2871">
                        <w:pPr>
                          <w:jc w:val="center"/>
                          <w:rPr>
                            <w:b/>
                            <w:bCs/>
                            <w:color w:val="000000" w:themeColor="text1"/>
                            <w:sz w:val="18"/>
                            <w:szCs w:val="18"/>
                            <w:lang w:val="en-GB"/>
                          </w:rPr>
                        </w:pPr>
                        <w:r w:rsidRPr="002900BC">
                          <w:rPr>
                            <w:b/>
                            <w:bCs/>
                            <w:color w:val="000000" w:themeColor="text1"/>
                            <w:sz w:val="18"/>
                            <w:szCs w:val="18"/>
                            <w:lang w:val="en-GB"/>
                          </w:rPr>
                          <w:t>EG 4</w:t>
                        </w:r>
                      </w:p>
                    </w:txbxContent>
                  </v:textbox>
                </v:roundrect>
                <v:roundrect id="Rectangle: Rounded Corners 5" o:spid="_x0000_s1057" style="position:absolute;left:41810;top:33895;width:5963;height:29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" fillcolor="yellow" strokecolor="#091723 [484]" strokeweight="1pt">
                  <v:stroke joinstyle="miter"/>
                  <v:textbox>
                    <w:txbxContent>
                      <w:p w14:paraId="52F31982" w14:textId="7F5FBA14" w:rsidR="003E2871" w:rsidRPr="002900BC" w:rsidRDefault="003E2871" w:rsidP="003E2871">
                        <w:pPr>
                          <w:jc w:val="center"/>
                          <w:rPr>
                            <w:b/>
                            <w:bCs/>
                            <w:color w:val="000000" w:themeColor="text1"/>
                            <w:sz w:val="18"/>
                            <w:szCs w:val="18"/>
                            <w:lang w:val="en-GB"/>
                          </w:rPr>
                        </w:pPr>
                        <w:r w:rsidRPr="002900BC">
                          <w:rPr>
                            <w:b/>
                            <w:bCs/>
                            <w:color w:val="000000" w:themeColor="text1"/>
                            <w:sz w:val="18"/>
                            <w:szCs w:val="18"/>
                            <w:lang w:val="en-GB"/>
                          </w:rPr>
                          <w:t>EG 5</w:t>
                        </w:r>
                      </w:p>
                    </w:txbxContent>
                  </v:textbox>
                </v:roundrect>
                <v:shape id="Straight Arrow Connector 21" o:spid="_x0000_s1058" type="#_x0000_t32" style="position:absolute;left:19612;top:24218;width:8903;height:96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" strokecolor="#5b9bd5 [3204]" strokeweight=".5pt">
                  <v:stroke endarrow="block" joinstyle="miter"/>
                </v:shape>
                <v:shape id="Straight Arrow Connector 22" o:spid="_x0000_s1059" type="#_x0000_t32" style="position:absolute;left:25035;top:27182;width:5715;height:65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" strokecolor="#5b9bd5 [3204]" strokeweight=".5pt">
                  <v:stroke endarrow="block" joinstyle="miter"/>
                </v:shape>
                <v:shape id="Straight Arrow Connector 23" o:spid="_x0000_s1060" type="#_x0000_t32" style="position:absolute;left:30926;top:27297;width:1597;height:67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" strokecolor="#5b9bd5 [3204]" strokeweight=".5pt">
                  <v:stroke endarrow="block" joinstyle="miter"/>
                </v:shape>
                <v:shape id="Straight Arrow Connector 25" o:spid="_x0000_s1061" type="#_x0000_t32" style="position:absolute;left:34879;top:26677;width:10371;height:731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" strokecolor="#5b9bd5 [3204]" strokeweight=".5pt">
                  <v:stroke endarrow="block" joinstyle="miter"/>
                </v:shape>
                <v:shape id="Straight Arrow Connector 27" o:spid="_x0000_s1062" type="#_x0000_t32" style="position:absolute;left:22008;top:14567;width:5789;height:66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" strokecolor="#5b9bd5 [3204]" strokeweight=".5pt">
                  <v:stroke endarrow="block" joinstyle="miter"/>
                </v:shape>
                <v:shape id="Straight Arrow Connector 28" o:spid="_x0000_s1063" type="#_x0000_t32" style="position:absolute;left:37815;top:13684;width:7856;height:73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" strokecolor="#5b9bd5 [3204]" strokeweight=".5pt">
                  <v:stroke endarrow="block" joinstyle="miter"/>
                </v:shape>
              </v:group>
            </w:pict>
          </mc:Fallback>
        </mc:AlternateContent>
      </w:r>
    </w:p>
    <w:p w14:paraId="6B90B954" w14:textId="7C38935D" w:rsidR="003E2871" w:rsidRPr="009A3785" w:rsidRDefault="00E66E98" w:rsidP="008A110A">
      <w:pPr>
        <w:spacing w:line="360" w:lineRule="auto"/>
        <w:jc w:val="both"/>
        <w:rPr>
          <w:b/>
          <w:bCs/>
          <w:sz w:val="26"/>
          <w:szCs w:val="26"/>
        </w:rPr>
      </w:pPr>
      <w:r w:rsidRPr="009A3785">
        <w:rPr>
          <w:b/>
          <w:bCs/>
          <w:noProof/>
          <w:sz w:val="26"/>
          <w:szCs w:val="26"/>
        </w:rPr>
        <mc:AlternateContent>
          <mc:Choice Requires="wps">
            <w:drawing>
              <wp:anchor distT="0" distB="0" distL="114300" distR="114300" simplePos="0" relativeHeight="251707392" behindDoc="1" locked="0" layoutInCell="1" allowOverlap="1" wp14:anchorId="1A61FDEE" wp14:editId="0373E72C">
                <wp:simplePos x="0" y="0"/>
                <wp:positionH relativeFrom="column">
                  <wp:posOffset>4366059</wp:posOffset>
                </wp:positionH>
                <wp:positionV relativeFrom="paragraph">
                  <wp:posOffset>253984</wp:posOffset>
                </wp:positionV>
                <wp:extent cx="534035" cy="290813"/>
                <wp:effectExtent l="57150" t="114300" r="56515" b="109855"/>
                <wp:wrapNone/>
                <wp:docPr id="377080798" name="Rectangle 29"/>
                <wp:cNvGraphicFramePr/>
                <a:graphic xmlns:a="http://schemas.openxmlformats.org/drawingml/2006/main">
                  <a:graphicData uri="http://schemas.microsoft.com/office/word/2010/wordprocessingShape">
                    <wps:wsp>
                      <wps:cNvSpPr/>
                      <wps:spPr>
                        <a:xfrm rot="20367584">
                          <a:off x="0" y="0"/>
                          <a:ext cx="534035" cy="29081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2F7CC76" w14:textId="77777777" w:rsidR="003E2871" w:rsidRPr="00960D03" w:rsidRDefault="003E2871" w:rsidP="003E2871">
                            <w:pPr>
                              <w:jc w:val="center"/>
                              <w:rPr>
                                <w:b/>
                                <w:bCs/>
                                <w:color w:val="000000" w:themeColor="text1"/>
                                <w:sz w:val="18"/>
                                <w:szCs w:val="18"/>
                                <w:lang w:val="en-GB"/>
                              </w:rPr>
                            </w:pPr>
                            <w:r w:rsidRPr="00960D03">
                              <w:rPr>
                                <w:b/>
                                <w:bCs/>
                                <w:color w:val="000000" w:themeColor="text1"/>
                                <w:sz w:val="18"/>
                                <w:szCs w:val="18"/>
                                <w:lang w:val="en-GB"/>
                              </w:rPr>
                              <w:t>0.271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1FDEE" id="Rectangle 29" o:spid="_x0000_s1064" style="position:absolute;left:0;text-align:left;margin-left:343.8pt;margin-top:20pt;width:42.05pt;height:22.9pt;rotation:-1346127fd;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" fillcolor="white [3201]" strokecolor="white [3212]" strokeweight="1pt">
                <v:textbox>
                  <w:txbxContent>
                    <w:p w14:paraId="22F7CC76" w14:textId="77777777" w:rsidR="003E2871" w:rsidRPr="00960D03" w:rsidRDefault="003E2871" w:rsidP="003E2871">
                      <w:pPr>
                        <w:jc w:val="center"/>
                        <w:rPr>
                          <w:b/>
                          <w:bCs/>
                          <w:color w:val="000000" w:themeColor="text1"/>
                          <w:sz w:val="18"/>
                          <w:szCs w:val="18"/>
                          <w:lang w:val="en-GB"/>
                        </w:rPr>
                      </w:pPr>
                      <w:r w:rsidRPr="00960D03">
                        <w:rPr>
                          <w:b/>
                          <w:bCs/>
                          <w:color w:val="000000" w:themeColor="text1"/>
                          <w:sz w:val="18"/>
                          <w:szCs w:val="18"/>
                          <w:lang w:val="en-GB"/>
                        </w:rPr>
                        <w:t>0.271</w:t>
                      </w:r>
                    </w:p>
                  </w:txbxContent>
                </v:textbox>
              </v:rect>
            </w:pict>
          </mc:Fallback>
        </mc:AlternateContent>
      </w:r>
      <w:r w:rsidRPr="009A3785">
        <w:rPr>
          <w:b/>
          <w:bCs/>
          <w:noProof/>
          <w:sz w:val="26"/>
          <w:szCs w:val="26"/>
        </w:rPr>
        <mc:AlternateContent>
          <mc:Choice Requires="wps">
            <w:drawing>
              <wp:anchor distT="0" distB="0" distL="114300" distR="114300" simplePos="0" relativeHeight="251658240" behindDoc="0" locked="0" layoutInCell="1" allowOverlap="1" wp14:anchorId="52700BBA" wp14:editId="632BF344">
                <wp:simplePos x="0" y="0"/>
                <wp:positionH relativeFrom="column">
                  <wp:posOffset>932125</wp:posOffset>
                </wp:positionH>
                <wp:positionV relativeFrom="paragraph">
                  <wp:posOffset>189043</wp:posOffset>
                </wp:positionV>
                <wp:extent cx="534413" cy="246418"/>
                <wp:effectExtent l="57150" t="133350" r="56515" b="134620"/>
                <wp:wrapNone/>
                <wp:docPr id="1292113588" name="Rectangle 29"/>
                <wp:cNvGraphicFramePr/>
                <a:graphic xmlns:a="http://schemas.openxmlformats.org/drawingml/2006/main">
                  <a:graphicData uri="http://schemas.microsoft.com/office/word/2010/wordprocessingShape">
                    <wps:wsp>
                      <wps:cNvSpPr/>
                      <wps:spPr>
                        <a:xfrm rot="1769692">
                          <a:off x="0" y="0"/>
                          <a:ext cx="534413" cy="246418"/>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55B9F4B"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-0.058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00BBA" id="_x0000_s1065" style="position:absolute;left:0;text-align:left;margin-left:73.4pt;margin-top:14.9pt;width:42.1pt;height:19.4pt;rotation:193297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" fillcolor="white [3201]" strokecolor="white [3212]" strokeweight="1pt">
                <v:textbox>
                  <w:txbxContent>
                    <w:p w14:paraId="155B9F4B"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-0.058</w:t>
                      </w:r>
                    </w:p>
                  </w:txbxContent>
                </v:textbox>
              </v:rect>
            </w:pict>
          </mc:Fallback>
        </mc:AlternateContent>
      </w:r>
    </w:p>
    <w:p w14:paraId="2A22B7F0" w14:textId="11A52607" w:rsidR="003E2871" w:rsidRPr="009A3785" w:rsidRDefault="00663644" w:rsidP="008A110A">
      <w:pPr>
        <w:spacing w:line="360" w:lineRule="auto"/>
        <w:jc w:val="both"/>
        <w:rPr>
          <w:b/>
          <w:bCs/>
          <w:sz w:val="26"/>
          <w:szCs w:val="26"/>
        </w:rPr>
      </w:pPr>
      <w:r w:rsidRPr="009A3785">
        <w:rPr>
          <w:b/>
          <w:bCs/>
          <w:noProof/>
          <w:sz w:val="26"/>
          <w:szCs w:val="26"/>
        </w:rPr>
        <mc:AlternateContent>
          <mc:Choice Requires="wps">
            <w:drawing>
              <wp:anchor distT="0" distB="0" distL="114300" distR="114300" simplePos="0" relativeHeight="251699200" behindDoc="1" locked="0" layoutInCell="1" allowOverlap="1" wp14:anchorId="7EB02FAC" wp14:editId="51B9D6A9">
                <wp:simplePos x="0" y="0"/>
                <wp:positionH relativeFrom="column">
                  <wp:posOffset>854056</wp:posOffset>
                </wp:positionH>
                <wp:positionV relativeFrom="paragraph">
                  <wp:posOffset>99695</wp:posOffset>
                </wp:positionV>
                <wp:extent cx="534035" cy="246380"/>
                <wp:effectExtent l="38100" t="95250" r="37465" b="96520"/>
                <wp:wrapNone/>
                <wp:docPr id="1034751137" name="Rectangle 29"/>
                <wp:cNvGraphicFramePr/>
                <a:graphic xmlns:a="http://schemas.openxmlformats.org/drawingml/2006/main">
                  <a:graphicData uri="http://schemas.microsoft.com/office/word/2010/wordprocessingShape">
                    <wps:wsp>
                      <wps:cNvSpPr/>
                      <wps:spPr>
                        <a:xfrm rot="1065275">
                          <a:off x="0" y="0"/>
                          <a:ext cx="534035" cy="2463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76B95B9"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0.394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02FAC" id="_x0000_s1066" style="position:absolute;left:0;text-align:left;margin-left:67.25pt;margin-top:7.85pt;width:42.05pt;height:19.4pt;rotation:1163564fd;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" fillcolor="white [3201]" strokecolor="white [3212]" strokeweight="1pt">
                <v:textbox>
                  <w:txbxContent>
                    <w:p w14:paraId="176B95B9"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0.394</w:t>
                      </w:r>
                    </w:p>
                  </w:txbxContent>
                </v:textbox>
              </v:rect>
            </w:pict>
          </mc:Fallback>
        </mc:AlternateContent>
      </w:r>
      <w:r w:rsidR="00E66E98" w:rsidRPr="009A3785">
        <w:rPr>
          <w:b/>
          <w:bCs/>
          <w:noProof/>
          <w:sz w:val="26"/>
          <w:szCs w:val="26"/>
        </w:rPr>
        <mc:AlternateContent>
          <mc:Choice Requires="wps">
            <w:drawing>
              <wp:anchor distT="0" distB="0" distL="114300" distR="114300" simplePos="0" relativeHeight="251706368" behindDoc="1" locked="0" layoutInCell="1" allowOverlap="1" wp14:anchorId="21A26B55" wp14:editId="5BA608D7">
                <wp:simplePos x="0" y="0"/>
                <wp:positionH relativeFrom="column">
                  <wp:posOffset>4414122</wp:posOffset>
                </wp:positionH>
                <wp:positionV relativeFrom="paragraph">
                  <wp:posOffset>252095</wp:posOffset>
                </wp:positionV>
                <wp:extent cx="533284" cy="240760"/>
                <wp:effectExtent l="38100" t="95250" r="19685" b="102235"/>
                <wp:wrapNone/>
                <wp:docPr id="1007016572" name="Rectangle 29"/>
                <wp:cNvGraphicFramePr/>
                <a:graphic xmlns:a="http://schemas.openxmlformats.org/drawingml/2006/main">
                  <a:graphicData uri="http://schemas.microsoft.com/office/word/2010/wordprocessingShape">
                    <wps:wsp>
                      <wps:cNvSpPr/>
                      <wps:spPr>
                        <a:xfrm rot="20564170">
                          <a:off x="0" y="0"/>
                          <a:ext cx="533284" cy="24076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11A1748" w14:textId="77777777" w:rsidR="003E2871" w:rsidRPr="009C24B5" w:rsidRDefault="003E2871" w:rsidP="003E2871">
                            <w:pPr>
                              <w:jc w:val="center"/>
                              <w:rPr>
                                <w:b/>
                                <w:bCs/>
                                <w:color w:val="000000" w:themeColor="text1"/>
                                <w:sz w:val="18"/>
                                <w:szCs w:val="18"/>
                                <w:lang w:val="en-GB"/>
                              </w:rPr>
                            </w:pPr>
                            <w:r w:rsidRPr="009C24B5">
                              <w:rPr>
                                <w:b/>
                                <w:bCs/>
                                <w:color w:val="000000" w:themeColor="text1"/>
                                <w:sz w:val="18"/>
                                <w:szCs w:val="18"/>
                                <w:lang w:val="en-GB"/>
                              </w:rPr>
                              <w:t>0.065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26B55" id="_x0000_s1067" style="position:absolute;left:0;text-align:left;margin-left:347.55pt;margin-top:19.85pt;width:42pt;height:18.95pt;rotation:-1131403fd;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" fillcolor="white [3201]" strokecolor="white [3212]" strokeweight="1pt">
                <v:textbox>
                  <w:txbxContent>
                    <w:p w14:paraId="711A1748" w14:textId="77777777" w:rsidR="003E2871" w:rsidRPr="009C24B5" w:rsidRDefault="003E2871" w:rsidP="003E2871">
                      <w:pPr>
                        <w:jc w:val="center"/>
                        <w:rPr>
                          <w:b/>
                          <w:bCs/>
                          <w:color w:val="000000" w:themeColor="text1"/>
                          <w:sz w:val="18"/>
                          <w:szCs w:val="18"/>
                          <w:lang w:val="en-GB"/>
                        </w:rPr>
                      </w:pPr>
                      <w:r w:rsidRPr="009C24B5">
                        <w:rPr>
                          <w:b/>
                          <w:bCs/>
                          <w:color w:val="000000" w:themeColor="text1"/>
                          <w:sz w:val="18"/>
                          <w:szCs w:val="18"/>
                          <w:lang w:val="en-GB"/>
                        </w:rPr>
                        <w:t>0.065</w:t>
                      </w:r>
                    </w:p>
                  </w:txbxContent>
                </v:textbox>
              </v:rect>
            </w:pict>
          </mc:Fallback>
        </mc:AlternateContent>
      </w:r>
    </w:p>
    <w:p w14:paraId="10F745BC" w14:textId="27A8EC32" w:rsidR="003E2871" w:rsidRPr="009A3785" w:rsidRDefault="00775DB6" w:rsidP="008A110A">
      <w:pPr>
        <w:spacing w:line="360" w:lineRule="auto"/>
        <w:jc w:val="both"/>
        <w:rPr>
          <w:b/>
          <w:bCs/>
          <w:sz w:val="26"/>
          <w:szCs w:val="26"/>
        </w:rPr>
      </w:pPr>
      <w:r w:rsidRPr="009A3785">
        <w:rPr>
          <w:b/>
          <w:bCs/>
          <w:noProof/>
          <w:sz w:val="26"/>
          <w:szCs w:val="26"/>
        </w:rPr>
        <mc:AlternateContent>
          <mc:Choice Requires="wps">
            <w:drawing>
              <wp:anchor distT="0" distB="0" distL="114300" distR="114300" simplePos="0" relativeHeight="251705344" behindDoc="1" locked="0" layoutInCell="1" allowOverlap="1" wp14:anchorId="6262FD60" wp14:editId="0D9FB5A4">
                <wp:simplePos x="0" y="0"/>
                <wp:positionH relativeFrom="column">
                  <wp:posOffset>4428766</wp:posOffset>
                </wp:positionH>
                <wp:positionV relativeFrom="paragraph">
                  <wp:posOffset>275830</wp:posOffset>
                </wp:positionV>
                <wp:extent cx="534413" cy="246418"/>
                <wp:effectExtent l="38100" t="38100" r="37465" b="39370"/>
                <wp:wrapNone/>
                <wp:docPr id="1890328030" name="Rectangle 29"/>
                <wp:cNvGraphicFramePr/>
                <a:graphic xmlns:a="http://schemas.openxmlformats.org/drawingml/2006/main">
                  <a:graphicData uri="http://schemas.microsoft.com/office/word/2010/wordprocessingShape">
                    <wps:wsp>
                      <wps:cNvSpPr/>
                      <wps:spPr>
                        <a:xfrm rot="331215">
                          <a:off x="0" y="0"/>
                          <a:ext cx="534413" cy="246418"/>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0FC0F08" w14:textId="77777777" w:rsidR="003E2871" w:rsidRPr="009C24B5" w:rsidRDefault="003E2871" w:rsidP="003E2871">
                            <w:pPr>
                              <w:jc w:val="center"/>
                              <w:rPr>
                                <w:b/>
                                <w:bCs/>
                                <w:color w:val="000000" w:themeColor="text1"/>
                                <w:sz w:val="18"/>
                                <w:szCs w:val="18"/>
                                <w:lang w:val="en-GB"/>
                              </w:rPr>
                            </w:pPr>
                            <w:r w:rsidRPr="009C24B5">
                              <w:rPr>
                                <w:b/>
                                <w:bCs/>
                                <w:color w:val="000000" w:themeColor="text1"/>
                                <w:sz w:val="18"/>
                                <w:szCs w:val="18"/>
                                <w:lang w:val="en-GB"/>
                              </w:rPr>
                              <w:t>0.261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2FD60" id="_x0000_s1068" style="position:absolute;left:0;text-align:left;margin-left:348.7pt;margin-top:21.7pt;width:42.1pt;height:19.4pt;rotation:361775fd;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" fillcolor="white [3201]" strokecolor="white [3212]" strokeweight="1pt">
                <v:textbox>
                  <w:txbxContent>
                    <w:p w14:paraId="10FC0F08" w14:textId="77777777" w:rsidR="003E2871" w:rsidRPr="009C24B5" w:rsidRDefault="003E2871" w:rsidP="003E2871">
                      <w:pPr>
                        <w:jc w:val="center"/>
                        <w:rPr>
                          <w:b/>
                          <w:bCs/>
                          <w:color w:val="000000" w:themeColor="text1"/>
                          <w:sz w:val="18"/>
                          <w:szCs w:val="18"/>
                          <w:lang w:val="en-GB"/>
                        </w:rPr>
                      </w:pPr>
                      <w:r w:rsidRPr="009C24B5">
                        <w:rPr>
                          <w:b/>
                          <w:bCs/>
                          <w:color w:val="000000" w:themeColor="text1"/>
                          <w:sz w:val="18"/>
                          <w:szCs w:val="18"/>
                          <w:lang w:val="en-GB"/>
                        </w:rPr>
                        <w:t>0.261</w:t>
                      </w:r>
                    </w:p>
                  </w:txbxContent>
                </v:textbox>
              </v:rect>
            </w:pict>
          </mc:Fallback>
        </mc:AlternateContent>
      </w:r>
      <w:r w:rsidR="00E66E98" w:rsidRPr="009A3785">
        <w:rPr>
          <w:b/>
          <w:bCs/>
          <w:noProof/>
          <w:sz w:val="26"/>
          <w:szCs w:val="26"/>
        </w:rPr>
        <mc:AlternateContent>
          <mc:Choice Requires="wps">
            <w:drawing>
              <wp:anchor distT="0" distB="0" distL="114300" distR="114300" simplePos="0" relativeHeight="251700224" behindDoc="1" locked="0" layoutInCell="1" allowOverlap="1" wp14:anchorId="7798B6F3" wp14:editId="7ADEC0EE">
                <wp:simplePos x="0" y="0"/>
                <wp:positionH relativeFrom="column">
                  <wp:posOffset>838432</wp:posOffset>
                </wp:positionH>
                <wp:positionV relativeFrom="paragraph">
                  <wp:posOffset>107785</wp:posOffset>
                </wp:positionV>
                <wp:extent cx="534035" cy="246380"/>
                <wp:effectExtent l="38100" t="38100" r="37465" b="39370"/>
                <wp:wrapNone/>
                <wp:docPr id="1660437827" name="Rectangle 29"/>
                <wp:cNvGraphicFramePr/>
                <a:graphic xmlns:a="http://schemas.openxmlformats.org/drawingml/2006/main">
                  <a:graphicData uri="http://schemas.microsoft.com/office/word/2010/wordprocessingShape">
                    <wps:wsp>
                      <wps:cNvSpPr/>
                      <wps:spPr>
                        <a:xfrm rot="275038">
                          <a:off x="0" y="0"/>
                          <a:ext cx="534035" cy="2463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D853296"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0.199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8B6F3" id="_x0000_s1069" style="position:absolute;left:0;text-align:left;margin-left:66pt;margin-top:8.5pt;width:42.05pt;height:19.4pt;rotation:300415fd;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" fillcolor="white [3201]" strokecolor="white [3212]" strokeweight="1pt">
                <v:textbox>
                  <w:txbxContent>
                    <w:p w14:paraId="0D853296"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0.199</w:t>
                      </w:r>
                    </w:p>
                  </w:txbxContent>
                </v:textbox>
              </v:rect>
            </w:pict>
          </mc:Fallback>
        </mc:AlternateContent>
      </w:r>
    </w:p>
    <w:p w14:paraId="793B0513" w14:textId="10EB22F6" w:rsidR="003E2871" w:rsidRPr="009A3785" w:rsidRDefault="00775DB6" w:rsidP="008A110A">
      <w:pPr>
        <w:spacing w:line="360" w:lineRule="auto"/>
        <w:jc w:val="both"/>
        <w:rPr>
          <w:sz w:val="26"/>
          <w:szCs w:val="26"/>
        </w:rPr>
      </w:pPr>
      <w:r w:rsidRPr="009A3785">
        <w:rPr>
          <w:b/>
          <w:bCs/>
          <w:noProof/>
          <w:sz w:val="26"/>
          <w:szCs w:val="26"/>
        </w:rPr>
        <mc:AlternateContent>
          <mc:Choice Requires="wps">
            <w:drawing>
              <wp:anchor distT="0" distB="0" distL="114300" distR="114300" simplePos="0" relativeHeight="251704320" behindDoc="1" locked="0" layoutInCell="1" allowOverlap="1" wp14:anchorId="778A33A0" wp14:editId="674480AB">
                <wp:simplePos x="0" y="0"/>
                <wp:positionH relativeFrom="column">
                  <wp:posOffset>4401380</wp:posOffset>
                </wp:positionH>
                <wp:positionV relativeFrom="paragraph">
                  <wp:posOffset>276860</wp:posOffset>
                </wp:positionV>
                <wp:extent cx="534035" cy="246380"/>
                <wp:effectExtent l="57150" t="114300" r="56515" b="115570"/>
                <wp:wrapNone/>
                <wp:docPr id="1775836850" name="Rectangle 29"/>
                <wp:cNvGraphicFramePr/>
                <a:graphic xmlns:a="http://schemas.openxmlformats.org/drawingml/2006/main">
                  <a:graphicData uri="http://schemas.microsoft.com/office/word/2010/wordprocessingShape">
                    <wps:wsp>
                      <wps:cNvSpPr/>
                      <wps:spPr>
                        <a:xfrm rot="1431876">
                          <a:off x="0" y="0"/>
                          <a:ext cx="534035" cy="2463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C0C1087" w14:textId="77777777" w:rsidR="003E2871" w:rsidRPr="009C24B5" w:rsidRDefault="003E2871" w:rsidP="003E2871">
                            <w:pPr>
                              <w:jc w:val="center"/>
                              <w:rPr>
                                <w:b/>
                                <w:bCs/>
                                <w:color w:val="000000" w:themeColor="text1"/>
                                <w:sz w:val="18"/>
                                <w:szCs w:val="18"/>
                                <w:lang w:val="en-GB"/>
                              </w:rPr>
                            </w:pPr>
                            <w:r w:rsidRPr="009C24B5">
                              <w:rPr>
                                <w:b/>
                                <w:bCs/>
                                <w:color w:val="000000" w:themeColor="text1"/>
                                <w:sz w:val="18"/>
                                <w:szCs w:val="18"/>
                                <w:lang w:val="en-GB"/>
                              </w:rPr>
                              <w:t>0.694</w:t>
                            </w:r>
                          </w:p>
                          <w:p w14:paraId="25E2F299" w14:textId="77777777" w:rsidR="003E2871" w:rsidRPr="00143737" w:rsidRDefault="003E2871" w:rsidP="003E2871">
                            <w:pPr>
                              <w:jc w:val="center"/>
                              <w:rPr>
                                <w:color w:val="000000" w:themeColor="text1"/>
                                <w:sz w:val="18"/>
                                <w:szCs w:val="18"/>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A33A0" id="_x0000_s1070" style="position:absolute;left:0;text-align:left;margin-left:346.55pt;margin-top:21.8pt;width:42.05pt;height:19.4pt;rotation:1563990fd;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" fillcolor="white [3201]" strokecolor="white [3212]" strokeweight="1pt">
                <v:textbox>
                  <w:txbxContent>
                    <w:p w14:paraId="6C0C1087" w14:textId="77777777" w:rsidR="003E2871" w:rsidRPr="009C24B5" w:rsidRDefault="003E2871" w:rsidP="003E2871">
                      <w:pPr>
                        <w:jc w:val="center"/>
                        <w:rPr>
                          <w:b/>
                          <w:bCs/>
                          <w:color w:val="000000" w:themeColor="text1"/>
                          <w:sz w:val="18"/>
                          <w:szCs w:val="18"/>
                          <w:lang w:val="en-GB"/>
                        </w:rPr>
                      </w:pPr>
                      <w:r w:rsidRPr="009C24B5">
                        <w:rPr>
                          <w:b/>
                          <w:bCs/>
                          <w:color w:val="000000" w:themeColor="text1"/>
                          <w:sz w:val="18"/>
                          <w:szCs w:val="18"/>
                          <w:lang w:val="en-GB"/>
                        </w:rPr>
                        <w:t>0.694</w:t>
                      </w:r>
                    </w:p>
                    <w:p w14:paraId="25E2F299" w14:textId="77777777" w:rsidR="003E2871" w:rsidRPr="00143737" w:rsidRDefault="003E2871" w:rsidP="003E2871">
                      <w:pPr>
                        <w:jc w:val="center"/>
                        <w:rPr>
                          <w:color w:val="000000" w:themeColor="text1"/>
                          <w:sz w:val="18"/>
                          <w:szCs w:val="18"/>
                          <w:lang w:val="en-GB"/>
                        </w:rPr>
                      </w:pPr>
                    </w:p>
                  </w:txbxContent>
                </v:textbox>
              </v:rect>
            </w:pict>
          </mc:Fallback>
        </mc:AlternateContent>
      </w:r>
      <w:r w:rsidR="00E66E98" w:rsidRPr="009A3785">
        <w:rPr>
          <w:b/>
          <w:bCs/>
          <w:noProof/>
          <w:sz w:val="26"/>
          <w:szCs w:val="26"/>
        </w:rPr>
        <mc:AlternateContent>
          <mc:Choice Requires="wps">
            <w:drawing>
              <wp:anchor distT="0" distB="0" distL="114300" distR="114300" simplePos="0" relativeHeight="251701248" behindDoc="1" locked="0" layoutInCell="1" allowOverlap="1" wp14:anchorId="17B8A0AC" wp14:editId="1096ADA8">
                <wp:simplePos x="0" y="0"/>
                <wp:positionH relativeFrom="column">
                  <wp:posOffset>830374</wp:posOffset>
                </wp:positionH>
                <wp:positionV relativeFrom="paragraph">
                  <wp:posOffset>101360</wp:posOffset>
                </wp:positionV>
                <wp:extent cx="534035" cy="246380"/>
                <wp:effectExtent l="38100" t="57150" r="37465" b="58420"/>
                <wp:wrapNone/>
                <wp:docPr id="1447649902" name="Rectangle 29"/>
                <wp:cNvGraphicFramePr/>
                <a:graphic xmlns:a="http://schemas.openxmlformats.org/drawingml/2006/main">
                  <a:graphicData uri="http://schemas.microsoft.com/office/word/2010/wordprocessingShape">
                    <wps:wsp>
                      <wps:cNvSpPr/>
                      <wps:spPr>
                        <a:xfrm rot="21094983">
                          <a:off x="0" y="0"/>
                          <a:ext cx="534035" cy="2463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0D972B6"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0.098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8A0AC" id="_x0000_s1071" style="position:absolute;left:0;text-align:left;margin-left:65.4pt;margin-top:8pt;width:42.05pt;height:19.4pt;rotation:-551613fd;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" fillcolor="white [3201]" strokecolor="white [3212]" strokeweight="1pt">
                <v:textbox>
                  <w:txbxContent>
                    <w:p w14:paraId="30D972B6"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0.098</w:t>
                      </w:r>
                    </w:p>
                  </w:txbxContent>
                </v:textbox>
              </v:rect>
            </w:pict>
          </mc:Fallback>
        </mc:AlternateContent>
      </w:r>
    </w:p>
    <w:p w14:paraId="683EAA8D" w14:textId="3098C62A" w:rsidR="003E2871" w:rsidRPr="009A3785" w:rsidRDefault="006B70B3" w:rsidP="008A110A">
      <w:pPr>
        <w:spacing w:line="360" w:lineRule="auto"/>
        <w:jc w:val="both"/>
        <w:rPr>
          <w:sz w:val="26"/>
          <w:szCs w:val="26"/>
        </w:rPr>
      </w:pPr>
      <w:r w:rsidRPr="009A3785">
        <w:rPr>
          <w:b/>
          <w:bCs/>
          <w:noProof/>
          <w:sz w:val="26"/>
          <w:szCs w:val="26"/>
        </w:rPr>
        <mc:AlternateContent>
          <mc:Choice Requires="wps">
            <w:drawing>
              <wp:anchor distT="0" distB="0" distL="114300" distR="114300" simplePos="0" relativeHeight="251709440" behindDoc="1" locked="0" layoutInCell="1" allowOverlap="1" wp14:anchorId="28340070" wp14:editId="203BCDB7">
                <wp:simplePos x="0" y="0"/>
                <wp:positionH relativeFrom="column">
                  <wp:posOffset>2028190</wp:posOffset>
                </wp:positionH>
                <wp:positionV relativeFrom="paragraph">
                  <wp:posOffset>276225</wp:posOffset>
                </wp:positionV>
                <wp:extent cx="534035" cy="246380"/>
                <wp:effectExtent l="143828" t="46672" r="124142" b="47943"/>
                <wp:wrapNone/>
                <wp:docPr id="1903748738" name="Rectangle 29"/>
                <wp:cNvGraphicFramePr/>
                <a:graphic xmlns:a="http://schemas.openxmlformats.org/drawingml/2006/main">
                  <a:graphicData uri="http://schemas.microsoft.com/office/word/2010/wordprocessingShape">
                    <wps:wsp>
                      <wps:cNvSpPr/>
                      <wps:spPr>
                        <a:xfrm rot="3513529">
                          <a:off x="0" y="0"/>
                          <a:ext cx="534035" cy="2463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3E22117"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0.362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40070" id="_x0000_s1072" style="position:absolute;left:0;text-align:left;margin-left:159.7pt;margin-top:21.75pt;width:42.05pt;height:19.4pt;rotation:3837711fd;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" fillcolor="white [3201]" strokecolor="white [3212]" strokeweight="1pt">
                <v:textbox>
                  <w:txbxContent>
                    <w:p w14:paraId="03E22117"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0.362</w:t>
                      </w:r>
                    </w:p>
                  </w:txbxContent>
                </v:textbox>
              </v:rect>
            </w:pict>
          </mc:Fallback>
        </mc:AlternateContent>
      </w:r>
      <w:r w:rsidR="00A958C5" w:rsidRPr="009A3785">
        <w:rPr>
          <w:b/>
          <w:bCs/>
          <w:noProof/>
          <w:sz w:val="26"/>
          <w:szCs w:val="26"/>
        </w:rPr>
        <mc:AlternateContent>
          <mc:Choice Requires="wps">
            <w:drawing>
              <wp:anchor distT="0" distB="0" distL="114300" distR="114300" simplePos="0" relativeHeight="251702272" behindDoc="1" locked="0" layoutInCell="1" allowOverlap="1" wp14:anchorId="4A206125" wp14:editId="31617DED">
                <wp:simplePos x="0" y="0"/>
                <wp:positionH relativeFrom="column">
                  <wp:posOffset>915979</wp:posOffset>
                </wp:positionH>
                <wp:positionV relativeFrom="paragraph">
                  <wp:posOffset>105631</wp:posOffset>
                </wp:positionV>
                <wp:extent cx="534413" cy="246418"/>
                <wp:effectExtent l="57150" t="133350" r="18415" b="134620"/>
                <wp:wrapNone/>
                <wp:docPr id="1157457428" name="Rectangle 29"/>
                <wp:cNvGraphicFramePr/>
                <a:graphic xmlns:a="http://schemas.openxmlformats.org/drawingml/2006/main">
                  <a:graphicData uri="http://schemas.microsoft.com/office/word/2010/wordprocessingShape">
                    <wps:wsp>
                      <wps:cNvSpPr/>
                      <wps:spPr>
                        <a:xfrm rot="19992336">
                          <a:off x="0" y="0"/>
                          <a:ext cx="534413" cy="246418"/>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E818C43"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0.607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6125" id="_x0000_s1073" style="position:absolute;left:0;text-align:left;margin-left:72.1pt;margin-top:8.3pt;width:42.1pt;height:19.4pt;rotation:-1755998fd;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" fillcolor="white [3201]" strokecolor="white [3212]" strokeweight="1pt">
                <v:textbox>
                  <w:txbxContent>
                    <w:p w14:paraId="0E818C43"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0.607</w:t>
                      </w:r>
                    </w:p>
                  </w:txbxContent>
                </v:textbox>
              </v:rect>
            </w:pict>
          </mc:Fallback>
        </mc:AlternateContent>
      </w:r>
    </w:p>
    <w:p w14:paraId="4721DEC7" w14:textId="0A0B3733" w:rsidR="003E2871" w:rsidRPr="009A3785" w:rsidRDefault="00E66E98" w:rsidP="008A110A">
      <w:pPr>
        <w:spacing w:line="360" w:lineRule="auto"/>
        <w:jc w:val="both"/>
        <w:rPr>
          <w:sz w:val="26"/>
          <w:szCs w:val="26"/>
        </w:rPr>
      </w:pPr>
      <w:r w:rsidRPr="009A3785">
        <w:rPr>
          <w:b/>
          <w:bCs/>
          <w:noProof/>
          <w:sz w:val="26"/>
          <w:szCs w:val="26"/>
        </w:rPr>
        <mc:AlternateContent>
          <mc:Choice Requires="wps">
            <w:drawing>
              <wp:anchor distT="0" distB="0" distL="114300" distR="114300" simplePos="0" relativeHeight="251708416" behindDoc="1" locked="0" layoutInCell="1" allowOverlap="1" wp14:anchorId="4FED24E7" wp14:editId="075DB5C6">
                <wp:simplePos x="0" y="0"/>
                <wp:positionH relativeFrom="column">
                  <wp:posOffset>3202490</wp:posOffset>
                </wp:positionH>
                <wp:positionV relativeFrom="paragraph">
                  <wp:posOffset>78256</wp:posOffset>
                </wp:positionV>
                <wp:extent cx="534413" cy="246418"/>
                <wp:effectExtent l="0" t="171450" r="18415" b="172720"/>
                <wp:wrapNone/>
                <wp:docPr id="973476847" name="Rectangle 29"/>
                <wp:cNvGraphicFramePr/>
                <a:graphic xmlns:a="http://schemas.openxmlformats.org/drawingml/2006/main">
                  <a:graphicData uri="http://schemas.microsoft.com/office/word/2010/wordprocessingShape">
                    <wps:wsp>
                      <wps:cNvSpPr/>
                      <wps:spPr>
                        <a:xfrm rot="18983071">
                          <a:off x="0" y="0"/>
                          <a:ext cx="534413" cy="246418"/>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51C2E99" w14:textId="77777777" w:rsidR="003E2871" w:rsidRPr="00C9735C" w:rsidRDefault="003E2871" w:rsidP="003E2871">
                            <w:pPr>
                              <w:jc w:val="center"/>
                              <w:rPr>
                                <w:b/>
                                <w:bCs/>
                                <w:color w:val="000000" w:themeColor="text1"/>
                                <w:sz w:val="18"/>
                                <w:szCs w:val="18"/>
                                <w:lang w:val="en-GB"/>
                              </w:rPr>
                            </w:pPr>
                            <w:r w:rsidRPr="00C9735C">
                              <w:rPr>
                                <w:b/>
                                <w:bCs/>
                                <w:color w:val="000000" w:themeColor="text1"/>
                                <w:sz w:val="18"/>
                                <w:szCs w:val="18"/>
                                <w:lang w:val="en-GB"/>
                              </w:rPr>
                              <w:t>0.398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D24E7" id="_x0000_s1074" style="position:absolute;left:0;text-align:left;margin-left:252.15pt;margin-top:6.15pt;width:42.1pt;height:19.4pt;rotation:-2858384fd;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" fillcolor="white [3201]" strokecolor="white [3212]" strokeweight="1pt">
                <v:textbox>
                  <w:txbxContent>
                    <w:p w14:paraId="151C2E99" w14:textId="77777777" w:rsidR="003E2871" w:rsidRPr="00C9735C" w:rsidRDefault="003E2871" w:rsidP="003E2871">
                      <w:pPr>
                        <w:jc w:val="center"/>
                        <w:rPr>
                          <w:b/>
                          <w:bCs/>
                          <w:color w:val="000000" w:themeColor="text1"/>
                          <w:sz w:val="18"/>
                          <w:szCs w:val="18"/>
                          <w:lang w:val="en-GB"/>
                        </w:rPr>
                      </w:pPr>
                      <w:r w:rsidRPr="00C9735C">
                        <w:rPr>
                          <w:b/>
                          <w:bCs/>
                          <w:color w:val="000000" w:themeColor="text1"/>
                          <w:sz w:val="18"/>
                          <w:szCs w:val="18"/>
                          <w:lang w:val="en-GB"/>
                        </w:rPr>
                        <w:t>0.398</w:t>
                      </w:r>
                    </w:p>
                  </w:txbxContent>
                </v:textbox>
              </v:rect>
            </w:pict>
          </mc:Fallback>
        </mc:AlternateContent>
      </w:r>
      <w:r w:rsidR="00DC1541" w:rsidRPr="009A3785">
        <w:rPr>
          <w:b/>
          <w:bCs/>
          <w:noProof/>
          <w:sz w:val="26"/>
          <w:szCs w:val="26"/>
        </w:rPr>
        <mc:AlternateContent>
          <mc:Choice Requires="wps">
            <w:drawing>
              <wp:anchor distT="0" distB="0" distL="114300" distR="114300" simplePos="0" relativeHeight="251703296" behindDoc="1" locked="0" layoutInCell="1" allowOverlap="1" wp14:anchorId="2D37F98E" wp14:editId="56FC5CC6">
                <wp:simplePos x="0" y="0"/>
                <wp:positionH relativeFrom="column">
                  <wp:posOffset>923291</wp:posOffset>
                </wp:positionH>
                <wp:positionV relativeFrom="paragraph">
                  <wp:posOffset>102535</wp:posOffset>
                </wp:positionV>
                <wp:extent cx="534035" cy="246380"/>
                <wp:effectExtent l="38100" t="171450" r="18415" b="172720"/>
                <wp:wrapNone/>
                <wp:docPr id="576565304" name="Rectangle 29"/>
                <wp:cNvGraphicFramePr/>
                <a:graphic xmlns:a="http://schemas.openxmlformats.org/drawingml/2006/main">
                  <a:graphicData uri="http://schemas.microsoft.com/office/word/2010/wordprocessingShape">
                    <wps:wsp>
                      <wps:cNvSpPr/>
                      <wps:spPr>
                        <a:xfrm rot="19147121">
                          <a:off x="0" y="0"/>
                          <a:ext cx="534035" cy="2463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B8CCF2F"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-0.619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7F98E" id="_x0000_s1075" style="position:absolute;left:0;text-align:left;margin-left:72.7pt;margin-top:8.05pt;width:42.05pt;height:19.4pt;rotation:-2679198fd;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" fillcolor="white [3201]" strokecolor="white [3212]" strokeweight="1pt">
                <v:textbox>
                  <w:txbxContent>
                    <w:p w14:paraId="3B8CCF2F" w14:textId="77777777" w:rsidR="003E2871" w:rsidRPr="00DC1541" w:rsidRDefault="003E2871" w:rsidP="003E2871">
                      <w:pPr>
                        <w:jc w:val="center"/>
                        <w:rPr>
                          <w:b/>
                          <w:bCs/>
                          <w:color w:val="000000" w:themeColor="text1"/>
                          <w:sz w:val="18"/>
                          <w:szCs w:val="18"/>
                          <w:lang w:val="en-GB"/>
                        </w:rPr>
                      </w:pPr>
                      <w:r w:rsidRPr="00DC1541">
                        <w:rPr>
                          <w:b/>
                          <w:bCs/>
                          <w:color w:val="000000" w:themeColor="text1"/>
                          <w:sz w:val="18"/>
                          <w:szCs w:val="18"/>
                          <w:lang w:val="en-GB"/>
                        </w:rPr>
                        <w:t>-0.619</w:t>
                      </w:r>
                    </w:p>
                  </w:txbxContent>
                </v:textbox>
              </v:rect>
            </w:pict>
          </mc:Fallback>
        </mc:AlternateContent>
      </w:r>
    </w:p>
    <w:p w14:paraId="796C6649" w14:textId="1F4A8BC0" w:rsidR="003E2871" w:rsidRPr="009A3785" w:rsidRDefault="003E2871" w:rsidP="008A110A">
      <w:pPr>
        <w:spacing w:line="360" w:lineRule="auto"/>
        <w:jc w:val="both"/>
        <w:rPr>
          <w:sz w:val="26"/>
          <w:szCs w:val="26"/>
        </w:rPr>
      </w:pPr>
    </w:p>
    <w:p w14:paraId="4E9CF13C" w14:textId="25A7E726" w:rsidR="003E2871" w:rsidRPr="009A3785" w:rsidRDefault="003E2871" w:rsidP="008A110A">
      <w:pPr>
        <w:spacing w:line="360" w:lineRule="auto"/>
        <w:jc w:val="both"/>
        <w:rPr>
          <w:sz w:val="26"/>
          <w:szCs w:val="26"/>
        </w:rPr>
      </w:pPr>
    </w:p>
    <w:p w14:paraId="75DF683B" w14:textId="5EE4FD30" w:rsidR="003E2871" w:rsidRPr="009A3785" w:rsidRDefault="00E66E98" w:rsidP="008A110A">
      <w:pPr>
        <w:spacing w:line="360" w:lineRule="auto"/>
        <w:jc w:val="both"/>
        <w:rPr>
          <w:sz w:val="26"/>
          <w:szCs w:val="26"/>
        </w:rPr>
      </w:pPr>
      <w:r>
        <w:rPr>
          <w:noProof/>
        </w:rPr>
        <mc:AlternateContent>
          <mc:Choice Requires="wps">
            <w:drawing>
              <wp:anchor distT="0" distB="0" distL="114300" distR="114300" simplePos="0" relativeHeight="251716608" behindDoc="0" locked="0" layoutInCell="1" allowOverlap="1" wp14:anchorId="4A320BB5" wp14:editId="041D89FB">
                <wp:simplePos x="0" y="0"/>
                <wp:positionH relativeFrom="column">
                  <wp:posOffset>2907337</wp:posOffset>
                </wp:positionH>
                <wp:positionV relativeFrom="paragraph">
                  <wp:posOffset>281502</wp:posOffset>
                </wp:positionV>
                <wp:extent cx="258660" cy="664815"/>
                <wp:effectExtent l="25400" t="25400" r="20955" b="8890"/>
                <wp:wrapNone/>
                <wp:docPr id="602517603" name="Straight Arrow Connector 25"/>
                <wp:cNvGraphicFramePr/>
                <a:graphic xmlns:a="http://schemas.openxmlformats.org/drawingml/2006/main">
                  <a:graphicData uri="http://schemas.microsoft.com/office/word/2010/wordprocessingShape">
                    <wps:wsp>
                      <wps:cNvCnPr/>
                      <wps:spPr>
                        <a:xfrm flipH="1" flipV="1">
                          <a:off x="0" y="0"/>
                          <a:ext cx="258660" cy="6648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9A494A7" id="Straight Arrow Connector 25" o:spid="_x0000_s1026" type="#_x0000_t32" style="position:absolute;margin-left:228.9pt;margin-top:22.15pt;width:20.35pt;height:52.35pt;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" strokecolor="#5b9bd5 [3204]" strokeweight=".5pt">
                <v:stroke endarrow="block" joinstyle="miter"/>
              </v:shape>
            </w:pict>
          </mc:Fallback>
        </mc:AlternateContent>
      </w:r>
    </w:p>
    <w:p w14:paraId="16AE8CAF" w14:textId="794507F7" w:rsidR="003E2871" w:rsidRPr="009A3785" w:rsidRDefault="00663644" w:rsidP="008A110A">
      <w:pPr>
        <w:spacing w:before="240" w:line="360" w:lineRule="auto"/>
        <w:jc w:val="both"/>
        <w:rPr>
          <w:sz w:val="26"/>
          <w:szCs w:val="26"/>
        </w:rPr>
      </w:pPr>
      <w:r w:rsidRPr="009A3785">
        <w:rPr>
          <w:b/>
          <w:bCs/>
          <w:noProof/>
          <w:sz w:val="26"/>
          <w:szCs w:val="26"/>
        </w:rPr>
        <mc:AlternateContent>
          <mc:Choice Requires="wps">
            <w:drawing>
              <wp:anchor distT="0" distB="0" distL="114300" distR="114300" simplePos="0" relativeHeight="251713536" behindDoc="1" locked="0" layoutInCell="1" allowOverlap="1" wp14:anchorId="1ECF5894" wp14:editId="711E6032">
                <wp:simplePos x="0" y="0"/>
                <wp:positionH relativeFrom="column">
                  <wp:posOffset>2876552</wp:posOffset>
                </wp:positionH>
                <wp:positionV relativeFrom="paragraph">
                  <wp:posOffset>240502</wp:posOffset>
                </wp:positionV>
                <wp:extent cx="534035" cy="246380"/>
                <wp:effectExtent l="105728" t="46672" r="124142" b="47943"/>
                <wp:wrapNone/>
                <wp:docPr id="1541458009" name="Rectangle 29"/>
                <wp:cNvGraphicFramePr/>
                <a:graphic xmlns:a="http://schemas.openxmlformats.org/drawingml/2006/main">
                  <a:graphicData uri="http://schemas.microsoft.com/office/word/2010/wordprocessingShape">
                    <wps:wsp>
                      <wps:cNvSpPr/>
                      <wps:spPr>
                        <a:xfrm rot="3876149">
                          <a:off x="0" y="0"/>
                          <a:ext cx="534035" cy="2463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C1A4656" w14:textId="77777777" w:rsidR="003E2871" w:rsidRPr="008F0D6A" w:rsidRDefault="003E2871" w:rsidP="003E2871">
                            <w:pPr>
                              <w:jc w:val="center"/>
                              <w:rPr>
                                <w:b/>
                                <w:bCs/>
                                <w:color w:val="000000" w:themeColor="text1"/>
                                <w:sz w:val="18"/>
                                <w:szCs w:val="18"/>
                                <w:lang w:val="en-GB"/>
                              </w:rPr>
                            </w:pPr>
                            <w:r w:rsidRPr="008F0D6A">
                              <w:rPr>
                                <w:b/>
                                <w:bCs/>
                                <w:color w:val="000000" w:themeColor="text1"/>
                                <w:sz w:val="18"/>
                                <w:szCs w:val="18"/>
                                <w:lang w:val="en-GB"/>
                              </w:rPr>
                              <w:t>0.421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F5894" id="_x0000_s1076" style="position:absolute;left:0;text-align:left;margin-left:226.5pt;margin-top:18.95pt;width:42.05pt;height:19.4pt;rotation:4233788fd;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" fillcolor="white [3201]" strokecolor="white [3212]" strokeweight="1pt">
                <v:textbox>
                  <w:txbxContent>
                    <w:p w14:paraId="7C1A4656" w14:textId="77777777" w:rsidR="003E2871" w:rsidRPr="008F0D6A" w:rsidRDefault="003E2871" w:rsidP="003E2871">
                      <w:pPr>
                        <w:jc w:val="center"/>
                        <w:rPr>
                          <w:b/>
                          <w:bCs/>
                          <w:color w:val="000000" w:themeColor="text1"/>
                          <w:sz w:val="18"/>
                          <w:szCs w:val="18"/>
                          <w:lang w:val="en-GB"/>
                        </w:rPr>
                      </w:pPr>
                      <w:r w:rsidRPr="008F0D6A">
                        <w:rPr>
                          <w:b/>
                          <w:bCs/>
                          <w:color w:val="000000" w:themeColor="text1"/>
                          <w:sz w:val="18"/>
                          <w:szCs w:val="18"/>
                          <w:lang w:val="en-GB"/>
                        </w:rPr>
                        <w:t>0.421</w:t>
                      </w:r>
                    </w:p>
                  </w:txbxContent>
                </v:textbox>
              </v:rect>
            </w:pict>
          </mc:Fallback>
        </mc:AlternateContent>
      </w:r>
      <w:r w:rsidR="001B4002" w:rsidRPr="009A3785">
        <w:rPr>
          <w:b/>
          <w:bCs/>
          <w:noProof/>
          <w:sz w:val="26"/>
          <w:szCs w:val="26"/>
        </w:rPr>
        <mc:AlternateContent>
          <mc:Choice Requires="wps">
            <w:drawing>
              <wp:anchor distT="0" distB="0" distL="114300" distR="114300" simplePos="0" relativeHeight="251712512" behindDoc="1" locked="0" layoutInCell="1" allowOverlap="1" wp14:anchorId="15194117" wp14:editId="5D5C74B1">
                <wp:simplePos x="0" y="0"/>
                <wp:positionH relativeFrom="column">
                  <wp:posOffset>2462046</wp:posOffset>
                </wp:positionH>
                <wp:positionV relativeFrom="paragraph">
                  <wp:posOffset>261768</wp:posOffset>
                </wp:positionV>
                <wp:extent cx="534035" cy="246380"/>
                <wp:effectExtent l="67628" t="46672" r="86042" b="47943"/>
                <wp:wrapNone/>
                <wp:docPr id="1038899357" name="Rectangle 29"/>
                <wp:cNvGraphicFramePr/>
                <a:graphic xmlns:a="http://schemas.openxmlformats.org/drawingml/2006/main">
                  <a:graphicData uri="http://schemas.microsoft.com/office/word/2010/wordprocessingShape">
                    <wps:wsp>
                      <wps:cNvSpPr/>
                      <wps:spPr>
                        <a:xfrm rot="17155203">
                          <a:off x="0" y="0"/>
                          <a:ext cx="534035" cy="2463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7095C3D" w14:textId="77777777" w:rsidR="003E2871" w:rsidRPr="008F0D6A" w:rsidRDefault="003E2871" w:rsidP="003E2871">
                            <w:pPr>
                              <w:jc w:val="center"/>
                              <w:rPr>
                                <w:b/>
                                <w:bCs/>
                                <w:color w:val="000000" w:themeColor="text1"/>
                                <w:sz w:val="18"/>
                                <w:szCs w:val="18"/>
                                <w:lang w:val="en-GB"/>
                              </w:rPr>
                            </w:pPr>
                            <w:r w:rsidRPr="008F0D6A">
                              <w:rPr>
                                <w:b/>
                                <w:bCs/>
                                <w:color w:val="000000" w:themeColor="text1"/>
                                <w:sz w:val="18"/>
                                <w:szCs w:val="18"/>
                                <w:lang w:val="en-GB"/>
                              </w:rPr>
                              <w:t>0.297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94117" id="_x0000_s1077" style="position:absolute;left:0;text-align:left;margin-left:193.85pt;margin-top:20.6pt;width:42.05pt;height:19.4pt;rotation:-4854904fd;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" fillcolor="white [3201]" strokecolor="white [3212]" strokeweight="1pt">
                <v:textbox>
                  <w:txbxContent>
                    <w:p w14:paraId="17095C3D" w14:textId="77777777" w:rsidR="003E2871" w:rsidRPr="008F0D6A" w:rsidRDefault="003E2871" w:rsidP="003E2871">
                      <w:pPr>
                        <w:jc w:val="center"/>
                        <w:rPr>
                          <w:b/>
                          <w:bCs/>
                          <w:color w:val="000000" w:themeColor="text1"/>
                          <w:sz w:val="18"/>
                          <w:szCs w:val="18"/>
                          <w:lang w:val="en-GB"/>
                        </w:rPr>
                      </w:pPr>
                      <w:r w:rsidRPr="008F0D6A">
                        <w:rPr>
                          <w:b/>
                          <w:bCs/>
                          <w:color w:val="000000" w:themeColor="text1"/>
                          <w:sz w:val="18"/>
                          <w:szCs w:val="18"/>
                          <w:lang w:val="en-GB"/>
                        </w:rPr>
                        <w:t>0.297</w:t>
                      </w:r>
                    </w:p>
                  </w:txbxContent>
                </v:textbox>
              </v:rect>
            </w:pict>
          </mc:Fallback>
        </mc:AlternateContent>
      </w:r>
      <w:r w:rsidR="00E66E98" w:rsidRPr="009A3785">
        <w:rPr>
          <w:b/>
          <w:bCs/>
          <w:noProof/>
          <w:sz w:val="26"/>
          <w:szCs w:val="26"/>
        </w:rPr>
        <mc:AlternateContent>
          <mc:Choice Requires="wps">
            <w:drawing>
              <wp:anchor distT="0" distB="0" distL="114300" distR="114300" simplePos="0" relativeHeight="251714560" behindDoc="1" locked="0" layoutInCell="1" allowOverlap="1" wp14:anchorId="1C9438AE" wp14:editId="28E9AF97">
                <wp:simplePos x="0" y="0"/>
                <wp:positionH relativeFrom="column">
                  <wp:posOffset>3221289</wp:posOffset>
                </wp:positionH>
                <wp:positionV relativeFrom="paragraph">
                  <wp:posOffset>114619</wp:posOffset>
                </wp:positionV>
                <wp:extent cx="534035" cy="246380"/>
                <wp:effectExtent l="181928" t="27622" r="143192" b="28893"/>
                <wp:wrapNone/>
                <wp:docPr id="1624180333" name="Rectangle 29"/>
                <wp:cNvGraphicFramePr/>
                <a:graphic xmlns:a="http://schemas.openxmlformats.org/drawingml/2006/main">
                  <a:graphicData uri="http://schemas.microsoft.com/office/word/2010/wordprocessingShape">
                    <wps:wsp>
                      <wps:cNvSpPr/>
                      <wps:spPr>
                        <a:xfrm rot="2802613">
                          <a:off x="0" y="0"/>
                          <a:ext cx="534035" cy="2463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5BD17F1" w14:textId="77777777" w:rsidR="003E2871" w:rsidRPr="008F0D6A" w:rsidRDefault="003E2871" w:rsidP="003E2871">
                            <w:pPr>
                              <w:jc w:val="center"/>
                              <w:rPr>
                                <w:b/>
                                <w:bCs/>
                                <w:color w:val="000000" w:themeColor="text1"/>
                                <w:sz w:val="18"/>
                                <w:szCs w:val="18"/>
                                <w:lang w:val="en-GB"/>
                              </w:rPr>
                            </w:pPr>
                            <w:r w:rsidRPr="008F0D6A">
                              <w:rPr>
                                <w:b/>
                                <w:bCs/>
                                <w:color w:val="000000" w:themeColor="text1"/>
                                <w:sz w:val="18"/>
                                <w:szCs w:val="18"/>
                                <w:lang w:val="en-GB"/>
                              </w:rPr>
                              <w:t>-0.028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438AE" id="_x0000_s1078" style="position:absolute;left:0;text-align:left;margin-left:253.65pt;margin-top:9.05pt;width:42.05pt;height:19.4pt;rotation:3061201fd;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" fillcolor="white [3201]" strokecolor="white [3212]" strokeweight="1pt">
                <v:textbox>
                  <w:txbxContent>
                    <w:p w14:paraId="75BD17F1" w14:textId="77777777" w:rsidR="003E2871" w:rsidRPr="008F0D6A" w:rsidRDefault="003E2871" w:rsidP="003E2871">
                      <w:pPr>
                        <w:jc w:val="center"/>
                        <w:rPr>
                          <w:b/>
                          <w:bCs/>
                          <w:color w:val="000000" w:themeColor="text1"/>
                          <w:sz w:val="18"/>
                          <w:szCs w:val="18"/>
                          <w:lang w:val="en-GB"/>
                        </w:rPr>
                      </w:pPr>
                      <w:r w:rsidRPr="008F0D6A">
                        <w:rPr>
                          <w:b/>
                          <w:bCs/>
                          <w:color w:val="000000" w:themeColor="text1"/>
                          <w:sz w:val="18"/>
                          <w:szCs w:val="18"/>
                          <w:lang w:val="en-GB"/>
                        </w:rPr>
                        <w:t>-0.028</w:t>
                      </w:r>
                    </w:p>
                  </w:txbxContent>
                </v:textbox>
              </v:rect>
            </w:pict>
          </mc:Fallback>
        </mc:AlternateContent>
      </w:r>
      <w:r w:rsidR="00E66E98" w:rsidRPr="009A3785">
        <w:rPr>
          <w:b/>
          <w:bCs/>
          <w:noProof/>
          <w:sz w:val="26"/>
          <w:szCs w:val="26"/>
        </w:rPr>
        <mc:AlternateContent>
          <mc:Choice Requires="wps">
            <w:drawing>
              <wp:anchor distT="0" distB="0" distL="114300" distR="114300" simplePos="0" relativeHeight="251711488" behindDoc="1" locked="0" layoutInCell="1" allowOverlap="1" wp14:anchorId="0A81753E" wp14:editId="47768973">
                <wp:simplePos x="0" y="0"/>
                <wp:positionH relativeFrom="column">
                  <wp:posOffset>2166937</wp:posOffset>
                </wp:positionH>
                <wp:positionV relativeFrom="paragraph">
                  <wp:posOffset>178468</wp:posOffset>
                </wp:positionV>
                <wp:extent cx="534035" cy="246380"/>
                <wp:effectExtent l="105728" t="46672" r="143192" b="47943"/>
                <wp:wrapNone/>
                <wp:docPr id="1681135416" name="Rectangle 29"/>
                <wp:cNvGraphicFramePr/>
                <a:graphic xmlns:a="http://schemas.openxmlformats.org/drawingml/2006/main">
                  <a:graphicData uri="http://schemas.microsoft.com/office/word/2010/wordprocessingShape">
                    <wps:wsp>
                      <wps:cNvSpPr/>
                      <wps:spPr>
                        <a:xfrm rot="18452736">
                          <a:off x="0" y="0"/>
                          <a:ext cx="534035" cy="2463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D244189" w14:textId="77777777" w:rsidR="003E2871" w:rsidRPr="008F0D6A" w:rsidRDefault="003E2871" w:rsidP="003E2871">
                            <w:pPr>
                              <w:jc w:val="center"/>
                              <w:rPr>
                                <w:b/>
                                <w:bCs/>
                                <w:color w:val="000000" w:themeColor="text1"/>
                                <w:sz w:val="18"/>
                                <w:szCs w:val="18"/>
                                <w:lang w:val="en-GB"/>
                              </w:rPr>
                            </w:pPr>
                            <w:r w:rsidRPr="008F0D6A">
                              <w:rPr>
                                <w:b/>
                                <w:bCs/>
                                <w:color w:val="000000" w:themeColor="text1"/>
                                <w:sz w:val="18"/>
                                <w:szCs w:val="18"/>
                                <w:lang w:val="en-GB"/>
                              </w:rPr>
                              <w:t>0.556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1753E" id="_x0000_s1079" style="position:absolute;left:0;text-align:left;margin-left:170.6pt;margin-top:14.05pt;width:42.05pt;height:19.4pt;rotation:-3437652fd;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" fillcolor="white [3201]" strokecolor="white [3212]" strokeweight="1pt">
                <v:textbox>
                  <w:txbxContent>
                    <w:p w14:paraId="5D244189" w14:textId="77777777" w:rsidR="003E2871" w:rsidRPr="008F0D6A" w:rsidRDefault="003E2871" w:rsidP="003E2871">
                      <w:pPr>
                        <w:jc w:val="center"/>
                        <w:rPr>
                          <w:b/>
                          <w:bCs/>
                          <w:color w:val="000000" w:themeColor="text1"/>
                          <w:sz w:val="18"/>
                          <w:szCs w:val="18"/>
                          <w:lang w:val="en-GB"/>
                        </w:rPr>
                      </w:pPr>
                      <w:r w:rsidRPr="008F0D6A">
                        <w:rPr>
                          <w:b/>
                          <w:bCs/>
                          <w:color w:val="000000" w:themeColor="text1"/>
                          <w:sz w:val="18"/>
                          <w:szCs w:val="18"/>
                          <w:lang w:val="en-GB"/>
                        </w:rPr>
                        <w:t>0.556</w:t>
                      </w:r>
                    </w:p>
                  </w:txbxContent>
                </v:textbox>
              </v:rect>
            </w:pict>
          </mc:Fallback>
        </mc:AlternateContent>
      </w:r>
      <w:r w:rsidR="00E66E98" w:rsidRPr="009A3785">
        <w:rPr>
          <w:b/>
          <w:bCs/>
          <w:noProof/>
          <w:sz w:val="26"/>
          <w:szCs w:val="26"/>
        </w:rPr>
        <mc:AlternateContent>
          <mc:Choice Requires="wps">
            <w:drawing>
              <wp:anchor distT="0" distB="0" distL="114300" distR="114300" simplePos="0" relativeHeight="251710464" behindDoc="1" locked="0" layoutInCell="1" allowOverlap="1" wp14:anchorId="5E95A067" wp14:editId="75CCFCB9">
                <wp:simplePos x="0" y="0"/>
                <wp:positionH relativeFrom="column">
                  <wp:posOffset>1865323</wp:posOffset>
                </wp:positionH>
                <wp:positionV relativeFrom="paragraph">
                  <wp:posOffset>62230</wp:posOffset>
                </wp:positionV>
                <wp:extent cx="498475" cy="259447"/>
                <wp:effectExtent l="38100" t="152400" r="34925" b="147320"/>
                <wp:wrapNone/>
                <wp:docPr id="574627748" name="Rectangle 29"/>
                <wp:cNvGraphicFramePr/>
                <a:graphic xmlns:a="http://schemas.openxmlformats.org/drawingml/2006/main">
                  <a:graphicData uri="http://schemas.microsoft.com/office/word/2010/wordprocessingShape">
                    <wps:wsp>
                      <wps:cNvSpPr/>
                      <wps:spPr>
                        <a:xfrm rot="18951634">
                          <a:off x="0" y="0"/>
                          <a:ext cx="498475" cy="259447"/>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24C81BE" w14:textId="77777777" w:rsidR="003E2871" w:rsidRPr="008F0D6A" w:rsidRDefault="003E2871" w:rsidP="003E2871">
                            <w:pPr>
                              <w:jc w:val="center"/>
                              <w:rPr>
                                <w:b/>
                                <w:bCs/>
                                <w:color w:val="000000" w:themeColor="text1"/>
                                <w:sz w:val="18"/>
                                <w:szCs w:val="18"/>
                                <w:lang w:val="en-GB"/>
                              </w:rPr>
                            </w:pPr>
                            <w:r w:rsidRPr="008F0D6A">
                              <w:rPr>
                                <w:b/>
                                <w:bCs/>
                                <w:color w:val="000000" w:themeColor="text1"/>
                                <w:sz w:val="18"/>
                                <w:szCs w:val="18"/>
                                <w:lang w:val="en-GB"/>
                              </w:rPr>
                              <w:t>0.085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5A067" id="_x0000_s1080" style="position:absolute;left:0;text-align:left;margin-left:146.9pt;margin-top:4.9pt;width:39.25pt;height:20.45pt;rotation:-2892722fd;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" fillcolor="white [3201]" strokecolor="white [3212]" strokeweight="1pt">
                <v:textbox>
                  <w:txbxContent>
                    <w:p w14:paraId="724C81BE" w14:textId="77777777" w:rsidR="003E2871" w:rsidRPr="008F0D6A" w:rsidRDefault="003E2871" w:rsidP="003E2871">
                      <w:pPr>
                        <w:jc w:val="center"/>
                        <w:rPr>
                          <w:b/>
                          <w:bCs/>
                          <w:color w:val="000000" w:themeColor="text1"/>
                          <w:sz w:val="18"/>
                          <w:szCs w:val="18"/>
                          <w:lang w:val="en-GB"/>
                        </w:rPr>
                      </w:pPr>
                      <w:r w:rsidRPr="008F0D6A">
                        <w:rPr>
                          <w:b/>
                          <w:bCs/>
                          <w:color w:val="000000" w:themeColor="text1"/>
                          <w:sz w:val="18"/>
                          <w:szCs w:val="18"/>
                          <w:lang w:val="en-GB"/>
                        </w:rPr>
                        <w:t>0.085</w:t>
                      </w:r>
                    </w:p>
                  </w:txbxContent>
                </v:textbox>
              </v:rect>
            </w:pict>
          </mc:Fallback>
        </mc:AlternateContent>
      </w:r>
    </w:p>
    <w:p w14:paraId="7DC13DDB" w14:textId="7213237E" w:rsidR="003E2871" w:rsidRPr="009A3785" w:rsidRDefault="003E2871" w:rsidP="008A110A">
      <w:pPr>
        <w:autoSpaceDE w:val="0"/>
        <w:autoSpaceDN w:val="0"/>
        <w:adjustRightInd w:val="0"/>
        <w:spacing w:line="360" w:lineRule="exact"/>
        <w:ind w:firstLineChars="200" w:firstLine="521"/>
        <w:jc w:val="both"/>
        <w:rPr>
          <w:rFonts w:eastAsia="Calibri"/>
          <w:b/>
          <w:bCs/>
          <w:noProof/>
          <w:sz w:val="26"/>
          <w:szCs w:val="26"/>
          <w:lang w:val="en-US"/>
        </w:rPr>
      </w:pPr>
    </w:p>
    <w:p w14:paraId="51B1E5C2" w14:textId="4EE2A9AF" w:rsidR="003E2871" w:rsidRPr="009A3785" w:rsidRDefault="003E2871" w:rsidP="008A110A">
      <w:pPr>
        <w:autoSpaceDE w:val="0"/>
        <w:autoSpaceDN w:val="0"/>
        <w:adjustRightInd w:val="0"/>
        <w:spacing w:line="360" w:lineRule="exact"/>
        <w:ind w:firstLineChars="200" w:firstLine="521"/>
        <w:jc w:val="both"/>
        <w:rPr>
          <w:rFonts w:eastAsia="Calibri"/>
          <w:b/>
          <w:bCs/>
          <w:noProof/>
          <w:sz w:val="26"/>
          <w:szCs w:val="26"/>
          <w:lang w:val="en-US"/>
        </w:rPr>
      </w:pPr>
    </w:p>
    <w:p w14:paraId="50752718" w14:textId="77777777" w:rsidR="003E2871" w:rsidRPr="009A3785" w:rsidRDefault="003E2871" w:rsidP="008A110A">
      <w:pPr>
        <w:autoSpaceDE w:val="0"/>
        <w:autoSpaceDN w:val="0"/>
        <w:adjustRightInd w:val="0"/>
        <w:spacing w:line="360" w:lineRule="exact"/>
        <w:ind w:firstLineChars="200" w:firstLine="521"/>
        <w:jc w:val="both"/>
        <w:rPr>
          <w:rFonts w:eastAsia="Calibri"/>
          <w:b/>
          <w:bCs/>
          <w:noProof/>
          <w:sz w:val="26"/>
          <w:szCs w:val="26"/>
          <w:lang w:val="en-US"/>
        </w:rPr>
      </w:pPr>
    </w:p>
    <w:p w14:paraId="47DE46D1" w14:textId="0E8C4E0C" w:rsidR="00B81B03" w:rsidRDefault="00B81B03" w:rsidP="008A110A">
      <w:pPr>
        <w:autoSpaceDE w:val="0"/>
        <w:autoSpaceDN w:val="0"/>
        <w:adjustRightInd w:val="0"/>
        <w:spacing w:line="360" w:lineRule="exact"/>
        <w:jc w:val="both"/>
        <w:rPr>
          <w:rFonts w:eastAsia="新細明體"/>
          <w:bCs/>
          <w:noProof/>
          <w:sz w:val="26"/>
          <w:szCs w:val="26"/>
          <w:lang w:val="en-US" w:eastAsia="zh-TW"/>
        </w:rPr>
      </w:pPr>
      <w:bookmarkStart w:id="9" w:name="_Hlk180694929"/>
      <w:r w:rsidRPr="00913C6B">
        <w:rPr>
          <w:rFonts w:eastAsia="新細明體"/>
          <w:b/>
          <w:i/>
          <w:iCs/>
          <w:noProof/>
          <w:sz w:val="26"/>
          <w:szCs w:val="26"/>
          <w:lang w:val="en-US" w:eastAsia="zh-TW"/>
        </w:rPr>
        <w:t>Source</w:t>
      </w:r>
      <w:r w:rsidR="004C0180" w:rsidRPr="00913C6B">
        <w:rPr>
          <w:rFonts w:eastAsia="新細明體"/>
          <w:b/>
          <w:noProof/>
          <w:sz w:val="26"/>
          <w:szCs w:val="26"/>
          <w:lang w:val="en-US" w:eastAsia="zh-TW"/>
        </w:rPr>
        <w:t>.</w:t>
      </w:r>
      <w:r w:rsidRPr="00913C6B">
        <w:rPr>
          <w:rFonts w:eastAsia="新細明體"/>
          <w:b/>
          <w:noProof/>
          <w:sz w:val="26"/>
          <w:szCs w:val="26"/>
          <w:lang w:val="en-US" w:eastAsia="zh-TW"/>
        </w:rPr>
        <w:t xml:space="preserve"> </w:t>
      </w:r>
      <w:r w:rsidRPr="006E05A9">
        <w:rPr>
          <w:rFonts w:eastAsia="新細明體"/>
          <w:bCs/>
          <w:noProof/>
          <w:sz w:val="26"/>
          <w:szCs w:val="26"/>
          <w:lang w:val="en-US" w:eastAsia="zh-TW"/>
        </w:rPr>
        <w:t xml:space="preserve">Generated by </w:t>
      </w:r>
      <w:r w:rsidR="00636098">
        <w:rPr>
          <w:rFonts w:eastAsia="新細明體"/>
          <w:bCs/>
          <w:noProof/>
          <w:sz w:val="26"/>
          <w:szCs w:val="26"/>
          <w:lang w:val="en-US" w:eastAsia="zh-TW"/>
        </w:rPr>
        <w:t xml:space="preserve">the </w:t>
      </w:r>
      <w:r w:rsidRPr="006E05A9">
        <w:rPr>
          <w:rFonts w:eastAsia="新細明體"/>
          <w:bCs/>
          <w:noProof/>
          <w:sz w:val="26"/>
          <w:szCs w:val="26"/>
          <w:lang w:val="en-US" w:eastAsia="zh-TW"/>
        </w:rPr>
        <w:t>author</w:t>
      </w:r>
      <w:r w:rsidR="00137B3F">
        <w:rPr>
          <w:rFonts w:eastAsia="新細明體"/>
          <w:bCs/>
          <w:noProof/>
          <w:sz w:val="26"/>
          <w:szCs w:val="26"/>
          <w:lang w:val="en-US" w:eastAsia="zh-TW"/>
        </w:rPr>
        <w:t>s</w:t>
      </w:r>
      <w:r w:rsidRPr="006E05A9">
        <w:rPr>
          <w:rFonts w:eastAsia="新細明體"/>
          <w:bCs/>
          <w:noProof/>
          <w:sz w:val="26"/>
          <w:szCs w:val="26"/>
          <w:lang w:val="en-US" w:eastAsia="zh-TW"/>
        </w:rPr>
        <w:t xml:space="preserve"> using   SmartPLS ® software</w:t>
      </w:r>
    </w:p>
    <w:p w14:paraId="6A3527CD" w14:textId="3CF969C5" w:rsidR="00CB1F99" w:rsidRPr="00CE0EC2" w:rsidRDefault="00CB1F99" w:rsidP="00824E69">
      <w:pPr>
        <w:autoSpaceDE w:val="0"/>
        <w:autoSpaceDN w:val="0"/>
        <w:adjustRightInd w:val="0"/>
        <w:snapToGrid w:val="0"/>
        <w:spacing w:line="300" w:lineRule="auto"/>
        <w:ind w:left="567" w:hangingChars="236" w:hanging="567"/>
        <w:jc w:val="both"/>
        <w:rPr>
          <w:rFonts w:eastAsia="Calibri"/>
          <w:noProof/>
        </w:rPr>
      </w:pPr>
      <w:r w:rsidRPr="00824E69">
        <w:rPr>
          <w:rFonts w:eastAsia="Calibri"/>
          <w:b/>
          <w:bCs/>
          <w:i/>
          <w:iCs/>
          <w:noProof/>
        </w:rPr>
        <w:t>Note</w:t>
      </w:r>
      <w:r w:rsidR="00824E69" w:rsidRPr="00824E69">
        <w:rPr>
          <w:rFonts w:ascii="新細明體" w:eastAsia="新細明體" w:hAnsi="新細明體" w:cs="新細明體"/>
          <w:b/>
          <w:bCs/>
          <w:i/>
          <w:iCs/>
          <w:noProof/>
        </w:rPr>
        <w:t>.</w:t>
      </w:r>
      <w:r w:rsidRPr="00824E69">
        <w:rPr>
          <w:rFonts w:eastAsia="Calibri"/>
          <w:i/>
          <w:iCs/>
          <w:noProof/>
        </w:rPr>
        <w:t xml:space="preserve"> </w:t>
      </w:r>
      <w:r w:rsidRPr="00CE0EC2">
        <w:rPr>
          <w:rFonts w:eastAsia="Calibri"/>
          <w:noProof/>
        </w:rPr>
        <w:t xml:space="preserve">CSCE = Circular Supply Chain Enablers; ESI = Environmental Sustainability Initiatives; EG = Economic Growth. All constructs are measured using </w:t>
      </w:r>
      <w:r w:rsidRPr="006E05A9">
        <w:rPr>
          <w:rFonts w:eastAsia="Calibri"/>
          <w:noProof/>
        </w:rPr>
        <w:t>formative scales</w:t>
      </w:r>
      <w:r w:rsidR="00474704" w:rsidRPr="006E05A9">
        <w:rPr>
          <w:rFonts w:eastAsia="Calibri"/>
          <w:noProof/>
        </w:rPr>
        <w:t>.</w:t>
      </w:r>
    </w:p>
    <w:p w14:paraId="1670C256" w14:textId="77777777" w:rsidR="00CB1F99" w:rsidRPr="009A3785" w:rsidRDefault="00CB1F99" w:rsidP="00824E69">
      <w:pPr>
        <w:autoSpaceDE w:val="0"/>
        <w:autoSpaceDN w:val="0"/>
        <w:adjustRightInd w:val="0"/>
        <w:snapToGrid w:val="0"/>
        <w:spacing w:line="300" w:lineRule="auto"/>
        <w:jc w:val="both"/>
        <w:rPr>
          <w:rFonts w:eastAsia="Calibri"/>
          <w:noProof/>
          <w:sz w:val="26"/>
          <w:szCs w:val="26"/>
          <w:lang w:val="en-US"/>
        </w:rPr>
      </w:pPr>
    </w:p>
    <w:bookmarkEnd w:id="9"/>
    <w:p w14:paraId="38E35EC5" w14:textId="4DB607CE" w:rsidR="00945B4B" w:rsidRPr="009A3785" w:rsidRDefault="001A23EC" w:rsidP="00824E69">
      <w:pPr>
        <w:autoSpaceDE w:val="0"/>
        <w:autoSpaceDN w:val="0"/>
        <w:adjustRightInd w:val="0"/>
        <w:snapToGrid w:val="0"/>
        <w:spacing w:line="300" w:lineRule="auto"/>
        <w:jc w:val="both"/>
        <w:rPr>
          <w:sz w:val="26"/>
          <w:szCs w:val="26"/>
          <w:lang w:eastAsia="en-AU"/>
        </w:rPr>
      </w:pPr>
      <w:r w:rsidRPr="009A3785">
        <w:rPr>
          <w:rFonts w:eastAsia="Calibri"/>
          <w:b/>
          <w:sz w:val="26"/>
          <w:szCs w:val="26"/>
          <w:lang w:eastAsia="en-AU"/>
        </w:rPr>
        <w:t xml:space="preserve">Hypotheses </w:t>
      </w:r>
      <w:r w:rsidR="00E17610" w:rsidRPr="009A3785">
        <w:rPr>
          <w:rFonts w:eastAsia="Calibri"/>
          <w:b/>
          <w:sz w:val="26"/>
          <w:szCs w:val="26"/>
          <w:lang w:eastAsia="en-AU"/>
        </w:rPr>
        <w:t>C</w:t>
      </w:r>
      <w:r w:rsidRPr="009A3785">
        <w:rPr>
          <w:rFonts w:eastAsia="Calibri"/>
          <w:b/>
          <w:sz w:val="26"/>
          <w:szCs w:val="26"/>
          <w:lang w:eastAsia="en-AU"/>
        </w:rPr>
        <w:t>hecking</w:t>
      </w:r>
    </w:p>
    <w:p w14:paraId="3D95A97A" w14:textId="3FC2E292" w:rsidR="00686B07" w:rsidRPr="009A3785" w:rsidRDefault="00686B07" w:rsidP="00824E69">
      <w:pPr>
        <w:autoSpaceDE w:val="0"/>
        <w:autoSpaceDN w:val="0"/>
        <w:adjustRightInd w:val="0"/>
        <w:snapToGrid w:val="0"/>
        <w:spacing w:line="300" w:lineRule="auto"/>
        <w:ind w:firstLineChars="200" w:firstLine="520"/>
        <w:jc w:val="both"/>
        <w:rPr>
          <w:noProof/>
          <w:sz w:val="26"/>
          <w:szCs w:val="26"/>
        </w:rPr>
      </w:pPr>
      <w:r w:rsidRPr="009A3785">
        <w:rPr>
          <w:noProof/>
          <w:sz w:val="26"/>
          <w:szCs w:val="26"/>
        </w:rPr>
        <w:t xml:space="preserve">Table 2 summarizes </w:t>
      </w:r>
      <w:r w:rsidR="00636098">
        <w:rPr>
          <w:noProof/>
          <w:sz w:val="26"/>
          <w:szCs w:val="26"/>
        </w:rPr>
        <w:t>the finding</w:t>
      </w:r>
      <w:r w:rsidRPr="009A3785">
        <w:rPr>
          <w:noProof/>
          <w:sz w:val="26"/>
          <w:szCs w:val="26"/>
        </w:rPr>
        <w:t xml:space="preserve">s from hypothesis testing </w:t>
      </w:r>
      <w:r w:rsidR="00636098">
        <w:rPr>
          <w:noProof/>
          <w:sz w:val="26"/>
          <w:szCs w:val="26"/>
        </w:rPr>
        <w:t>regard</w:t>
      </w:r>
      <w:r w:rsidRPr="009A3785">
        <w:rPr>
          <w:noProof/>
          <w:sz w:val="26"/>
          <w:szCs w:val="26"/>
        </w:rPr>
        <w:t xml:space="preserve">ing the interaction between latent constructs </w:t>
      </w:r>
      <w:r w:rsidR="00636098">
        <w:rPr>
          <w:noProof/>
          <w:sz w:val="26"/>
          <w:szCs w:val="26"/>
        </w:rPr>
        <w:t>as predict</w:t>
      </w:r>
      <w:r w:rsidRPr="009A3785">
        <w:rPr>
          <w:noProof/>
          <w:sz w:val="26"/>
          <w:szCs w:val="26"/>
        </w:rPr>
        <w:t>ed by our structural equation model. Specifically,</w:t>
      </w:r>
    </w:p>
    <w:p w14:paraId="67B936AA" w14:textId="77777777" w:rsidR="00927E4B" w:rsidRPr="009A3785" w:rsidRDefault="00927E4B" w:rsidP="00824E69">
      <w:pPr>
        <w:autoSpaceDE w:val="0"/>
        <w:autoSpaceDN w:val="0"/>
        <w:adjustRightInd w:val="0"/>
        <w:snapToGrid w:val="0"/>
        <w:spacing w:line="300" w:lineRule="auto"/>
        <w:ind w:firstLineChars="200" w:firstLine="520"/>
        <w:jc w:val="both"/>
        <w:rPr>
          <w:noProof/>
          <w:sz w:val="26"/>
          <w:szCs w:val="26"/>
        </w:rPr>
      </w:pPr>
    </w:p>
    <w:p w14:paraId="31937075" w14:textId="07A06751" w:rsidR="00686B07" w:rsidRPr="009A3785" w:rsidRDefault="00686B07" w:rsidP="00824E69">
      <w:pPr>
        <w:autoSpaceDE w:val="0"/>
        <w:autoSpaceDN w:val="0"/>
        <w:adjustRightInd w:val="0"/>
        <w:snapToGrid w:val="0"/>
        <w:spacing w:line="300" w:lineRule="auto"/>
        <w:jc w:val="both"/>
        <w:rPr>
          <w:sz w:val="26"/>
          <w:szCs w:val="26"/>
          <w:lang w:val="en-US" w:eastAsia="en-AU"/>
        </w:rPr>
      </w:pPr>
      <w:r w:rsidRPr="009A3785">
        <w:rPr>
          <w:rFonts w:eastAsia="新細明體"/>
          <w:b/>
          <w:noProof/>
          <w:sz w:val="26"/>
          <w:szCs w:val="26"/>
          <w:lang w:val="en-US" w:eastAsia="zh-TW"/>
        </w:rPr>
        <w:t>Table 2</w:t>
      </w:r>
      <w:r w:rsidR="00337D42">
        <w:rPr>
          <w:rFonts w:eastAsia="新細明體" w:hint="eastAsia"/>
          <w:b/>
          <w:noProof/>
          <w:sz w:val="26"/>
          <w:szCs w:val="26"/>
          <w:lang w:val="en-US" w:eastAsia="zh-TW"/>
        </w:rPr>
        <w:t xml:space="preserve">  </w:t>
      </w:r>
      <w:r w:rsidRPr="00C417A8">
        <w:rPr>
          <w:rFonts w:eastAsia="新細明體"/>
          <w:bCs/>
          <w:i/>
          <w:iCs/>
          <w:noProof/>
          <w:sz w:val="26"/>
          <w:szCs w:val="26"/>
          <w:lang w:val="en-US" w:eastAsia="zh-TW"/>
        </w:rPr>
        <w:t xml:space="preserve">Path Coefficients and Levels of Significance for </w:t>
      </w:r>
      <w:r w:rsidR="003A0CA9">
        <w:rPr>
          <w:rFonts w:eastAsia="新細明體"/>
          <w:bCs/>
          <w:i/>
          <w:iCs/>
          <w:noProof/>
          <w:sz w:val="26"/>
          <w:szCs w:val="26"/>
          <w:lang w:val="en-US" w:eastAsia="zh-TW"/>
        </w:rPr>
        <w:t>Hypothesis</w:t>
      </w:r>
      <w:r w:rsidRPr="00C417A8">
        <w:rPr>
          <w:rFonts w:eastAsia="新細明體"/>
          <w:bCs/>
          <w:i/>
          <w:iCs/>
          <w:noProof/>
          <w:sz w:val="26"/>
          <w:szCs w:val="26"/>
          <w:lang w:val="en-US" w:eastAsia="zh-TW"/>
        </w:rPr>
        <w:t xml:space="preserve"> Testing.</w:t>
      </w:r>
    </w:p>
    <w:tbl>
      <w:tblPr>
        <w:tblStyle w:val="afff6"/>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2256"/>
        <w:gridCol w:w="2257"/>
        <w:gridCol w:w="2257"/>
      </w:tblGrid>
      <w:tr w:rsidR="00D601DD" w:rsidRPr="009A3785" w14:paraId="6E684BC0" w14:textId="676AE48E" w:rsidTr="00337D42">
        <w:trPr>
          <w:trHeight w:val="18"/>
        </w:trPr>
        <w:tc>
          <w:tcPr>
            <w:tcW w:w="1250" w:type="pct"/>
            <w:tcBorders>
              <w:top w:val="nil"/>
            </w:tcBorders>
          </w:tcPr>
          <w:p w14:paraId="004E08C2" w14:textId="77777777" w:rsidR="00D601DD" w:rsidRPr="00F651A4" w:rsidRDefault="00D601DD" w:rsidP="008A110A">
            <w:pPr>
              <w:autoSpaceDE w:val="0"/>
              <w:autoSpaceDN w:val="0"/>
              <w:adjustRightInd w:val="0"/>
              <w:spacing w:line="360" w:lineRule="exact"/>
              <w:jc w:val="both"/>
              <w:rPr>
                <w:lang w:val="en-US" w:eastAsia="en-AU"/>
              </w:rPr>
            </w:pPr>
          </w:p>
        </w:tc>
        <w:tc>
          <w:tcPr>
            <w:tcW w:w="1250" w:type="pct"/>
            <w:tcBorders>
              <w:top w:val="single" w:sz="4" w:space="0" w:color="auto"/>
              <w:bottom w:val="single" w:sz="4" w:space="0" w:color="auto"/>
            </w:tcBorders>
            <w:vAlign w:val="center"/>
          </w:tcPr>
          <w:p w14:paraId="4CB29C32" w14:textId="77777777" w:rsidR="00D601DD" w:rsidRPr="00F651A4" w:rsidRDefault="00D601DD" w:rsidP="00337D42">
            <w:pPr>
              <w:snapToGrid w:val="0"/>
              <w:spacing w:line="300" w:lineRule="exact"/>
              <w:jc w:val="center"/>
              <w:rPr>
                <w:rFonts w:eastAsia="新細明體"/>
                <w:lang w:val="en-US" w:eastAsia="zh-TW"/>
              </w:rPr>
            </w:pPr>
            <w:r w:rsidRPr="00F651A4">
              <w:rPr>
                <w:rFonts w:eastAsia="新細明體"/>
                <w:lang w:val="en-US" w:eastAsia="zh-TW"/>
              </w:rPr>
              <w:t>Path Coefficient</w:t>
            </w:r>
          </w:p>
        </w:tc>
        <w:tc>
          <w:tcPr>
            <w:tcW w:w="1250" w:type="pct"/>
            <w:tcBorders>
              <w:top w:val="single" w:sz="4" w:space="0" w:color="auto"/>
              <w:bottom w:val="single" w:sz="4" w:space="0" w:color="auto"/>
            </w:tcBorders>
            <w:vAlign w:val="center"/>
          </w:tcPr>
          <w:p w14:paraId="7B1EF9F6" w14:textId="77777777" w:rsidR="00D601DD" w:rsidRPr="00F651A4" w:rsidRDefault="00D601DD" w:rsidP="00337D42">
            <w:pPr>
              <w:snapToGrid w:val="0"/>
              <w:spacing w:line="300" w:lineRule="exact"/>
              <w:jc w:val="center"/>
              <w:rPr>
                <w:rFonts w:eastAsia="新細明體"/>
                <w:lang w:val="en-US" w:eastAsia="zh-TW"/>
              </w:rPr>
            </w:pPr>
            <w:r w:rsidRPr="00F651A4">
              <w:rPr>
                <w:rFonts w:eastAsia="新細明體"/>
                <w:lang w:val="en-US" w:eastAsia="zh-TW"/>
              </w:rPr>
              <w:t>P-value</w:t>
            </w:r>
          </w:p>
        </w:tc>
        <w:tc>
          <w:tcPr>
            <w:tcW w:w="1250" w:type="pct"/>
            <w:tcBorders>
              <w:top w:val="single" w:sz="4" w:space="0" w:color="auto"/>
              <w:bottom w:val="single" w:sz="4" w:space="0" w:color="auto"/>
            </w:tcBorders>
            <w:vAlign w:val="center"/>
          </w:tcPr>
          <w:p w14:paraId="0ACF0C48" w14:textId="74FDC24F" w:rsidR="00D601DD" w:rsidRPr="00F651A4" w:rsidRDefault="005B4871" w:rsidP="00337D42">
            <w:pPr>
              <w:snapToGrid w:val="0"/>
              <w:spacing w:line="300" w:lineRule="exact"/>
              <w:jc w:val="center"/>
              <w:rPr>
                <w:rFonts w:eastAsia="新細明體"/>
                <w:lang w:val="en-US" w:eastAsia="zh-TW"/>
              </w:rPr>
            </w:pPr>
            <w:r w:rsidRPr="00F651A4">
              <w:rPr>
                <w:rFonts w:eastAsia="新細明體"/>
                <w:lang w:val="en-US" w:eastAsia="zh-TW"/>
              </w:rPr>
              <w:t>Decision</w:t>
            </w:r>
          </w:p>
        </w:tc>
      </w:tr>
      <w:tr w:rsidR="00D601DD" w:rsidRPr="009A3785" w14:paraId="1B125135" w14:textId="0EB7BC93" w:rsidTr="00337D42">
        <w:trPr>
          <w:trHeight w:val="18"/>
        </w:trPr>
        <w:tc>
          <w:tcPr>
            <w:tcW w:w="1250" w:type="pct"/>
            <w:tcBorders>
              <w:bottom w:val="single" w:sz="4" w:space="0" w:color="auto"/>
            </w:tcBorders>
          </w:tcPr>
          <w:p w14:paraId="322EE87B" w14:textId="77777777" w:rsidR="00D601DD" w:rsidRPr="00F651A4" w:rsidRDefault="00D601DD" w:rsidP="008A110A">
            <w:pPr>
              <w:snapToGrid w:val="0"/>
              <w:spacing w:line="300" w:lineRule="exact"/>
              <w:jc w:val="both"/>
              <w:rPr>
                <w:rFonts w:eastAsia="新細明體"/>
                <w:lang w:val="en-US" w:eastAsia="zh-TW"/>
              </w:rPr>
            </w:pPr>
            <w:r w:rsidRPr="00F651A4">
              <w:rPr>
                <w:rFonts w:eastAsia="新細明體"/>
                <w:lang w:val="en-US" w:eastAsia="zh-TW"/>
              </w:rPr>
              <w:t>CSCE -&gt; EG</w:t>
            </w:r>
          </w:p>
        </w:tc>
        <w:tc>
          <w:tcPr>
            <w:tcW w:w="1250" w:type="pct"/>
            <w:tcBorders>
              <w:top w:val="single" w:sz="4" w:space="0" w:color="auto"/>
              <w:bottom w:val="single" w:sz="4" w:space="0" w:color="auto"/>
            </w:tcBorders>
            <w:vAlign w:val="center"/>
          </w:tcPr>
          <w:p w14:paraId="4C998788" w14:textId="77777777" w:rsidR="00D601DD" w:rsidRPr="00F651A4" w:rsidRDefault="00D601DD" w:rsidP="00337D42">
            <w:pPr>
              <w:snapToGrid w:val="0"/>
              <w:spacing w:line="300" w:lineRule="exact"/>
              <w:jc w:val="center"/>
              <w:rPr>
                <w:rFonts w:eastAsia="新細明體"/>
                <w:lang w:val="en-US" w:eastAsia="zh-TW"/>
              </w:rPr>
            </w:pPr>
            <w:r w:rsidRPr="00F651A4">
              <w:rPr>
                <w:rFonts w:eastAsia="新細明體"/>
                <w:lang w:val="en-US" w:eastAsia="zh-TW"/>
              </w:rPr>
              <w:t>0.362</w:t>
            </w:r>
          </w:p>
        </w:tc>
        <w:tc>
          <w:tcPr>
            <w:tcW w:w="1250" w:type="pct"/>
            <w:tcBorders>
              <w:top w:val="single" w:sz="4" w:space="0" w:color="auto"/>
              <w:bottom w:val="single" w:sz="4" w:space="0" w:color="auto"/>
            </w:tcBorders>
            <w:vAlign w:val="center"/>
          </w:tcPr>
          <w:p w14:paraId="38F145DF" w14:textId="77777777" w:rsidR="00D601DD" w:rsidRPr="00F651A4" w:rsidRDefault="00D601DD" w:rsidP="00337D42">
            <w:pPr>
              <w:snapToGrid w:val="0"/>
              <w:spacing w:line="300" w:lineRule="exact"/>
              <w:jc w:val="center"/>
              <w:rPr>
                <w:rFonts w:eastAsia="新細明體"/>
                <w:lang w:val="en-US" w:eastAsia="zh-TW"/>
              </w:rPr>
            </w:pPr>
            <w:r w:rsidRPr="00F651A4">
              <w:rPr>
                <w:rFonts w:eastAsia="新細明體"/>
                <w:lang w:val="en-US" w:eastAsia="zh-TW"/>
              </w:rPr>
              <w:t>0.0950</w:t>
            </w:r>
          </w:p>
        </w:tc>
        <w:tc>
          <w:tcPr>
            <w:tcW w:w="1250" w:type="pct"/>
            <w:tcBorders>
              <w:top w:val="single" w:sz="4" w:space="0" w:color="auto"/>
              <w:bottom w:val="single" w:sz="4" w:space="0" w:color="auto"/>
            </w:tcBorders>
            <w:vAlign w:val="center"/>
          </w:tcPr>
          <w:p w14:paraId="39CA1F3B" w14:textId="295F52D3" w:rsidR="00D601DD" w:rsidRPr="00F651A4" w:rsidRDefault="00D601DD" w:rsidP="00337D42">
            <w:pPr>
              <w:snapToGrid w:val="0"/>
              <w:spacing w:line="300" w:lineRule="exact"/>
              <w:jc w:val="center"/>
              <w:rPr>
                <w:rFonts w:eastAsia="新細明體"/>
                <w:lang w:val="en-US" w:eastAsia="zh-TW"/>
              </w:rPr>
            </w:pPr>
            <w:r w:rsidRPr="00F651A4">
              <w:rPr>
                <w:rFonts w:eastAsia="新細明體"/>
                <w:lang w:val="en-US" w:eastAsia="zh-TW"/>
              </w:rPr>
              <w:t>Supported</w:t>
            </w:r>
          </w:p>
        </w:tc>
      </w:tr>
      <w:tr w:rsidR="00D601DD" w:rsidRPr="009A3785" w14:paraId="1822F2CD" w14:textId="33D3F7E5" w:rsidTr="00337D42">
        <w:trPr>
          <w:trHeight w:val="18"/>
        </w:trPr>
        <w:tc>
          <w:tcPr>
            <w:tcW w:w="1250" w:type="pct"/>
            <w:tcBorders>
              <w:top w:val="single" w:sz="4" w:space="0" w:color="auto"/>
              <w:bottom w:val="single" w:sz="4" w:space="0" w:color="auto"/>
            </w:tcBorders>
          </w:tcPr>
          <w:p w14:paraId="28C225E3" w14:textId="77777777" w:rsidR="00D601DD" w:rsidRPr="00F651A4" w:rsidRDefault="00D601DD" w:rsidP="008A110A">
            <w:pPr>
              <w:snapToGrid w:val="0"/>
              <w:spacing w:line="300" w:lineRule="exact"/>
              <w:jc w:val="both"/>
              <w:rPr>
                <w:rFonts w:eastAsia="新細明體"/>
                <w:lang w:val="en-US" w:eastAsia="zh-TW"/>
              </w:rPr>
            </w:pPr>
            <w:r w:rsidRPr="00F651A4">
              <w:rPr>
                <w:rFonts w:eastAsia="新細明體"/>
                <w:lang w:val="en-US" w:eastAsia="zh-TW"/>
              </w:rPr>
              <w:t>ESI -&gt; EG</w:t>
            </w:r>
          </w:p>
        </w:tc>
        <w:tc>
          <w:tcPr>
            <w:tcW w:w="1250" w:type="pct"/>
            <w:tcBorders>
              <w:top w:val="single" w:sz="4" w:space="0" w:color="auto"/>
              <w:bottom w:val="single" w:sz="4" w:space="0" w:color="auto"/>
            </w:tcBorders>
            <w:vAlign w:val="center"/>
          </w:tcPr>
          <w:p w14:paraId="3B3441D1" w14:textId="77777777" w:rsidR="00D601DD" w:rsidRPr="00F651A4" w:rsidRDefault="00D601DD" w:rsidP="00337D42">
            <w:pPr>
              <w:snapToGrid w:val="0"/>
              <w:spacing w:line="300" w:lineRule="exact"/>
              <w:jc w:val="center"/>
              <w:rPr>
                <w:rFonts w:eastAsia="新細明體"/>
                <w:lang w:val="en-US" w:eastAsia="zh-TW"/>
              </w:rPr>
            </w:pPr>
            <w:r w:rsidRPr="00F651A4">
              <w:rPr>
                <w:rFonts w:eastAsia="新細明體"/>
                <w:lang w:val="en-US" w:eastAsia="zh-TW"/>
              </w:rPr>
              <w:t>0.398</w:t>
            </w:r>
          </w:p>
        </w:tc>
        <w:tc>
          <w:tcPr>
            <w:tcW w:w="1250" w:type="pct"/>
            <w:tcBorders>
              <w:top w:val="single" w:sz="4" w:space="0" w:color="auto"/>
              <w:bottom w:val="single" w:sz="4" w:space="0" w:color="auto"/>
            </w:tcBorders>
            <w:vAlign w:val="center"/>
          </w:tcPr>
          <w:p w14:paraId="5ECDCC49" w14:textId="77777777" w:rsidR="00D601DD" w:rsidRPr="00F651A4" w:rsidRDefault="00D601DD" w:rsidP="00337D42">
            <w:pPr>
              <w:snapToGrid w:val="0"/>
              <w:spacing w:line="300" w:lineRule="exact"/>
              <w:jc w:val="center"/>
              <w:rPr>
                <w:rFonts w:eastAsia="新細明體"/>
                <w:lang w:val="en-US" w:eastAsia="zh-TW"/>
              </w:rPr>
            </w:pPr>
            <w:r w:rsidRPr="00F651A4">
              <w:rPr>
                <w:rFonts w:eastAsia="新細明體"/>
                <w:lang w:val="en-US" w:eastAsia="zh-TW"/>
              </w:rPr>
              <w:t>0.0000</w:t>
            </w:r>
          </w:p>
        </w:tc>
        <w:tc>
          <w:tcPr>
            <w:tcW w:w="1250" w:type="pct"/>
            <w:tcBorders>
              <w:top w:val="single" w:sz="4" w:space="0" w:color="auto"/>
              <w:bottom w:val="single" w:sz="4" w:space="0" w:color="auto"/>
            </w:tcBorders>
            <w:vAlign w:val="center"/>
          </w:tcPr>
          <w:p w14:paraId="65D9DE50" w14:textId="0FDA180E" w:rsidR="00D601DD" w:rsidRPr="00F651A4" w:rsidRDefault="00D601DD" w:rsidP="00337D42">
            <w:pPr>
              <w:snapToGrid w:val="0"/>
              <w:spacing w:line="300" w:lineRule="exact"/>
              <w:jc w:val="center"/>
              <w:rPr>
                <w:rFonts w:eastAsia="新細明體"/>
                <w:lang w:val="en-US" w:eastAsia="zh-TW"/>
              </w:rPr>
            </w:pPr>
            <w:r w:rsidRPr="00F651A4">
              <w:rPr>
                <w:rFonts w:eastAsia="新細明體"/>
                <w:lang w:val="en-US" w:eastAsia="zh-TW"/>
              </w:rPr>
              <w:t>Supported</w:t>
            </w:r>
          </w:p>
        </w:tc>
      </w:tr>
    </w:tbl>
    <w:p w14:paraId="0FC953A1" w14:textId="290EFB5B" w:rsidR="00686B07" w:rsidRPr="00BA1072" w:rsidRDefault="00686B07" w:rsidP="008A110A">
      <w:pPr>
        <w:autoSpaceDE w:val="0"/>
        <w:autoSpaceDN w:val="0"/>
        <w:adjustRightInd w:val="0"/>
        <w:spacing w:line="360" w:lineRule="exact"/>
        <w:jc w:val="both"/>
        <w:rPr>
          <w:bCs/>
          <w:sz w:val="26"/>
          <w:szCs w:val="26"/>
          <w:lang w:val="en-US" w:eastAsia="en-AU"/>
        </w:rPr>
      </w:pPr>
      <w:r w:rsidRPr="00B366EF">
        <w:rPr>
          <w:b/>
          <w:i/>
          <w:iCs/>
          <w:sz w:val="26"/>
          <w:szCs w:val="26"/>
          <w:lang w:val="en-US" w:eastAsia="en-AU"/>
        </w:rPr>
        <w:t>Source</w:t>
      </w:r>
      <w:r w:rsidR="00824E69" w:rsidRPr="00B366EF">
        <w:rPr>
          <w:b/>
          <w:i/>
          <w:iCs/>
          <w:sz w:val="26"/>
          <w:szCs w:val="26"/>
          <w:lang w:val="en-US" w:eastAsia="en-AU"/>
        </w:rPr>
        <w:t>.</w:t>
      </w:r>
      <w:r w:rsidRPr="00BA1072">
        <w:rPr>
          <w:bCs/>
          <w:sz w:val="26"/>
          <w:szCs w:val="26"/>
          <w:lang w:val="en-US" w:eastAsia="en-AU"/>
        </w:rPr>
        <w:t xml:space="preserve"> Generated by </w:t>
      </w:r>
      <w:r w:rsidR="00636098">
        <w:rPr>
          <w:bCs/>
          <w:sz w:val="26"/>
          <w:szCs w:val="26"/>
          <w:lang w:val="en-US" w:eastAsia="en-AU"/>
        </w:rPr>
        <w:t xml:space="preserve">the </w:t>
      </w:r>
      <w:r w:rsidRPr="00BA1072">
        <w:rPr>
          <w:bCs/>
          <w:sz w:val="26"/>
          <w:szCs w:val="26"/>
          <w:lang w:val="en-US" w:eastAsia="en-AU"/>
        </w:rPr>
        <w:t>author</w:t>
      </w:r>
      <w:r w:rsidR="00104478">
        <w:rPr>
          <w:bCs/>
          <w:sz w:val="26"/>
          <w:szCs w:val="26"/>
          <w:lang w:val="en-US" w:eastAsia="en-AU"/>
        </w:rPr>
        <w:t>s</w:t>
      </w:r>
      <w:r w:rsidRPr="00BA1072">
        <w:rPr>
          <w:bCs/>
          <w:sz w:val="26"/>
          <w:szCs w:val="26"/>
          <w:lang w:val="en-US" w:eastAsia="en-AU"/>
        </w:rPr>
        <w:t xml:space="preserve"> using   </w:t>
      </w:r>
      <w:proofErr w:type="spellStart"/>
      <w:r w:rsidRPr="00BA1072">
        <w:rPr>
          <w:bCs/>
          <w:sz w:val="26"/>
          <w:szCs w:val="26"/>
          <w:lang w:val="en-US" w:eastAsia="en-AU"/>
        </w:rPr>
        <w:t>SmartPLS</w:t>
      </w:r>
      <w:proofErr w:type="spellEnd"/>
      <w:r w:rsidRPr="00BA1072">
        <w:rPr>
          <w:bCs/>
          <w:sz w:val="26"/>
          <w:szCs w:val="26"/>
          <w:lang w:val="en-US" w:eastAsia="en-AU"/>
        </w:rPr>
        <w:t xml:space="preserve"> ® software</w:t>
      </w:r>
    </w:p>
    <w:p w14:paraId="15CC6162" w14:textId="77777777" w:rsidR="00474704" w:rsidRPr="00474704" w:rsidRDefault="00474704" w:rsidP="00824E69">
      <w:pPr>
        <w:autoSpaceDE w:val="0"/>
        <w:autoSpaceDN w:val="0"/>
        <w:adjustRightInd w:val="0"/>
        <w:snapToGrid w:val="0"/>
        <w:spacing w:line="300" w:lineRule="auto"/>
        <w:jc w:val="both"/>
        <w:rPr>
          <w:bCs/>
          <w:i/>
          <w:iCs/>
          <w:sz w:val="26"/>
          <w:szCs w:val="26"/>
          <w:lang w:val="en-US" w:eastAsia="en-AU"/>
        </w:rPr>
      </w:pPr>
    </w:p>
    <w:p w14:paraId="399A00F6" w14:textId="54CF1D18" w:rsidR="00686B07" w:rsidRDefault="00686B07" w:rsidP="00824E69">
      <w:pPr>
        <w:autoSpaceDE w:val="0"/>
        <w:autoSpaceDN w:val="0"/>
        <w:adjustRightInd w:val="0"/>
        <w:snapToGrid w:val="0"/>
        <w:spacing w:line="300" w:lineRule="auto"/>
        <w:ind w:left="521" w:hangingChars="200" w:hanging="521"/>
        <w:jc w:val="both"/>
        <w:rPr>
          <w:noProof/>
          <w:sz w:val="26"/>
          <w:szCs w:val="26"/>
        </w:rPr>
      </w:pPr>
      <w:r w:rsidRPr="009A3785">
        <w:rPr>
          <w:b/>
          <w:bCs/>
          <w:noProof/>
          <w:sz w:val="26"/>
          <w:szCs w:val="26"/>
        </w:rPr>
        <w:t>H</w:t>
      </w:r>
      <w:r w:rsidRPr="009B67B6">
        <w:rPr>
          <w:b/>
          <w:bCs/>
          <w:noProof/>
          <w:sz w:val="26"/>
          <w:szCs w:val="26"/>
          <w:vertAlign w:val="subscript"/>
        </w:rPr>
        <w:t>1</w:t>
      </w:r>
      <w:r w:rsidRPr="009A3785">
        <w:rPr>
          <w:b/>
          <w:bCs/>
          <w:noProof/>
          <w:sz w:val="26"/>
          <w:szCs w:val="26"/>
        </w:rPr>
        <w:t>:</w:t>
      </w:r>
      <w:r w:rsidRPr="009A3785">
        <w:rPr>
          <w:noProof/>
          <w:sz w:val="26"/>
          <w:szCs w:val="26"/>
        </w:rPr>
        <w:t xml:space="preserve"> All the identified Circular Supply Chain Enablers (CSCE) have</w:t>
      </w:r>
      <w:r w:rsidR="00E84CD3" w:rsidRPr="009A3785">
        <w:rPr>
          <w:noProof/>
          <w:sz w:val="26"/>
          <w:szCs w:val="26"/>
        </w:rPr>
        <w:t xml:space="preserve"> </w:t>
      </w:r>
      <w:r w:rsidR="00636098">
        <w:rPr>
          <w:noProof/>
          <w:sz w:val="26"/>
          <w:szCs w:val="26"/>
        </w:rPr>
        <w:t>a significant positive</w:t>
      </w:r>
      <w:r w:rsidRPr="009A3785">
        <w:rPr>
          <w:noProof/>
          <w:sz w:val="26"/>
          <w:szCs w:val="26"/>
        </w:rPr>
        <w:t xml:space="preserve"> impact on Economic growth (EG).</w:t>
      </w:r>
    </w:p>
    <w:p w14:paraId="289BF1F8" w14:textId="77777777" w:rsidR="00337D42" w:rsidRPr="009A3785" w:rsidRDefault="00337D42" w:rsidP="00824E69">
      <w:pPr>
        <w:autoSpaceDE w:val="0"/>
        <w:autoSpaceDN w:val="0"/>
        <w:adjustRightInd w:val="0"/>
        <w:snapToGrid w:val="0"/>
        <w:spacing w:line="300" w:lineRule="auto"/>
        <w:ind w:left="520" w:hangingChars="200" w:hanging="520"/>
        <w:jc w:val="both"/>
        <w:rPr>
          <w:noProof/>
          <w:sz w:val="26"/>
          <w:szCs w:val="26"/>
        </w:rPr>
      </w:pPr>
    </w:p>
    <w:p w14:paraId="64239D0E" w14:textId="7F9D8A9C" w:rsidR="00686B07" w:rsidRDefault="00686B07" w:rsidP="00824E69">
      <w:pPr>
        <w:autoSpaceDE w:val="0"/>
        <w:autoSpaceDN w:val="0"/>
        <w:adjustRightInd w:val="0"/>
        <w:snapToGrid w:val="0"/>
        <w:spacing w:line="300" w:lineRule="auto"/>
        <w:ind w:firstLineChars="200" w:firstLine="520"/>
        <w:jc w:val="both"/>
        <w:rPr>
          <w:noProof/>
          <w:sz w:val="26"/>
          <w:szCs w:val="26"/>
        </w:rPr>
      </w:pPr>
      <w:r w:rsidRPr="009A3785">
        <w:rPr>
          <w:noProof/>
          <w:sz w:val="26"/>
          <w:szCs w:val="26"/>
        </w:rPr>
        <w:t xml:space="preserve">The path coefficient between CSCE and EG is 0.362, with a p-value of 0.095. At a 0.1 significance level, these values </w:t>
      </w:r>
      <w:r w:rsidR="00636098">
        <w:rPr>
          <w:noProof/>
          <w:sz w:val="26"/>
          <w:szCs w:val="26"/>
        </w:rPr>
        <w:t>suggest</w:t>
      </w:r>
      <w:r w:rsidRPr="009A3785">
        <w:rPr>
          <w:noProof/>
          <w:sz w:val="26"/>
          <w:szCs w:val="26"/>
        </w:rPr>
        <w:t xml:space="preserve"> that CSCE </w:t>
      </w:r>
      <w:r w:rsidR="00636098">
        <w:rPr>
          <w:noProof/>
          <w:sz w:val="26"/>
          <w:szCs w:val="26"/>
        </w:rPr>
        <w:t>has a positive effect on</w:t>
      </w:r>
      <w:r w:rsidRPr="009A3785">
        <w:rPr>
          <w:noProof/>
          <w:sz w:val="26"/>
          <w:szCs w:val="26"/>
        </w:rPr>
        <w:t xml:space="preserve"> EG.</w:t>
      </w:r>
    </w:p>
    <w:p w14:paraId="59DB8C9D" w14:textId="77777777" w:rsidR="00337D42" w:rsidRPr="009A3785" w:rsidRDefault="00337D42" w:rsidP="00824E69">
      <w:pPr>
        <w:autoSpaceDE w:val="0"/>
        <w:autoSpaceDN w:val="0"/>
        <w:adjustRightInd w:val="0"/>
        <w:snapToGrid w:val="0"/>
        <w:spacing w:line="300" w:lineRule="auto"/>
        <w:ind w:firstLineChars="200" w:firstLine="520"/>
        <w:jc w:val="both"/>
        <w:rPr>
          <w:noProof/>
          <w:sz w:val="26"/>
          <w:szCs w:val="26"/>
        </w:rPr>
      </w:pPr>
    </w:p>
    <w:p w14:paraId="454D0B0F" w14:textId="3809634C" w:rsidR="00686B07" w:rsidRDefault="00686B07" w:rsidP="00824E69">
      <w:pPr>
        <w:autoSpaceDE w:val="0"/>
        <w:autoSpaceDN w:val="0"/>
        <w:adjustRightInd w:val="0"/>
        <w:snapToGrid w:val="0"/>
        <w:spacing w:line="300" w:lineRule="auto"/>
        <w:ind w:left="521" w:hangingChars="200" w:hanging="521"/>
        <w:jc w:val="both"/>
        <w:rPr>
          <w:noProof/>
          <w:sz w:val="26"/>
          <w:szCs w:val="26"/>
        </w:rPr>
      </w:pPr>
      <w:r w:rsidRPr="009A3785">
        <w:rPr>
          <w:b/>
          <w:bCs/>
          <w:noProof/>
          <w:sz w:val="26"/>
          <w:szCs w:val="26"/>
        </w:rPr>
        <w:t>H</w:t>
      </w:r>
      <w:r w:rsidRPr="00E80A64">
        <w:rPr>
          <w:b/>
          <w:bCs/>
          <w:noProof/>
          <w:sz w:val="26"/>
          <w:szCs w:val="26"/>
          <w:vertAlign w:val="subscript"/>
        </w:rPr>
        <w:t>2</w:t>
      </w:r>
      <w:r w:rsidRPr="009A3785">
        <w:rPr>
          <w:b/>
          <w:bCs/>
          <w:noProof/>
          <w:sz w:val="26"/>
          <w:szCs w:val="26"/>
        </w:rPr>
        <w:t>:</w:t>
      </w:r>
      <w:r w:rsidRPr="009A3785">
        <w:rPr>
          <w:noProof/>
          <w:sz w:val="26"/>
          <w:szCs w:val="26"/>
        </w:rPr>
        <w:t xml:space="preserve"> Environmental Sustainability Initiatives (ESI) </w:t>
      </w:r>
      <w:r w:rsidR="00636098">
        <w:rPr>
          <w:noProof/>
          <w:sz w:val="26"/>
          <w:szCs w:val="26"/>
        </w:rPr>
        <w:t>have a positive</w:t>
      </w:r>
      <w:r w:rsidRPr="009A3785">
        <w:rPr>
          <w:noProof/>
          <w:sz w:val="26"/>
          <w:szCs w:val="26"/>
        </w:rPr>
        <w:t xml:space="preserve"> impact </w:t>
      </w:r>
      <w:r w:rsidR="00636098">
        <w:rPr>
          <w:noProof/>
          <w:sz w:val="26"/>
          <w:szCs w:val="26"/>
        </w:rPr>
        <w:t xml:space="preserve">on </w:t>
      </w:r>
      <w:r w:rsidRPr="009A3785">
        <w:rPr>
          <w:noProof/>
          <w:sz w:val="26"/>
          <w:szCs w:val="26"/>
        </w:rPr>
        <w:t>Economic Growth (EG).</w:t>
      </w:r>
    </w:p>
    <w:p w14:paraId="5B333559" w14:textId="77777777" w:rsidR="00337D42" w:rsidRPr="009A3785" w:rsidRDefault="00337D42" w:rsidP="00824E69">
      <w:pPr>
        <w:autoSpaceDE w:val="0"/>
        <w:autoSpaceDN w:val="0"/>
        <w:adjustRightInd w:val="0"/>
        <w:snapToGrid w:val="0"/>
        <w:spacing w:line="300" w:lineRule="auto"/>
        <w:ind w:left="520" w:hangingChars="200" w:hanging="520"/>
        <w:jc w:val="both"/>
        <w:rPr>
          <w:noProof/>
          <w:sz w:val="26"/>
          <w:szCs w:val="26"/>
        </w:rPr>
      </w:pPr>
    </w:p>
    <w:p w14:paraId="37AE2AA6" w14:textId="0AC33C52" w:rsidR="00686B07" w:rsidRDefault="00686B07" w:rsidP="00824E69">
      <w:pPr>
        <w:autoSpaceDE w:val="0"/>
        <w:autoSpaceDN w:val="0"/>
        <w:adjustRightInd w:val="0"/>
        <w:snapToGrid w:val="0"/>
        <w:spacing w:line="300" w:lineRule="auto"/>
        <w:ind w:firstLineChars="200" w:firstLine="520"/>
        <w:jc w:val="both"/>
        <w:rPr>
          <w:noProof/>
          <w:sz w:val="26"/>
          <w:szCs w:val="26"/>
        </w:rPr>
      </w:pPr>
      <w:r w:rsidRPr="009A3785">
        <w:rPr>
          <w:noProof/>
          <w:sz w:val="26"/>
          <w:szCs w:val="26"/>
        </w:rPr>
        <w:t xml:space="preserve">On the other hand, the path coefficient between ESI and EG is 0.398, which is a highly significant p-value of 0.000. These findings </w:t>
      </w:r>
      <w:r w:rsidR="00636098">
        <w:rPr>
          <w:noProof/>
          <w:sz w:val="26"/>
          <w:szCs w:val="26"/>
        </w:rPr>
        <w:t>provide</w:t>
      </w:r>
      <w:r w:rsidRPr="009A3785">
        <w:rPr>
          <w:noProof/>
          <w:sz w:val="26"/>
          <w:szCs w:val="26"/>
        </w:rPr>
        <w:t xml:space="preserve"> statistically strong and robust evidence</w:t>
      </w:r>
      <w:r w:rsidR="00636098">
        <w:rPr>
          <w:noProof/>
          <w:sz w:val="26"/>
          <w:szCs w:val="26"/>
        </w:rPr>
        <w:t>,</w:t>
      </w:r>
      <w:r w:rsidRPr="009A3785">
        <w:rPr>
          <w:noProof/>
          <w:sz w:val="26"/>
          <w:szCs w:val="26"/>
        </w:rPr>
        <w:t xml:space="preserve"> reinforcing the claim that ESI has a powerful and positive relationship with </w:t>
      </w:r>
      <w:r w:rsidR="00636098">
        <w:rPr>
          <w:noProof/>
          <w:sz w:val="26"/>
          <w:szCs w:val="26"/>
        </w:rPr>
        <w:t>economic g</w:t>
      </w:r>
      <w:r w:rsidRPr="009A3785">
        <w:rPr>
          <w:noProof/>
          <w:sz w:val="26"/>
          <w:szCs w:val="26"/>
        </w:rPr>
        <w:t>rowth (EG).</w:t>
      </w:r>
    </w:p>
    <w:p w14:paraId="5651D070" w14:textId="77777777" w:rsidR="00CF7C39" w:rsidRPr="009A3785" w:rsidRDefault="00CF7C39" w:rsidP="00824E69">
      <w:pPr>
        <w:autoSpaceDE w:val="0"/>
        <w:autoSpaceDN w:val="0"/>
        <w:adjustRightInd w:val="0"/>
        <w:snapToGrid w:val="0"/>
        <w:spacing w:line="300" w:lineRule="auto"/>
        <w:ind w:firstLineChars="200" w:firstLine="520"/>
        <w:jc w:val="both"/>
        <w:rPr>
          <w:noProof/>
          <w:sz w:val="26"/>
          <w:szCs w:val="26"/>
        </w:rPr>
      </w:pPr>
    </w:p>
    <w:p w14:paraId="1332DB48" w14:textId="734210AE" w:rsidR="00C70A18" w:rsidRPr="009A3785" w:rsidRDefault="0096261C" w:rsidP="00824E69">
      <w:pPr>
        <w:autoSpaceDE w:val="0"/>
        <w:autoSpaceDN w:val="0"/>
        <w:adjustRightInd w:val="0"/>
        <w:snapToGrid w:val="0"/>
        <w:spacing w:line="300" w:lineRule="auto"/>
        <w:jc w:val="both"/>
        <w:rPr>
          <w:sz w:val="26"/>
          <w:szCs w:val="26"/>
          <w:lang w:eastAsia="en-AU"/>
        </w:rPr>
      </w:pPr>
      <w:r w:rsidRPr="009A3785">
        <w:rPr>
          <w:b/>
          <w:bCs/>
          <w:sz w:val="26"/>
          <w:szCs w:val="26"/>
          <w:lang w:val="en-US"/>
        </w:rPr>
        <w:t xml:space="preserve">The </w:t>
      </w:r>
      <w:r w:rsidR="00E17610" w:rsidRPr="009A3785">
        <w:rPr>
          <w:b/>
          <w:bCs/>
          <w:sz w:val="26"/>
          <w:szCs w:val="26"/>
          <w:lang w:val="en-US"/>
        </w:rPr>
        <w:t>E</w:t>
      </w:r>
      <w:r w:rsidRPr="009A3785">
        <w:rPr>
          <w:b/>
          <w:bCs/>
          <w:sz w:val="26"/>
          <w:szCs w:val="26"/>
          <w:lang w:val="en-US"/>
        </w:rPr>
        <w:t xml:space="preserve">quation </w:t>
      </w:r>
      <w:r w:rsidR="00E17610" w:rsidRPr="009A3785">
        <w:rPr>
          <w:b/>
          <w:bCs/>
          <w:sz w:val="26"/>
          <w:szCs w:val="26"/>
          <w:lang w:val="en-US"/>
        </w:rPr>
        <w:t>R</w:t>
      </w:r>
      <w:r w:rsidRPr="009A3785">
        <w:rPr>
          <w:b/>
          <w:bCs/>
          <w:sz w:val="26"/>
          <w:szCs w:val="26"/>
          <w:lang w:val="en-US"/>
        </w:rPr>
        <w:t xml:space="preserve">epresents the </w:t>
      </w:r>
      <w:r w:rsidR="00E17610" w:rsidRPr="009A3785">
        <w:rPr>
          <w:b/>
          <w:bCs/>
          <w:sz w:val="26"/>
          <w:szCs w:val="26"/>
          <w:lang w:val="en-US"/>
        </w:rPr>
        <w:t>S</w:t>
      </w:r>
      <w:r w:rsidRPr="009A3785">
        <w:rPr>
          <w:b/>
          <w:bCs/>
          <w:sz w:val="26"/>
          <w:szCs w:val="26"/>
          <w:lang w:val="en-US"/>
        </w:rPr>
        <w:t xml:space="preserve">tructural </w:t>
      </w:r>
      <w:r w:rsidR="00E17610" w:rsidRPr="009A3785">
        <w:rPr>
          <w:b/>
          <w:bCs/>
          <w:sz w:val="26"/>
          <w:szCs w:val="26"/>
          <w:lang w:val="en-US"/>
        </w:rPr>
        <w:t>M</w:t>
      </w:r>
      <w:r w:rsidRPr="009A3785">
        <w:rPr>
          <w:b/>
          <w:bCs/>
          <w:sz w:val="26"/>
          <w:szCs w:val="26"/>
          <w:lang w:val="en-US"/>
        </w:rPr>
        <w:t>odel</w:t>
      </w:r>
    </w:p>
    <w:p w14:paraId="1717E23C" w14:textId="39697D2F" w:rsidR="004833AC" w:rsidRPr="009A3785" w:rsidRDefault="004833AC" w:rsidP="00824E69">
      <w:pPr>
        <w:autoSpaceDE w:val="0"/>
        <w:autoSpaceDN w:val="0"/>
        <w:adjustRightInd w:val="0"/>
        <w:snapToGrid w:val="0"/>
        <w:spacing w:line="300" w:lineRule="auto"/>
        <w:ind w:firstLineChars="200" w:firstLine="520"/>
        <w:jc w:val="both"/>
        <w:rPr>
          <w:noProof/>
          <w:sz w:val="26"/>
          <w:szCs w:val="26"/>
          <w:lang w:val="en-US"/>
        </w:rPr>
      </w:pPr>
      <w:r w:rsidRPr="009A3785">
        <w:rPr>
          <w:noProof/>
          <w:sz w:val="26"/>
          <w:szCs w:val="26"/>
          <w:lang w:val="en-US"/>
        </w:rPr>
        <w:t xml:space="preserve">In our analytical framework, </w:t>
      </w:r>
      <w:r w:rsidR="00636098">
        <w:rPr>
          <w:noProof/>
          <w:sz w:val="26"/>
          <w:szCs w:val="26"/>
          <w:lang w:val="en-US"/>
        </w:rPr>
        <w:t>the</w:t>
      </w:r>
      <w:r w:rsidRPr="009A3785">
        <w:rPr>
          <w:noProof/>
          <w:sz w:val="26"/>
          <w:szCs w:val="26"/>
          <w:lang w:val="en-US"/>
        </w:rPr>
        <w:t xml:space="preserve"> endogenous construct representing the broadest measure of overall performance, Economic Growth (EG), is clarified using a structured equation, as </w:t>
      </w:r>
      <w:r w:rsidR="00636098">
        <w:rPr>
          <w:noProof/>
          <w:sz w:val="26"/>
          <w:szCs w:val="26"/>
          <w:lang w:val="en-US"/>
        </w:rPr>
        <w:t>outlined in</w:t>
      </w:r>
      <w:r w:rsidRPr="009A3785">
        <w:rPr>
          <w:noProof/>
          <w:sz w:val="26"/>
          <w:szCs w:val="26"/>
          <w:lang w:val="en-US"/>
        </w:rPr>
        <w:t xml:space="preserve"> Equation 1. This equation reflects the interplay </w:t>
      </w:r>
      <w:r w:rsidR="006C3F3A" w:rsidRPr="009A3785">
        <w:rPr>
          <w:noProof/>
          <w:sz w:val="26"/>
          <w:szCs w:val="26"/>
          <w:lang w:val="en-US"/>
        </w:rPr>
        <w:t xml:space="preserve">of </w:t>
      </w:r>
      <w:r w:rsidRPr="009A3785">
        <w:rPr>
          <w:noProof/>
          <w:sz w:val="26"/>
          <w:szCs w:val="26"/>
          <w:lang w:val="en-US"/>
        </w:rPr>
        <w:t xml:space="preserve">exogenous constructs, </w:t>
      </w:r>
      <w:r w:rsidR="00636098">
        <w:rPr>
          <w:noProof/>
          <w:sz w:val="26"/>
          <w:szCs w:val="26"/>
          <w:lang w:val="en-US"/>
        </w:rPr>
        <w:t>primari</w:t>
      </w:r>
      <w:r w:rsidRPr="009A3785">
        <w:rPr>
          <w:noProof/>
          <w:sz w:val="26"/>
          <w:szCs w:val="26"/>
          <w:lang w:val="en-US"/>
        </w:rPr>
        <w:t xml:space="preserve">ly Circular </w:t>
      </w:r>
      <w:r w:rsidR="00636098">
        <w:rPr>
          <w:noProof/>
          <w:sz w:val="26"/>
          <w:szCs w:val="26"/>
          <w:lang w:val="en-US"/>
        </w:rPr>
        <w:t>Supply Chain E</w:t>
      </w:r>
      <w:r w:rsidRPr="009A3785">
        <w:rPr>
          <w:noProof/>
          <w:sz w:val="26"/>
          <w:szCs w:val="26"/>
          <w:lang w:val="en-US"/>
        </w:rPr>
        <w:t xml:space="preserve">nablers (CSCE) and Environmental Sustainability Initiatives (ESI), </w:t>
      </w:r>
      <w:r w:rsidR="00636098">
        <w:rPr>
          <w:noProof/>
          <w:sz w:val="26"/>
          <w:szCs w:val="26"/>
          <w:lang w:val="en-US"/>
        </w:rPr>
        <w:t>which have</w:t>
      </w:r>
      <w:r w:rsidRPr="009A3785">
        <w:rPr>
          <w:noProof/>
          <w:sz w:val="26"/>
          <w:szCs w:val="26"/>
          <w:lang w:val="en-US"/>
        </w:rPr>
        <w:t xml:space="preserve"> a differential impact on the ultimate volume model performance. These relationships, quantified by the path coefficients shown in Figure </w:t>
      </w:r>
      <w:r w:rsidR="00222C27" w:rsidRPr="009A3785">
        <w:rPr>
          <w:noProof/>
          <w:sz w:val="26"/>
          <w:szCs w:val="26"/>
          <w:lang w:val="en-US"/>
        </w:rPr>
        <w:t>1</w:t>
      </w:r>
      <w:r w:rsidRPr="009A3785">
        <w:rPr>
          <w:noProof/>
          <w:sz w:val="26"/>
          <w:szCs w:val="26"/>
          <w:lang w:val="en-US"/>
        </w:rPr>
        <w:t xml:space="preserve"> at </w:t>
      </w:r>
      <w:r w:rsidR="005E43AF" w:rsidRPr="009A3785">
        <w:rPr>
          <w:noProof/>
          <w:sz w:val="26"/>
          <w:szCs w:val="26"/>
          <w:lang w:val="en-US"/>
        </w:rPr>
        <w:t>0.</w:t>
      </w:r>
      <w:r w:rsidR="00EC7FED" w:rsidRPr="009A3785">
        <w:rPr>
          <w:noProof/>
          <w:sz w:val="26"/>
          <w:szCs w:val="26"/>
          <w:lang w:val="en-US"/>
        </w:rPr>
        <w:t>362</w:t>
      </w:r>
      <w:r w:rsidRPr="009A3785">
        <w:rPr>
          <w:noProof/>
          <w:sz w:val="26"/>
          <w:szCs w:val="26"/>
          <w:lang w:val="en-US"/>
        </w:rPr>
        <w:t xml:space="preserve"> and 0.</w:t>
      </w:r>
      <w:r w:rsidR="00EC7FED" w:rsidRPr="009A3785">
        <w:rPr>
          <w:noProof/>
          <w:sz w:val="26"/>
          <w:szCs w:val="26"/>
          <w:lang w:val="en-US"/>
        </w:rPr>
        <w:t>398</w:t>
      </w:r>
      <w:r w:rsidRPr="009A3785">
        <w:rPr>
          <w:noProof/>
          <w:sz w:val="26"/>
          <w:szCs w:val="26"/>
          <w:lang w:val="en-US"/>
        </w:rPr>
        <w:t>, respectively, underpin the formulation of our structural model.  Additionally, ζ, the error term integrated into the equation, represents the latent variables underlying the subtle intricacies of the GE, overturning it and increasing the accuracy of our performance analysis.</w:t>
      </w:r>
    </w:p>
    <w:p w14:paraId="3ACDF369" w14:textId="1478B314" w:rsidR="00CF7C39" w:rsidRDefault="004833AC" w:rsidP="00824E69">
      <w:pPr>
        <w:tabs>
          <w:tab w:val="left" w:pos="8505"/>
        </w:tabs>
        <w:autoSpaceDE w:val="0"/>
        <w:autoSpaceDN w:val="0"/>
        <w:adjustRightInd w:val="0"/>
        <w:snapToGrid w:val="0"/>
        <w:spacing w:line="300" w:lineRule="auto"/>
        <w:ind w:firstLineChars="200" w:firstLine="520"/>
        <w:jc w:val="both"/>
        <w:rPr>
          <w:noProof/>
          <w:sz w:val="26"/>
          <w:szCs w:val="26"/>
          <w:lang w:val="en-US"/>
        </w:rPr>
      </w:pPr>
      <w:r w:rsidRPr="009A3785">
        <w:rPr>
          <w:noProof/>
          <w:sz w:val="26"/>
          <w:szCs w:val="26"/>
          <w:lang w:val="en-US"/>
        </w:rPr>
        <w:t xml:space="preserve">                               </w:t>
      </w:r>
      <m:oMath>
        <m:r>
          <m:rPr>
            <m:sty m:val="p"/>
          </m:rPr>
          <w:rPr>
            <w:rFonts w:ascii="Cambria Math" w:hAnsi="Cambria Math"/>
            <w:noProof/>
            <w:sz w:val="26"/>
            <w:szCs w:val="26"/>
            <w:lang w:val="en-US"/>
          </w:rPr>
          <m:t>EG=0.362 CSCE+0.398 ESI+ζ</m:t>
        </m:r>
      </m:oMath>
      <w:r w:rsidRPr="009A3785">
        <w:rPr>
          <w:noProof/>
          <w:sz w:val="26"/>
          <w:szCs w:val="26"/>
          <w:lang w:val="en-US"/>
        </w:rPr>
        <w:t xml:space="preserve">         </w:t>
      </w:r>
      <w:r w:rsidR="00337D42">
        <w:rPr>
          <w:rFonts w:asciiTheme="minorEastAsia" w:eastAsiaTheme="minorEastAsia" w:hAnsiTheme="minorEastAsia" w:hint="eastAsia"/>
          <w:noProof/>
          <w:sz w:val="26"/>
          <w:szCs w:val="26"/>
          <w:lang w:val="en-US" w:eastAsia="zh-TW"/>
        </w:rPr>
        <w:t xml:space="preserve">                       </w:t>
      </w:r>
      <w:r w:rsidRPr="009A3785">
        <w:rPr>
          <w:noProof/>
          <w:sz w:val="26"/>
          <w:szCs w:val="26"/>
          <w:lang w:val="en-US"/>
        </w:rPr>
        <w:t xml:space="preserve">  (1) </w:t>
      </w:r>
    </w:p>
    <w:p w14:paraId="0A4EE427" w14:textId="1BB646FC" w:rsidR="004833AC" w:rsidRPr="009A3785" w:rsidRDefault="004833AC" w:rsidP="00824E69">
      <w:pPr>
        <w:autoSpaceDE w:val="0"/>
        <w:autoSpaceDN w:val="0"/>
        <w:adjustRightInd w:val="0"/>
        <w:snapToGrid w:val="0"/>
        <w:spacing w:line="300" w:lineRule="auto"/>
        <w:ind w:firstLineChars="200" w:firstLine="520"/>
        <w:jc w:val="both"/>
        <w:rPr>
          <w:noProof/>
          <w:sz w:val="26"/>
          <w:szCs w:val="26"/>
          <w:lang w:val="en-US"/>
        </w:rPr>
      </w:pPr>
      <w:r w:rsidRPr="009A3785">
        <w:rPr>
          <w:noProof/>
          <w:sz w:val="26"/>
          <w:szCs w:val="26"/>
          <w:lang w:val="en-US"/>
        </w:rPr>
        <w:t xml:space="preserve">                                      </w:t>
      </w:r>
    </w:p>
    <w:p w14:paraId="1C05343F" w14:textId="02BE7B76" w:rsidR="00C70A18" w:rsidRPr="009A3785" w:rsidRDefault="006B5C1C" w:rsidP="00824E69">
      <w:pPr>
        <w:autoSpaceDE w:val="0"/>
        <w:autoSpaceDN w:val="0"/>
        <w:adjustRightInd w:val="0"/>
        <w:snapToGrid w:val="0"/>
        <w:spacing w:line="300" w:lineRule="auto"/>
        <w:jc w:val="both"/>
        <w:rPr>
          <w:sz w:val="26"/>
          <w:szCs w:val="26"/>
          <w:lang w:eastAsia="en-AU"/>
        </w:rPr>
      </w:pPr>
      <w:r w:rsidRPr="009A3785">
        <w:rPr>
          <w:rFonts w:eastAsia="Calibri"/>
          <w:b/>
          <w:sz w:val="26"/>
          <w:szCs w:val="26"/>
        </w:rPr>
        <w:t xml:space="preserve">The </w:t>
      </w:r>
      <w:r w:rsidR="00E17610" w:rsidRPr="009A3785">
        <w:rPr>
          <w:rFonts w:eastAsia="Calibri"/>
          <w:b/>
          <w:sz w:val="26"/>
          <w:szCs w:val="26"/>
        </w:rPr>
        <w:t>C</w:t>
      </w:r>
      <w:r w:rsidR="00CA3E53" w:rsidRPr="009A3785">
        <w:rPr>
          <w:rFonts w:eastAsia="Calibri"/>
          <w:b/>
          <w:sz w:val="26"/>
          <w:szCs w:val="26"/>
        </w:rPr>
        <w:t>oefficient</w:t>
      </w:r>
      <w:r w:rsidRPr="009A3785">
        <w:rPr>
          <w:rFonts w:eastAsia="Calibri"/>
          <w:b/>
          <w:sz w:val="26"/>
          <w:szCs w:val="26"/>
        </w:rPr>
        <w:t xml:space="preserve"> of </w:t>
      </w:r>
      <w:r w:rsidR="00E17610" w:rsidRPr="009A3785">
        <w:rPr>
          <w:rFonts w:eastAsia="Calibri"/>
          <w:b/>
          <w:sz w:val="26"/>
          <w:szCs w:val="26"/>
        </w:rPr>
        <w:t>D</w:t>
      </w:r>
      <w:r w:rsidRPr="009A3785">
        <w:rPr>
          <w:rFonts w:eastAsia="Calibri"/>
          <w:b/>
          <w:sz w:val="26"/>
          <w:szCs w:val="26"/>
        </w:rPr>
        <w:t>etermination R</w:t>
      </w:r>
      <w:r w:rsidRPr="009A3785">
        <w:rPr>
          <w:rFonts w:eastAsia="Calibri"/>
          <w:b/>
          <w:sz w:val="26"/>
          <w:szCs w:val="26"/>
          <w:vertAlign w:val="superscript"/>
        </w:rPr>
        <w:t>2</w:t>
      </w:r>
    </w:p>
    <w:p w14:paraId="4547D0F0" w14:textId="30E197EC" w:rsidR="006B1EBC" w:rsidRDefault="0047259F"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The values of R</w:t>
      </w:r>
      <w:r w:rsidR="00636098">
        <w:rPr>
          <w:sz w:val="26"/>
          <w:szCs w:val="26"/>
          <w:vertAlign w:val="superscript"/>
          <w:lang w:val="en-US"/>
        </w:rPr>
        <w:t>²</w:t>
      </w:r>
      <w:r w:rsidRPr="009A3785">
        <w:rPr>
          <w:sz w:val="26"/>
          <w:szCs w:val="26"/>
          <w:lang w:val="en-US"/>
        </w:rPr>
        <w:t xml:space="preserve"> for our SEM are 0.404 for </w:t>
      </w:r>
      <w:r w:rsidR="00636098">
        <w:rPr>
          <w:sz w:val="26"/>
          <w:szCs w:val="26"/>
          <w:lang w:val="en-US"/>
        </w:rPr>
        <w:t xml:space="preserve">the </w:t>
      </w:r>
      <w:r w:rsidRPr="009A3785">
        <w:rPr>
          <w:sz w:val="26"/>
          <w:szCs w:val="26"/>
          <w:lang w:val="en-US"/>
        </w:rPr>
        <w:t>standard R</w:t>
      </w:r>
      <w:r w:rsidR="00636098">
        <w:rPr>
          <w:sz w:val="26"/>
          <w:szCs w:val="26"/>
          <w:vertAlign w:val="superscript"/>
          <w:lang w:val="en-US"/>
        </w:rPr>
        <w:t>²</w:t>
      </w:r>
      <w:r w:rsidRPr="009A3785">
        <w:rPr>
          <w:sz w:val="26"/>
          <w:szCs w:val="26"/>
          <w:lang w:val="en-US"/>
        </w:rPr>
        <w:t xml:space="preserve"> and 0.398 for </w:t>
      </w:r>
      <w:r w:rsidR="00636098">
        <w:rPr>
          <w:sz w:val="26"/>
          <w:szCs w:val="26"/>
          <w:lang w:val="en-US"/>
        </w:rPr>
        <w:t xml:space="preserve">the </w:t>
      </w:r>
      <w:r w:rsidRPr="009A3785">
        <w:rPr>
          <w:sz w:val="26"/>
          <w:szCs w:val="26"/>
          <w:lang w:val="en-US"/>
        </w:rPr>
        <w:t>adjusted R</w:t>
      </w:r>
      <w:r w:rsidR="00636098">
        <w:rPr>
          <w:sz w:val="26"/>
          <w:szCs w:val="26"/>
          <w:vertAlign w:val="superscript"/>
          <w:lang w:val="en-US"/>
        </w:rPr>
        <w:t>²</w:t>
      </w:r>
      <w:r w:rsidRPr="009A3785">
        <w:rPr>
          <w:sz w:val="26"/>
          <w:szCs w:val="26"/>
          <w:lang w:val="en-US"/>
        </w:rPr>
        <w:t xml:space="preserve">. These indices represent the variance </w:t>
      </w:r>
      <w:r w:rsidR="00636098">
        <w:rPr>
          <w:sz w:val="26"/>
          <w:szCs w:val="26"/>
          <w:lang w:val="en-US"/>
        </w:rPr>
        <w:t>explained by</w:t>
      </w:r>
      <w:r w:rsidRPr="009A3785">
        <w:rPr>
          <w:sz w:val="26"/>
          <w:szCs w:val="26"/>
          <w:lang w:val="en-US"/>
        </w:rPr>
        <w:t xml:space="preserve"> the endogenous variable </w:t>
      </w:r>
      <w:r w:rsidR="00636098">
        <w:rPr>
          <w:sz w:val="26"/>
          <w:szCs w:val="26"/>
          <w:lang w:val="en-US"/>
        </w:rPr>
        <w:t>in</w:t>
      </w:r>
      <w:r w:rsidRPr="009A3785">
        <w:rPr>
          <w:sz w:val="26"/>
          <w:szCs w:val="26"/>
          <w:lang w:val="en-US"/>
        </w:rPr>
        <w:t xml:space="preserve"> the model. The R</w:t>
      </w:r>
      <w:r w:rsidRPr="009A3785">
        <w:rPr>
          <w:sz w:val="26"/>
          <w:szCs w:val="26"/>
          <w:vertAlign w:val="superscript"/>
          <w:lang w:val="en-US"/>
        </w:rPr>
        <w:t>2</w:t>
      </w:r>
      <w:r w:rsidRPr="009A3785">
        <w:rPr>
          <w:sz w:val="26"/>
          <w:szCs w:val="26"/>
          <w:lang w:val="en-US"/>
        </w:rPr>
        <w:t xml:space="preserve">-value of 0.404 </w:t>
      </w:r>
      <w:r w:rsidR="00636098">
        <w:rPr>
          <w:sz w:val="26"/>
          <w:szCs w:val="26"/>
          <w:lang w:val="en-US"/>
        </w:rPr>
        <w:t>indicates</w:t>
      </w:r>
      <w:r w:rsidRPr="009A3785">
        <w:rPr>
          <w:sz w:val="26"/>
          <w:szCs w:val="26"/>
          <w:lang w:val="en-US"/>
        </w:rPr>
        <w:t xml:space="preserve"> that a</w:t>
      </w:r>
      <w:r w:rsidR="00636098">
        <w:rPr>
          <w:sz w:val="26"/>
          <w:szCs w:val="26"/>
          <w:lang w:val="en-US"/>
        </w:rPr>
        <w:t>pproximately</w:t>
      </w:r>
      <w:r w:rsidRPr="009A3785">
        <w:rPr>
          <w:sz w:val="26"/>
          <w:szCs w:val="26"/>
          <w:lang w:val="en-US"/>
        </w:rPr>
        <w:t xml:space="preserve"> 40.4% of the variability in the endogenous construct is </w:t>
      </w:r>
      <w:r w:rsidR="00636098">
        <w:rPr>
          <w:sz w:val="26"/>
          <w:szCs w:val="26"/>
          <w:lang w:val="en-US"/>
        </w:rPr>
        <w:t>explained by</w:t>
      </w:r>
      <w:r w:rsidRPr="009A3785">
        <w:rPr>
          <w:sz w:val="26"/>
          <w:szCs w:val="26"/>
          <w:lang w:val="en-US"/>
        </w:rPr>
        <w:t xml:space="preserve"> the exogenous variables in the proposed model. The adjusted R</w:t>
      </w:r>
      <w:r w:rsidRPr="009A3785">
        <w:rPr>
          <w:sz w:val="26"/>
          <w:szCs w:val="26"/>
          <w:vertAlign w:val="superscript"/>
          <w:lang w:val="en-US"/>
        </w:rPr>
        <w:t>2</w:t>
      </w:r>
      <w:r w:rsidRPr="009A3785">
        <w:rPr>
          <w:sz w:val="26"/>
          <w:szCs w:val="26"/>
          <w:lang w:val="en-US"/>
        </w:rPr>
        <w:t xml:space="preserve"> of 0.398 is based on the number of predictors in the model. Thus, it leads to a slightly more conservative estimate. The values presented here would imply a moderate level of explanatory validity for our SEM and demonstrate that the employed variables help explain the variance of the endogenous construct.</w:t>
      </w:r>
    </w:p>
    <w:p w14:paraId="63A4BE20" w14:textId="77777777" w:rsidR="00474704" w:rsidRPr="009A3785" w:rsidRDefault="00474704" w:rsidP="00824E69">
      <w:pPr>
        <w:autoSpaceDE w:val="0"/>
        <w:autoSpaceDN w:val="0"/>
        <w:adjustRightInd w:val="0"/>
        <w:snapToGrid w:val="0"/>
        <w:spacing w:line="300" w:lineRule="auto"/>
        <w:ind w:firstLineChars="200" w:firstLine="520"/>
        <w:jc w:val="both"/>
        <w:rPr>
          <w:sz w:val="26"/>
          <w:szCs w:val="26"/>
          <w:lang w:val="en-US"/>
        </w:rPr>
      </w:pPr>
    </w:p>
    <w:p w14:paraId="0F858964" w14:textId="06E1B991" w:rsidR="00C70A18" w:rsidRPr="009A3785" w:rsidRDefault="00036FD7" w:rsidP="00824E69">
      <w:pPr>
        <w:autoSpaceDE w:val="0"/>
        <w:autoSpaceDN w:val="0"/>
        <w:adjustRightInd w:val="0"/>
        <w:snapToGrid w:val="0"/>
        <w:spacing w:line="300" w:lineRule="auto"/>
        <w:jc w:val="both"/>
        <w:rPr>
          <w:sz w:val="26"/>
          <w:szCs w:val="26"/>
          <w:lang w:eastAsia="en-AU"/>
        </w:rPr>
      </w:pPr>
      <w:r w:rsidRPr="009A3785">
        <w:rPr>
          <w:b/>
          <w:bCs/>
          <w:sz w:val="26"/>
          <w:szCs w:val="26"/>
          <w:lang w:val="en-US"/>
        </w:rPr>
        <w:t xml:space="preserve">Collinearity </w:t>
      </w:r>
      <w:r w:rsidR="00E17610" w:rsidRPr="009A3785">
        <w:rPr>
          <w:b/>
          <w:bCs/>
          <w:sz w:val="26"/>
          <w:szCs w:val="26"/>
          <w:lang w:val="en-US"/>
        </w:rPr>
        <w:t>S</w:t>
      </w:r>
      <w:r w:rsidRPr="009A3785">
        <w:rPr>
          <w:b/>
          <w:bCs/>
          <w:sz w:val="26"/>
          <w:szCs w:val="26"/>
          <w:lang w:val="en-US"/>
        </w:rPr>
        <w:t>tatistics</w:t>
      </w:r>
    </w:p>
    <w:p w14:paraId="559FA288" w14:textId="77777777" w:rsidR="00636098" w:rsidRDefault="002C3815"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 xml:space="preserve">In the formative measurement model, indicators are not necessarily interchangeable and do not require high correlations between indicators. </w:t>
      </w:r>
      <w:r w:rsidR="005132C3" w:rsidRPr="009A3785">
        <w:rPr>
          <w:sz w:val="26"/>
          <w:szCs w:val="26"/>
          <w:lang w:val="en-US"/>
        </w:rPr>
        <w:t>T</w:t>
      </w:r>
      <w:r w:rsidRPr="009A3785">
        <w:rPr>
          <w:sz w:val="26"/>
          <w:szCs w:val="26"/>
          <w:lang w:val="en-US"/>
        </w:rPr>
        <w:t xml:space="preserve">he high correlations between two formative items are </w:t>
      </w:r>
      <w:r w:rsidR="00636098">
        <w:rPr>
          <w:sz w:val="26"/>
          <w:szCs w:val="26"/>
          <w:lang w:val="en-US"/>
        </w:rPr>
        <w:t>referred to as</w:t>
      </w:r>
      <w:r w:rsidRPr="009A3785">
        <w:rPr>
          <w:sz w:val="26"/>
          <w:szCs w:val="26"/>
          <w:lang w:val="en-US"/>
        </w:rPr>
        <w:t xml:space="preserve"> collinearity</w:t>
      </w:r>
      <w:r w:rsidR="006E1670" w:rsidRPr="009A3785">
        <w:rPr>
          <w:sz w:val="26"/>
          <w:szCs w:val="26"/>
          <w:lang w:val="en-US"/>
        </w:rPr>
        <w:t xml:space="preserve"> </w:t>
      </w:r>
      <w:r w:rsidRPr="009A3785">
        <w:rPr>
          <w:sz w:val="26"/>
          <w:szCs w:val="26"/>
          <w:lang w:val="en-US"/>
        </w:rPr>
        <w:fldChar w:fldCharType="begin"/>
      </w:r>
      <w:r w:rsidRPr="009A3785">
        <w:rPr>
          <w:sz w:val="26"/>
          <w:szCs w:val="26"/>
          <w:lang w:val="en-US"/>
        </w:rPr>
        <w:instrText xml:space="preserve"> ADDIN ZOTERO_ITEM CSL_CITATION {"citationID":"jWIX7Tso","properties":{"formattedCitation":"(Hair Jr et al., 2014)","plainCitation":"(Hair Jr et al., 2014)","noteIndex":0},"citationItems":[{"id":3129,"uris":["http://zotero.org/users/local/Alzi7ROo/items/T7D878F7"],"itemData":{"id":3129,"type":"article-journal","container-title":"European business review","issue":"2","note":"publisher: Emerald Group Publishing Limited","page":"106–121","source":"Google Scholar","title":"Partial least squares structural equation modeling (PLS-SEM): An emerging tool in business research","title-short":"Partial least squares structural equation modeling (PLS-SEM)","volume":"26","author":[{"family":"Hair Jr","given":"Joe F."},{"family":"Sarstedt","given":"Marko"},{"family":"Hopkins","given":"Lucas"},{"family":"Kuppelwieser","given":"Volker G."}],"issued":{"date-parts":[["2014"]]}}}],"schema":"https://github.com/citation-style-language/schema/raw/master/csl-citation.json"} </w:instrText>
      </w:r>
      <w:r w:rsidRPr="009A3785">
        <w:rPr>
          <w:sz w:val="26"/>
          <w:szCs w:val="26"/>
          <w:lang w:val="en-US"/>
        </w:rPr>
        <w:fldChar w:fldCharType="separate"/>
      </w:r>
      <w:r w:rsidRPr="009A3785">
        <w:rPr>
          <w:sz w:val="26"/>
          <w:szCs w:val="26"/>
          <w:lang w:val="en-US"/>
        </w:rPr>
        <w:t>(</w:t>
      </w:r>
      <w:r w:rsidR="002B5C1E" w:rsidRPr="009A3785">
        <w:rPr>
          <w:sz w:val="26"/>
          <w:szCs w:val="26"/>
          <w:lang w:val="en-US"/>
        </w:rPr>
        <w:t xml:space="preserve">J. F. </w:t>
      </w:r>
      <w:r w:rsidRPr="009A3785">
        <w:rPr>
          <w:sz w:val="26"/>
          <w:szCs w:val="26"/>
          <w:lang w:val="en-US"/>
        </w:rPr>
        <w:t xml:space="preserve">Hair </w:t>
      </w:r>
      <w:r w:rsidR="00F813BF" w:rsidRPr="009A3785">
        <w:rPr>
          <w:sz w:val="26"/>
          <w:szCs w:val="26"/>
          <w:lang w:val="en-US"/>
        </w:rPr>
        <w:t xml:space="preserve">Jr. </w:t>
      </w:r>
      <w:r w:rsidRPr="009A3785">
        <w:rPr>
          <w:sz w:val="26"/>
          <w:szCs w:val="26"/>
          <w:lang w:val="en-US"/>
        </w:rPr>
        <w:t>et al., 2014)</w:t>
      </w:r>
      <w:r w:rsidRPr="009A3785">
        <w:rPr>
          <w:sz w:val="26"/>
          <w:szCs w:val="26"/>
          <w:lang w:val="en-US"/>
        </w:rPr>
        <w:fldChar w:fldCharType="end"/>
      </w:r>
      <w:r w:rsidRPr="009A3785">
        <w:rPr>
          <w:sz w:val="26"/>
          <w:szCs w:val="26"/>
          <w:lang w:val="en-US"/>
        </w:rPr>
        <w:t xml:space="preserve">. The variance inflation factor (VIF) </w:t>
      </w:r>
      <w:r w:rsidR="00636098">
        <w:rPr>
          <w:sz w:val="26"/>
          <w:szCs w:val="26"/>
          <w:lang w:val="en-US"/>
        </w:rPr>
        <w:t>provides an</w:t>
      </w:r>
      <w:r w:rsidRPr="009A3785">
        <w:rPr>
          <w:sz w:val="26"/>
          <w:szCs w:val="26"/>
          <w:lang w:val="en-US"/>
        </w:rPr>
        <w:t xml:space="preserve"> indicator </w:t>
      </w:r>
      <w:r w:rsidR="00636098">
        <w:rPr>
          <w:sz w:val="26"/>
          <w:szCs w:val="26"/>
          <w:lang w:val="en-US"/>
        </w:rPr>
        <w:t>of collinearity</w:t>
      </w:r>
      <w:r w:rsidRPr="009A3785">
        <w:rPr>
          <w:sz w:val="26"/>
          <w:szCs w:val="26"/>
          <w:lang w:val="en-US"/>
        </w:rPr>
        <w:t xml:space="preserve">. The higher the VIF values, the greater the collinearity. The VIF values of </w:t>
      </w:r>
      <w:r w:rsidR="00AC64E1" w:rsidRPr="009A3785">
        <w:rPr>
          <w:sz w:val="26"/>
          <w:szCs w:val="26"/>
          <w:lang w:val="en-US"/>
        </w:rPr>
        <w:t>five</w:t>
      </w:r>
      <w:r w:rsidRPr="009A3785">
        <w:rPr>
          <w:sz w:val="26"/>
          <w:szCs w:val="26"/>
          <w:lang w:val="en-US"/>
        </w:rPr>
        <w:t xml:space="preserve"> or higher indicate collinearity problems </w:t>
      </w:r>
      <w:r w:rsidRPr="009A3785">
        <w:rPr>
          <w:sz w:val="26"/>
          <w:szCs w:val="26"/>
          <w:lang w:val="en-US"/>
        </w:rPr>
        <w:fldChar w:fldCharType="begin"/>
      </w:r>
      <w:r w:rsidRPr="009A3785">
        <w:rPr>
          <w:sz w:val="26"/>
          <w:szCs w:val="26"/>
          <w:lang w:val="en-US"/>
        </w:rPr>
        <w:instrText xml:space="preserve"> ADDIN ZOTERO_ITEM CSL_CITATION {"citationID":"o1JhUdeY","properties":{"formattedCitation":"(J. F. Hair et al., 2011)","plainCitation":"(J. F. Hair et al., 2011)","noteIndex":0},"citationItems":[{"id":3125,"uris":["http://zotero.org/users/local/Alzi7ROo/items/FKGCTZU8"],"itemData":{"id":3125,"type":"article-journal","container-title":"Journal of Marketing Theory and Practice","DOI":"10.2753/MTP1069-6679190202","ISSN":"1069-6679, 1944-7175","issue":"2","journalAbbreviation":"Journal of Marketing Theory and Practice","language":"en","page":"139-152","source":"DOI.org (Crossref)","title":"PLS-SEM: Indeed a Silver Bullet","title-short":"PLS-SEM","volume":"19","author":[{"family":"Hair","given":"Joe F."},{"family":"Ringle","given":"Christian M."},{"family":"Sarstedt","given":"Marko"}],"issued":{"date-parts":[["2011",4]]}}}],"schema":"https://github.com/citation-style-language/schema/raw/master/csl-citation.json"} </w:instrText>
      </w:r>
      <w:r w:rsidRPr="009A3785">
        <w:rPr>
          <w:sz w:val="26"/>
          <w:szCs w:val="26"/>
          <w:lang w:val="en-US"/>
        </w:rPr>
        <w:fldChar w:fldCharType="separate"/>
      </w:r>
      <w:r w:rsidR="00404A11" w:rsidRPr="009A3785">
        <w:rPr>
          <w:sz w:val="26"/>
          <w:szCs w:val="26"/>
          <w:lang w:val="en-US"/>
        </w:rPr>
        <w:t>(</w:t>
      </w:r>
      <w:r w:rsidR="002C3D99" w:rsidRPr="009A3785">
        <w:rPr>
          <w:sz w:val="26"/>
          <w:szCs w:val="26"/>
          <w:lang w:val="en-US"/>
        </w:rPr>
        <w:t xml:space="preserve">J.F. </w:t>
      </w:r>
      <w:r w:rsidRPr="009A3785">
        <w:rPr>
          <w:sz w:val="26"/>
          <w:szCs w:val="26"/>
          <w:lang w:val="en-US"/>
        </w:rPr>
        <w:t>Hair et al., 2011)</w:t>
      </w:r>
      <w:r w:rsidRPr="009A3785">
        <w:rPr>
          <w:sz w:val="26"/>
          <w:szCs w:val="26"/>
          <w:lang w:val="en-US"/>
        </w:rPr>
        <w:fldChar w:fldCharType="end"/>
      </w:r>
      <w:r w:rsidRPr="009A3785">
        <w:rPr>
          <w:sz w:val="26"/>
          <w:szCs w:val="26"/>
          <w:lang w:val="en-US"/>
        </w:rPr>
        <w:t>.</w:t>
      </w:r>
    </w:p>
    <w:p w14:paraId="3E31932A" w14:textId="6646B979" w:rsidR="002C3815" w:rsidRDefault="002C3815"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 xml:space="preserve">On the other hand, a VIF between </w:t>
      </w:r>
      <w:r w:rsidR="00AC64E1" w:rsidRPr="009A3785">
        <w:rPr>
          <w:sz w:val="26"/>
          <w:szCs w:val="26"/>
          <w:lang w:val="en-US"/>
        </w:rPr>
        <w:t>three and five</w:t>
      </w:r>
      <w:r w:rsidRPr="009A3785">
        <w:rPr>
          <w:sz w:val="26"/>
          <w:szCs w:val="26"/>
          <w:lang w:val="en-US"/>
        </w:rPr>
        <w:t xml:space="preserve"> indicates a potential collinearity problem </w:t>
      </w:r>
      <w:r w:rsidRPr="009A3785">
        <w:rPr>
          <w:sz w:val="26"/>
          <w:szCs w:val="26"/>
          <w:lang w:val="en-US"/>
        </w:rPr>
        <w:fldChar w:fldCharType="begin"/>
      </w:r>
      <w:r w:rsidR="008F2135" w:rsidRPr="009A3785">
        <w:rPr>
          <w:sz w:val="26"/>
          <w:szCs w:val="26"/>
          <w:lang w:val="en-US"/>
        </w:rPr>
        <w:instrText xml:space="preserve"> ADDIN ZOTERO_ITEM CSL_CITATION {"citationID":"4NzGLqeZ","properties":{"formattedCitation":"(Diamantopoulos &amp; Siguaw, 2006)","plainCitation":"(Diamantopoulos &amp; Siguaw, 2006)","dontUpdate":true,"noteIndex":0},"citationItems":[{"id":3127,"uris":["http://zotero.org/users/local/Alzi7ROo/items/DUC9VNVH"],"itemData":{"id":3127,"type":"article-journal","abstract":"A comparison is undertaken between scale development and index construction procedures to trace the implications of adopting a reflective versus formative perspective when creating multi‐item measures for organizational research. Focusing on export coordination as an illustrative construct of interest, the results show that the choice of measurement perspective impacts on the content, parsimony and criterion validity of the derived coordination measures. Implications for practising researchers seeking to develop multi‐item measures of organizational constructs are considered.","container-title":"British Journal of Management","DOI":"10.1111/j.1467-8551.2006.00500.x","ISSN":"1045-3172, 1467-8551","issue":"4","journalAbbreviation":"British J of Management","language":"en","page":"263-282","source":"DOI.org (Crossref)","title":"Formative Versus Reflective Indicators in Organizational Measure Development: A Comparison and Empirical Illustration","title-short":"Formative Versus Reflective Indicators in Organizational Measure Development","volume":"17","author":[{"family":"Diamantopoulos","given":"Adamantios"},{"family":"Siguaw","given":"Judy A."}],"issued":{"date-parts":[["2006",12]]}}}],"schema":"https://github.com/citation-style-language/schema/raw/master/csl-citation.json"} </w:instrText>
      </w:r>
      <w:r w:rsidRPr="009A3785">
        <w:rPr>
          <w:sz w:val="26"/>
          <w:szCs w:val="26"/>
          <w:lang w:val="en-US"/>
        </w:rPr>
        <w:fldChar w:fldCharType="separate"/>
      </w:r>
      <w:r w:rsidRPr="009A3785">
        <w:rPr>
          <w:sz w:val="26"/>
          <w:szCs w:val="26"/>
          <w:lang w:val="en-US"/>
        </w:rPr>
        <w:t>(Diamantopoulos</w:t>
      </w:r>
      <w:r w:rsidR="00404A11" w:rsidRPr="009A3785">
        <w:rPr>
          <w:sz w:val="26"/>
          <w:szCs w:val="26"/>
          <w:lang w:val="en-US"/>
        </w:rPr>
        <w:t xml:space="preserve"> &amp;</w:t>
      </w:r>
      <w:r w:rsidRPr="009A3785">
        <w:rPr>
          <w:sz w:val="26"/>
          <w:szCs w:val="26"/>
          <w:lang w:val="en-US"/>
        </w:rPr>
        <w:t xml:space="preserve"> Siguaw,</w:t>
      </w:r>
      <w:r w:rsidR="00AC64E1" w:rsidRPr="009A3785">
        <w:rPr>
          <w:sz w:val="26"/>
          <w:szCs w:val="26"/>
          <w:lang w:val="en-US"/>
        </w:rPr>
        <w:t xml:space="preserve"> </w:t>
      </w:r>
      <w:r w:rsidRPr="009A3785">
        <w:rPr>
          <w:sz w:val="26"/>
          <w:szCs w:val="26"/>
          <w:lang w:val="en-US"/>
        </w:rPr>
        <w:t>2006)</w:t>
      </w:r>
      <w:r w:rsidRPr="009A3785">
        <w:rPr>
          <w:sz w:val="26"/>
          <w:szCs w:val="26"/>
          <w:lang w:val="en-US"/>
        </w:rPr>
        <w:fldChar w:fldCharType="end"/>
      </w:r>
      <w:r w:rsidR="00636098">
        <w:rPr>
          <w:sz w:val="26"/>
          <w:szCs w:val="26"/>
          <w:lang w:val="en-US"/>
        </w:rPr>
        <w:t xml:space="preserve">. </w:t>
      </w:r>
      <w:r w:rsidRPr="009A3785">
        <w:rPr>
          <w:sz w:val="26"/>
          <w:szCs w:val="26"/>
          <w:lang w:val="en-US"/>
        </w:rPr>
        <w:t>While a VIF below three can be interpreted as indicating a non-problematic issue of collinearity. The VIF results for our SEM formative model</w:t>
      </w:r>
      <w:r w:rsidR="00636098">
        <w:rPr>
          <w:sz w:val="26"/>
          <w:szCs w:val="26"/>
          <w:lang w:val="en-US"/>
        </w:rPr>
        <w:t>, presented</w:t>
      </w:r>
      <w:r w:rsidRPr="009A3785">
        <w:rPr>
          <w:sz w:val="26"/>
          <w:szCs w:val="26"/>
          <w:lang w:val="en-US"/>
        </w:rPr>
        <w:t xml:space="preserve"> in Table</w:t>
      </w:r>
      <w:r w:rsidR="00A45071" w:rsidRPr="009A3785">
        <w:rPr>
          <w:sz w:val="26"/>
          <w:szCs w:val="26"/>
          <w:lang w:val="en-US"/>
        </w:rPr>
        <w:t xml:space="preserve"> 3</w:t>
      </w:r>
      <w:r w:rsidRPr="009A3785">
        <w:rPr>
          <w:sz w:val="26"/>
          <w:szCs w:val="26"/>
          <w:lang w:val="en-US"/>
        </w:rPr>
        <w:t>, which includes</w:t>
      </w:r>
      <w:r w:rsidR="006F68F7" w:rsidRPr="009A3785">
        <w:rPr>
          <w:sz w:val="26"/>
          <w:szCs w:val="26"/>
        </w:rPr>
        <w:t xml:space="preserve"> CSCE1 to CSCE6, ESI</w:t>
      </w:r>
      <w:r w:rsidR="008D49BC" w:rsidRPr="009A3785">
        <w:rPr>
          <w:sz w:val="26"/>
          <w:szCs w:val="26"/>
        </w:rPr>
        <w:t>1 to ESI4, and EG1 to EG5</w:t>
      </w:r>
      <w:r w:rsidRPr="009A3785">
        <w:rPr>
          <w:sz w:val="26"/>
          <w:szCs w:val="26"/>
          <w:lang w:val="en-US"/>
        </w:rPr>
        <w:t xml:space="preserve">, </w:t>
      </w:r>
      <w:r w:rsidR="00636098">
        <w:rPr>
          <w:sz w:val="26"/>
          <w:szCs w:val="26"/>
          <w:lang w:val="en-US"/>
        </w:rPr>
        <w:t>indicate</w:t>
      </w:r>
      <w:r w:rsidRPr="009A3785">
        <w:rPr>
          <w:sz w:val="26"/>
          <w:szCs w:val="26"/>
          <w:lang w:val="en-US"/>
        </w:rPr>
        <w:t xml:space="preserve"> that all indicators have a VIF </w:t>
      </w:r>
      <w:r w:rsidR="00636098">
        <w:rPr>
          <w:sz w:val="26"/>
          <w:szCs w:val="26"/>
          <w:lang w:val="en-US"/>
        </w:rPr>
        <w:t xml:space="preserve">value </w:t>
      </w:r>
      <w:r w:rsidRPr="009A3785">
        <w:rPr>
          <w:sz w:val="26"/>
          <w:szCs w:val="26"/>
          <w:lang w:val="en-US"/>
        </w:rPr>
        <w:t xml:space="preserve">below 3. This implies that the multicollinearity of the indicators is low, consistent with expectations for formative models in SEM. These findings strengthen the validity of our model, as </w:t>
      </w:r>
      <w:r w:rsidR="00636098">
        <w:rPr>
          <w:sz w:val="26"/>
          <w:szCs w:val="26"/>
          <w:lang w:val="en-US"/>
        </w:rPr>
        <w:t>they</w:t>
      </w:r>
      <w:r w:rsidRPr="009A3785">
        <w:rPr>
          <w:sz w:val="26"/>
          <w:szCs w:val="26"/>
          <w:lang w:val="en-US"/>
        </w:rPr>
        <w:t xml:space="preserve"> impl</w:t>
      </w:r>
      <w:r w:rsidR="00636098">
        <w:rPr>
          <w:sz w:val="26"/>
          <w:szCs w:val="26"/>
          <w:lang w:val="en-US"/>
        </w:rPr>
        <w:t>y</w:t>
      </w:r>
      <w:r w:rsidRPr="009A3785">
        <w:rPr>
          <w:sz w:val="26"/>
          <w:szCs w:val="26"/>
          <w:lang w:val="en-US"/>
        </w:rPr>
        <w:t xml:space="preserve"> that the estimated coefficients are reliable.</w:t>
      </w:r>
    </w:p>
    <w:p w14:paraId="35DC3798" w14:textId="77777777" w:rsidR="00CF7C39" w:rsidRPr="009A3785" w:rsidRDefault="00CF7C39" w:rsidP="00824E69">
      <w:pPr>
        <w:autoSpaceDE w:val="0"/>
        <w:autoSpaceDN w:val="0"/>
        <w:adjustRightInd w:val="0"/>
        <w:snapToGrid w:val="0"/>
        <w:spacing w:line="300" w:lineRule="auto"/>
        <w:ind w:firstLineChars="200" w:firstLine="520"/>
        <w:jc w:val="both"/>
        <w:rPr>
          <w:sz w:val="26"/>
          <w:szCs w:val="26"/>
          <w:lang w:val="en-US"/>
        </w:rPr>
      </w:pPr>
    </w:p>
    <w:p w14:paraId="28676902" w14:textId="4808076B" w:rsidR="000D421E" w:rsidRPr="009A3785" w:rsidRDefault="000D421E" w:rsidP="00824E69">
      <w:pPr>
        <w:autoSpaceDE w:val="0"/>
        <w:autoSpaceDN w:val="0"/>
        <w:adjustRightInd w:val="0"/>
        <w:snapToGrid w:val="0"/>
        <w:spacing w:line="300" w:lineRule="auto"/>
        <w:jc w:val="both"/>
        <w:rPr>
          <w:b/>
          <w:bCs/>
          <w:sz w:val="26"/>
          <w:szCs w:val="26"/>
          <w:lang w:val="en-US" w:eastAsia="en-AU"/>
        </w:rPr>
      </w:pPr>
      <w:r w:rsidRPr="009A3785">
        <w:rPr>
          <w:b/>
          <w:bCs/>
          <w:sz w:val="26"/>
          <w:szCs w:val="26"/>
          <w:lang w:val="en-US" w:eastAsia="en-AU"/>
        </w:rPr>
        <w:t xml:space="preserve">Statistical </w:t>
      </w:r>
      <w:r w:rsidR="00E17610" w:rsidRPr="009A3785">
        <w:rPr>
          <w:b/>
          <w:bCs/>
          <w:sz w:val="26"/>
          <w:szCs w:val="26"/>
          <w:lang w:val="en-US" w:eastAsia="en-AU"/>
        </w:rPr>
        <w:t>S</w:t>
      </w:r>
      <w:r w:rsidRPr="009A3785">
        <w:rPr>
          <w:b/>
          <w:bCs/>
          <w:sz w:val="26"/>
          <w:szCs w:val="26"/>
          <w:lang w:val="en-US" w:eastAsia="en-AU"/>
        </w:rPr>
        <w:t xml:space="preserve">ignificance and </w:t>
      </w:r>
      <w:r w:rsidR="00E17610" w:rsidRPr="009A3785">
        <w:rPr>
          <w:b/>
          <w:bCs/>
          <w:sz w:val="26"/>
          <w:szCs w:val="26"/>
          <w:lang w:val="en-US" w:eastAsia="en-AU"/>
        </w:rPr>
        <w:t>R</w:t>
      </w:r>
      <w:r w:rsidRPr="009A3785">
        <w:rPr>
          <w:b/>
          <w:bCs/>
          <w:sz w:val="26"/>
          <w:szCs w:val="26"/>
          <w:lang w:val="en-US" w:eastAsia="en-AU"/>
        </w:rPr>
        <w:t xml:space="preserve">elevance of the </w:t>
      </w:r>
      <w:r w:rsidR="00E17610" w:rsidRPr="009A3785">
        <w:rPr>
          <w:b/>
          <w:bCs/>
          <w:sz w:val="26"/>
          <w:szCs w:val="26"/>
          <w:lang w:val="en-US" w:eastAsia="en-AU"/>
        </w:rPr>
        <w:t>I</w:t>
      </w:r>
      <w:r w:rsidRPr="009A3785">
        <w:rPr>
          <w:b/>
          <w:bCs/>
          <w:sz w:val="26"/>
          <w:szCs w:val="26"/>
          <w:lang w:val="en-US" w:eastAsia="en-AU"/>
        </w:rPr>
        <w:t xml:space="preserve">ndicator </w:t>
      </w:r>
      <w:r w:rsidR="00E17610" w:rsidRPr="009A3785">
        <w:rPr>
          <w:b/>
          <w:bCs/>
          <w:sz w:val="26"/>
          <w:szCs w:val="26"/>
          <w:lang w:val="en-US" w:eastAsia="en-AU"/>
        </w:rPr>
        <w:t>W</w:t>
      </w:r>
      <w:r w:rsidRPr="009A3785">
        <w:rPr>
          <w:b/>
          <w:bCs/>
          <w:sz w:val="26"/>
          <w:szCs w:val="26"/>
          <w:lang w:val="en-US" w:eastAsia="en-AU"/>
        </w:rPr>
        <w:t>eight</w:t>
      </w:r>
    </w:p>
    <w:p w14:paraId="6C03C7D6" w14:textId="253981B1" w:rsidR="00A86F2F" w:rsidRPr="009A3785" w:rsidRDefault="00596889" w:rsidP="00824E69">
      <w:pPr>
        <w:autoSpaceDE w:val="0"/>
        <w:autoSpaceDN w:val="0"/>
        <w:adjustRightInd w:val="0"/>
        <w:snapToGrid w:val="0"/>
        <w:spacing w:line="300" w:lineRule="auto"/>
        <w:ind w:firstLineChars="200" w:firstLine="520"/>
        <w:jc w:val="both"/>
        <w:rPr>
          <w:sz w:val="26"/>
          <w:szCs w:val="26"/>
          <w:lang w:val="en-US"/>
        </w:rPr>
      </w:pPr>
      <w:bookmarkStart w:id="10" w:name="_Toc323222261"/>
      <w:bookmarkEnd w:id="8"/>
      <w:r w:rsidRPr="009A3785">
        <w:rPr>
          <w:sz w:val="26"/>
          <w:szCs w:val="26"/>
          <w:lang w:val="en-US"/>
        </w:rPr>
        <w:t xml:space="preserve">The indicator weights are derived from the regression of each formatively measured construct on its indicators. As such, they denote the indicator’s contribution to forming the construct. The significance testing of the indicator weights depends on the bootstrapping procedure, which allows for deriving standard errors from the data without </w:t>
      </w:r>
      <w:r w:rsidR="00636098">
        <w:rPr>
          <w:sz w:val="26"/>
          <w:szCs w:val="26"/>
          <w:lang w:val="en-US"/>
        </w:rPr>
        <w:t xml:space="preserve">making </w:t>
      </w:r>
      <w:r w:rsidRPr="009A3785">
        <w:rPr>
          <w:sz w:val="26"/>
          <w:szCs w:val="26"/>
          <w:lang w:val="en-US"/>
        </w:rPr>
        <w:t>any distributional assumptions</w:t>
      </w:r>
      <w:r w:rsidR="00636098">
        <w:rPr>
          <w:sz w:val="26"/>
          <w:szCs w:val="26"/>
          <w:lang w:val="en-US"/>
        </w:rPr>
        <w:t xml:space="preserve"> </w:t>
      </w:r>
      <w:r w:rsidRPr="009A3785">
        <w:rPr>
          <w:sz w:val="26"/>
          <w:szCs w:val="26"/>
          <w:lang w:val="en-US"/>
        </w:rPr>
        <w:fldChar w:fldCharType="begin"/>
      </w:r>
      <w:r w:rsidRPr="009A3785">
        <w:rPr>
          <w:sz w:val="26"/>
          <w:szCs w:val="26"/>
          <w:lang w:val="en-US"/>
        </w:rPr>
        <w:instrText xml:space="preserve"> ADDIN ZOTERO_ITEM CSL_CITATION {"citationID":"LjwUujfv","properties":{"formattedCitation":"(Hair Jr et al., 2014)","plainCitation":"(Hair Jr et al., 2014)","noteIndex":0},"citationItems":[{"id":3129,"uris":["http://zotero.org/users/local/Alzi7ROo/items/T7D878F7"],"itemData":{"id":3129,"type":"article-journal","container-title":"European business review","issue":"2","note":"publisher: Emerald Group Publishing Limited","page":"106–121","source":"Google Scholar","title":"Partial least squares structural equation modeling (PLS-SEM): An emerging tool in business research","title-short":"Partial least squares structural equation modeling (PLS-SEM)","volume":"26","author":[{"family":"Hair Jr","given":"Joe F."},{"family":"Sarstedt","given":"Marko"},{"family":"Hopkins","given":"Lucas"},{"family":"Kuppelwieser","given":"Volker G."}],"issued":{"date-parts":[["2014"]]}}}],"schema":"https://github.com/citation-style-language/schema/raw/master/csl-citation.json"} </w:instrText>
      </w:r>
      <w:r w:rsidRPr="009A3785">
        <w:rPr>
          <w:sz w:val="26"/>
          <w:szCs w:val="26"/>
          <w:lang w:val="en-US"/>
        </w:rPr>
        <w:fldChar w:fldCharType="separate"/>
      </w:r>
      <w:r w:rsidRPr="009A3785">
        <w:rPr>
          <w:sz w:val="26"/>
          <w:szCs w:val="26"/>
          <w:lang w:val="en-US"/>
        </w:rPr>
        <w:t>(</w:t>
      </w:r>
      <w:r w:rsidR="002B5C1E" w:rsidRPr="009A3785">
        <w:rPr>
          <w:sz w:val="26"/>
          <w:szCs w:val="26"/>
          <w:lang w:val="en-US"/>
        </w:rPr>
        <w:t xml:space="preserve">J. F. </w:t>
      </w:r>
      <w:r w:rsidRPr="009A3785">
        <w:rPr>
          <w:sz w:val="26"/>
          <w:szCs w:val="26"/>
          <w:lang w:val="en-US"/>
        </w:rPr>
        <w:t>Hair</w:t>
      </w:r>
      <w:r w:rsidR="00404A11" w:rsidRPr="009A3785">
        <w:rPr>
          <w:sz w:val="26"/>
          <w:szCs w:val="26"/>
          <w:lang w:val="en-US"/>
        </w:rPr>
        <w:t xml:space="preserve"> </w:t>
      </w:r>
      <w:r w:rsidRPr="009A3785">
        <w:rPr>
          <w:sz w:val="26"/>
          <w:szCs w:val="26"/>
          <w:lang w:val="en-US"/>
        </w:rPr>
        <w:t>et al., 2014)</w:t>
      </w:r>
      <w:r w:rsidRPr="009A3785">
        <w:rPr>
          <w:sz w:val="26"/>
          <w:szCs w:val="26"/>
          <w:lang w:val="en-US"/>
        </w:rPr>
        <w:fldChar w:fldCharType="end"/>
      </w:r>
      <w:r w:rsidRPr="009A3785">
        <w:rPr>
          <w:sz w:val="26"/>
          <w:szCs w:val="26"/>
          <w:lang w:val="en-US"/>
        </w:rPr>
        <w:t>. In bootstrapping, many samples are drawn from the original sample with replacement</w:t>
      </w:r>
      <w:r w:rsidR="00CE7705" w:rsidRPr="009A3785">
        <w:rPr>
          <w:sz w:val="26"/>
          <w:szCs w:val="26"/>
          <w:lang w:val="en-US"/>
        </w:rPr>
        <w:t xml:space="preserve"> </w:t>
      </w:r>
      <w:r w:rsidRPr="009A3785">
        <w:rPr>
          <w:sz w:val="26"/>
          <w:szCs w:val="26"/>
          <w:lang w:val="en-US"/>
        </w:rPr>
        <w:fldChar w:fldCharType="begin"/>
      </w:r>
      <w:r w:rsidR="008F2135" w:rsidRPr="009A3785">
        <w:rPr>
          <w:sz w:val="26"/>
          <w:szCs w:val="26"/>
          <w:lang w:val="en-US"/>
        </w:rPr>
        <w:instrText xml:space="preserve"> ADDIN ZOTERO_ITEM CSL_CITATION {"citationID":"QSDVb3eh","properties":{"formattedCitation":"(Davison &amp; Hinkley, 1997)","plainCitation":"(Davison &amp; Hinkley, 1997)","dontUpdate":true,"noteIndex":0},"citationItems":[{"id":3131,"uris":["http://zotero.org/users/local/Alzi7ROo/items/HNJGMPRD"],"itemData":{"id":3131,"type":"book","collection-number":"1","publisher":"Cambridge university press","source":"Google Scholar","title":"Bootstrap methods and their application","URL":"https://books.google.com/books?hl=fr&amp;lr=&amp;id=4aCDbm_t8jUC&amp;oi=fnd&amp;pg=PR7&amp;dq=Davison+%26+Hinkley,+1997&amp;ots=m_Z3f7W4-3&amp;sig=tQSCXaz2EtIOv4mZuOzTaSIYpec","author":[{"family":"Davison","given":"Anthony Christopher"},{"family":"Hinkley","given":"David Victor"}],"accessed":{"date-parts":[["2024",2,4]]},"issued":{"date-parts":[["1997"]]}}}],"schema":"https://github.com/citation-style-language/schema/raw/master/csl-citation.json"} </w:instrText>
      </w:r>
      <w:r w:rsidRPr="009A3785">
        <w:rPr>
          <w:sz w:val="26"/>
          <w:szCs w:val="26"/>
          <w:lang w:val="en-US"/>
        </w:rPr>
        <w:fldChar w:fldCharType="separate"/>
      </w:r>
      <w:r w:rsidRPr="009A3785">
        <w:rPr>
          <w:sz w:val="26"/>
          <w:szCs w:val="26"/>
          <w:lang w:val="en-US"/>
        </w:rPr>
        <w:t xml:space="preserve">(Davison </w:t>
      </w:r>
      <w:r w:rsidR="00404A11" w:rsidRPr="009A3785">
        <w:rPr>
          <w:sz w:val="26"/>
          <w:szCs w:val="26"/>
          <w:lang w:val="en-US"/>
        </w:rPr>
        <w:t xml:space="preserve">&amp; </w:t>
      </w:r>
      <w:r w:rsidRPr="009A3785">
        <w:rPr>
          <w:sz w:val="26"/>
          <w:szCs w:val="26"/>
          <w:lang w:val="en-US"/>
        </w:rPr>
        <w:t>Hinkley, 1997)</w:t>
      </w:r>
      <w:r w:rsidRPr="009A3785">
        <w:rPr>
          <w:sz w:val="26"/>
          <w:szCs w:val="26"/>
          <w:lang w:val="en-US"/>
        </w:rPr>
        <w:fldChar w:fldCharType="end"/>
      </w:r>
      <w:r w:rsidRPr="009A3785">
        <w:rPr>
          <w:sz w:val="26"/>
          <w:szCs w:val="26"/>
          <w:lang w:val="en-US"/>
        </w:rPr>
        <w:t xml:space="preserve">. The number of bootstrap samples should be </w:t>
      </w:r>
      <w:r w:rsidR="00636098">
        <w:rPr>
          <w:sz w:val="26"/>
          <w:szCs w:val="26"/>
          <w:lang w:val="en-US"/>
        </w:rPr>
        <w:t>significant,</w:t>
      </w:r>
      <w:r w:rsidRPr="009A3785">
        <w:rPr>
          <w:sz w:val="26"/>
          <w:szCs w:val="26"/>
          <w:lang w:val="en-US"/>
        </w:rPr>
        <w:t xml:space="preserve"> but </w:t>
      </w:r>
      <w:r w:rsidR="00636098">
        <w:rPr>
          <w:sz w:val="26"/>
          <w:szCs w:val="26"/>
          <w:lang w:val="en-US"/>
        </w:rPr>
        <w:t>it must</w:t>
      </w:r>
      <w:r w:rsidRPr="009A3785">
        <w:rPr>
          <w:sz w:val="26"/>
          <w:szCs w:val="26"/>
          <w:lang w:val="en-US"/>
        </w:rPr>
        <w:t xml:space="preserve"> be at least equal to the number of valid observations in the dataset. Regarding our case, we </w:t>
      </w:r>
      <w:r w:rsidR="00636098">
        <w:rPr>
          <w:sz w:val="26"/>
          <w:szCs w:val="26"/>
          <w:lang w:val="en-US"/>
        </w:rPr>
        <w:t>estimated 5,</w:t>
      </w:r>
      <w:r w:rsidRPr="009A3785">
        <w:rPr>
          <w:sz w:val="26"/>
          <w:szCs w:val="26"/>
          <w:lang w:val="en-US"/>
        </w:rPr>
        <w:t xml:space="preserve">000 structural models </w:t>
      </w:r>
      <w:r w:rsidR="00636098">
        <w:rPr>
          <w:sz w:val="26"/>
          <w:szCs w:val="26"/>
          <w:lang w:val="en-US"/>
        </w:rPr>
        <w:t>using</w:t>
      </w:r>
      <w:r w:rsidRPr="009A3785">
        <w:rPr>
          <w:sz w:val="26"/>
          <w:szCs w:val="26"/>
          <w:lang w:val="en-US"/>
        </w:rPr>
        <w:t xml:space="preserve"> PLS-SEM. Besides the number of samples, all conditions are set </w:t>
      </w:r>
      <w:r w:rsidR="00636098">
        <w:rPr>
          <w:sz w:val="26"/>
          <w:szCs w:val="26"/>
          <w:lang w:val="en-US"/>
        </w:rPr>
        <w:t>to</w:t>
      </w:r>
      <w:r w:rsidRPr="009A3785">
        <w:rPr>
          <w:sz w:val="26"/>
          <w:szCs w:val="26"/>
          <w:lang w:val="en-US"/>
        </w:rPr>
        <w:t xml:space="preserve"> default, </w:t>
      </w:r>
      <w:r w:rsidR="00636098">
        <w:rPr>
          <w:sz w:val="26"/>
          <w:szCs w:val="26"/>
          <w:lang w:val="en-US"/>
        </w:rPr>
        <w:t xml:space="preserve">including a </w:t>
      </w:r>
      <w:r w:rsidRPr="009A3785">
        <w:rPr>
          <w:sz w:val="26"/>
          <w:szCs w:val="26"/>
          <w:lang w:val="en-US"/>
        </w:rPr>
        <w:t xml:space="preserve">“one-tailed” test type and </w:t>
      </w:r>
      <w:r w:rsidR="00636098">
        <w:rPr>
          <w:sz w:val="26"/>
          <w:szCs w:val="26"/>
          <w:lang w:val="en-US"/>
        </w:rPr>
        <w:t>a significance level of 0.10</w:t>
      </w:r>
      <w:r w:rsidRPr="009A3785">
        <w:rPr>
          <w:sz w:val="26"/>
          <w:szCs w:val="26"/>
          <w:lang w:val="en-US"/>
        </w:rPr>
        <w:t>.</w:t>
      </w:r>
    </w:p>
    <w:p w14:paraId="471388C6" w14:textId="086243D4" w:rsidR="00A86F2F" w:rsidRPr="009A3785" w:rsidRDefault="00503F21"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 xml:space="preserve">For the latent construct </w:t>
      </w:r>
      <w:r w:rsidR="00636098">
        <w:rPr>
          <w:sz w:val="26"/>
          <w:szCs w:val="26"/>
          <w:lang w:val="en-US"/>
        </w:rPr>
        <w:t xml:space="preserve">of </w:t>
      </w:r>
      <w:r w:rsidRPr="009A3785">
        <w:rPr>
          <w:sz w:val="26"/>
          <w:szCs w:val="26"/>
          <w:lang w:val="en-US"/>
        </w:rPr>
        <w:t xml:space="preserve">circular supply chain enablers (CSCE), indicators CSCE1 and CSCE6 have outer weights of -0.6190 and 0.6070, </w:t>
      </w:r>
      <w:r w:rsidR="00636098">
        <w:rPr>
          <w:sz w:val="26"/>
          <w:szCs w:val="26"/>
          <w:lang w:val="en-US"/>
        </w:rPr>
        <w:t xml:space="preserve">respectively, </w:t>
      </w:r>
      <w:r w:rsidRPr="009A3785">
        <w:rPr>
          <w:sz w:val="26"/>
          <w:szCs w:val="26"/>
          <w:lang w:val="en-US"/>
        </w:rPr>
        <w:t xml:space="preserve">with associated p-values of 0.0990 and 0.0770. These results suggest that CSCE1 and CSCE6 are statistically significant at a 0.1 significance level, supporting their contribution to the latent construct CSCE. Similarly, the indicators EG2, EG3, and EG4 </w:t>
      </w:r>
      <w:r w:rsidR="00636098">
        <w:rPr>
          <w:sz w:val="26"/>
          <w:szCs w:val="26"/>
          <w:lang w:val="en-US"/>
        </w:rPr>
        <w:t>exhibit</w:t>
      </w:r>
      <w:r w:rsidRPr="009A3785">
        <w:rPr>
          <w:sz w:val="26"/>
          <w:szCs w:val="26"/>
          <w:lang w:val="en-US"/>
        </w:rPr>
        <w:t xml:space="preserve"> significant positive relationships </w:t>
      </w:r>
      <w:r w:rsidR="00636098">
        <w:rPr>
          <w:sz w:val="26"/>
          <w:szCs w:val="26"/>
          <w:lang w:val="en-US"/>
        </w:rPr>
        <w:t>with</w:t>
      </w:r>
      <w:r w:rsidRPr="009A3785">
        <w:rPr>
          <w:sz w:val="26"/>
          <w:szCs w:val="26"/>
          <w:lang w:val="en-US"/>
        </w:rPr>
        <w:t xml:space="preserve"> the latent construct Economic growth (EG), </w:t>
      </w:r>
      <w:r w:rsidR="00636098">
        <w:rPr>
          <w:sz w:val="26"/>
          <w:szCs w:val="26"/>
          <w:lang w:val="en-US"/>
        </w:rPr>
        <w:t>a</w:t>
      </w:r>
      <w:r w:rsidRPr="009A3785">
        <w:rPr>
          <w:sz w:val="26"/>
          <w:szCs w:val="26"/>
          <w:lang w:val="en-US"/>
        </w:rPr>
        <w:t xml:space="preserve">s indicated by reasonably positive outer weights of 0.5560, 0.2970, and 0.4210, with p-values of 0.0000, 0.0360, and 0.0010, respectively. </w:t>
      </w:r>
      <w:r w:rsidR="00636098">
        <w:rPr>
          <w:sz w:val="26"/>
          <w:szCs w:val="26"/>
          <w:lang w:val="en-US"/>
        </w:rPr>
        <w:t>Regarding</w:t>
      </w:r>
      <w:r w:rsidRPr="009A3785">
        <w:rPr>
          <w:sz w:val="26"/>
          <w:szCs w:val="26"/>
          <w:lang w:val="en-US"/>
        </w:rPr>
        <w:t xml:space="preserve"> the latent construct </w:t>
      </w:r>
      <w:r w:rsidR="00636098">
        <w:rPr>
          <w:sz w:val="26"/>
          <w:szCs w:val="26"/>
          <w:lang w:val="en-US"/>
        </w:rPr>
        <w:t xml:space="preserve">of </w:t>
      </w:r>
      <w:r w:rsidRPr="009A3785">
        <w:rPr>
          <w:sz w:val="26"/>
          <w:szCs w:val="26"/>
          <w:lang w:val="en-US"/>
        </w:rPr>
        <w:t xml:space="preserve">Environmental </w:t>
      </w:r>
      <w:r w:rsidR="00636098">
        <w:rPr>
          <w:sz w:val="26"/>
          <w:szCs w:val="26"/>
          <w:lang w:val="en-US"/>
        </w:rPr>
        <w:t>Sustainability I</w:t>
      </w:r>
      <w:r w:rsidRPr="009A3785">
        <w:rPr>
          <w:sz w:val="26"/>
          <w:szCs w:val="26"/>
          <w:lang w:val="en-US"/>
        </w:rPr>
        <w:t xml:space="preserve">nitiatives (ESI), the test for the significance levels of ESI1, ESI3, and ESI4 </w:t>
      </w:r>
      <w:r w:rsidR="00636098">
        <w:rPr>
          <w:sz w:val="26"/>
          <w:szCs w:val="26"/>
          <w:lang w:val="en-US"/>
        </w:rPr>
        <w:t>yield</w:t>
      </w:r>
      <w:r w:rsidRPr="009A3785">
        <w:rPr>
          <w:sz w:val="26"/>
          <w:szCs w:val="26"/>
          <w:lang w:val="en-US"/>
        </w:rPr>
        <w:t xml:space="preserve">s p-values of less than 0.1, </w:t>
      </w:r>
      <w:r w:rsidR="00330023">
        <w:rPr>
          <w:sz w:val="26"/>
          <w:szCs w:val="26"/>
          <w:lang w:val="en-US"/>
        </w:rPr>
        <w:t>indicating</w:t>
      </w:r>
      <w:r w:rsidRPr="009A3785">
        <w:rPr>
          <w:sz w:val="26"/>
          <w:szCs w:val="26"/>
          <w:lang w:val="en-US"/>
        </w:rPr>
        <w:t xml:space="preserve"> highly significant positive relationships.</w:t>
      </w:r>
    </w:p>
    <w:p w14:paraId="6ABC2E2B" w14:textId="473CFB68" w:rsidR="00474704" w:rsidRDefault="00503F21"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Since some indicators demonstrated outer weights that were not statistically significant, their outer loadings and p-values were also assessed to verify whether they retained a meaningful contribution to the relevant latent construct</w:t>
      </w:r>
      <w:r w:rsidR="00636098">
        <w:rPr>
          <w:sz w:val="26"/>
          <w:szCs w:val="26"/>
          <w:lang w:val="en-US"/>
        </w:rPr>
        <w:t>,</w:t>
      </w:r>
      <w:r w:rsidRPr="009A3785">
        <w:rPr>
          <w:sz w:val="26"/>
          <w:szCs w:val="26"/>
          <w:lang w:val="en-US"/>
        </w:rPr>
        <w:t xml:space="preserve"> in line with the recommendations of formative measurement models suggested by</w:t>
      </w:r>
      <w:r w:rsidR="00A86F2F" w:rsidRPr="009A3785">
        <w:rPr>
          <w:sz w:val="26"/>
          <w:szCs w:val="26"/>
          <w:lang w:val="en-US"/>
        </w:rPr>
        <w:fldChar w:fldCharType="begin"/>
      </w:r>
      <w:r w:rsidR="00D7097D" w:rsidRPr="009A3785">
        <w:rPr>
          <w:sz w:val="26"/>
          <w:szCs w:val="26"/>
          <w:lang w:val="en-US"/>
        </w:rPr>
        <w:instrText xml:space="preserve"> ADDIN ZOTERO_ITEM CSL_CITATION {"citationID":"NssZIrfy","properties":{"formattedCitation":"(Cenfetelli &amp; Bassellier, 2009; J. Hair &amp; Alamer, 2022)","plainCitation":"(Cenfetelli &amp; Bassellier, 2009; J. Hair &amp; Alamer, 2022)","dontUpdate":true,"noteIndex":0},"citationItems":[{"id":3133,"uris":["http://zotero.org/users/local/Alzi7ROo/items/SSPE48P8"],"itemData":{"id":3133,"type":"article-journal","container-title":"MIS quarterly","note":"publisher: JSTOR","page":"689–707","source":"Google Scholar","title":"Interpretation of formative measurement in information systems research","author":[{"family":"Cenfetelli","given":"Ronald T."},{"family":"Bassellier","given":"Geneviève"}],"issued":{"date-parts":[["2009"]]}}},{"id":3135,"uris":["http://zotero.org/users/local/Alzi7ROo/items/4RDHJIRE"],"itemData":{"id":3135,"type":"article-journal","container-title":"Research Methods in Applied Linguistics","issue":"3","note":"publisher: Elsevier","page":"100027","source":"Google Scholar","title":"Partial Least Squares Structural Equation Modeling (PLS-SEM) in second language and education research: Guidelines using an applied example","title-short":"Partial Least Squares Structural Equation Modeling (PLS-SEM) in second language and education research","volume":"1","author":[{"family":"Hair","given":"Joseph"},{"family":"Alamer","given":"Abdullah"}],"issued":{"date-parts":[["2022"]]}}}],"schema":"https://github.com/citation-style-language/schema/raw/master/csl-citation.json"} </w:instrText>
      </w:r>
      <w:r w:rsidR="00A86F2F" w:rsidRPr="009A3785">
        <w:rPr>
          <w:sz w:val="26"/>
          <w:szCs w:val="26"/>
          <w:lang w:val="en-US"/>
        </w:rPr>
        <w:fldChar w:fldCharType="separate"/>
      </w:r>
      <w:r w:rsidR="00D26486" w:rsidRPr="009A3785">
        <w:rPr>
          <w:sz w:val="26"/>
          <w:szCs w:val="26"/>
        </w:rPr>
        <w:t xml:space="preserve"> </w:t>
      </w:r>
      <w:r w:rsidR="009C7AC7" w:rsidRPr="009A3785">
        <w:rPr>
          <w:sz w:val="26"/>
          <w:szCs w:val="26"/>
        </w:rPr>
        <w:t xml:space="preserve">Cenfetelli </w:t>
      </w:r>
      <w:r w:rsidR="00D920D5">
        <w:rPr>
          <w:sz w:val="26"/>
          <w:szCs w:val="26"/>
        </w:rPr>
        <w:t>and</w:t>
      </w:r>
      <w:r w:rsidR="00B366EF">
        <w:rPr>
          <w:sz w:val="26"/>
          <w:szCs w:val="26"/>
        </w:rPr>
        <w:t xml:space="preserve"> </w:t>
      </w:r>
      <w:r w:rsidR="009C7AC7" w:rsidRPr="009A3785">
        <w:rPr>
          <w:sz w:val="26"/>
          <w:szCs w:val="26"/>
        </w:rPr>
        <w:t>Bassellier</w:t>
      </w:r>
      <w:r w:rsidR="00D26486" w:rsidRPr="009A3785">
        <w:rPr>
          <w:sz w:val="26"/>
          <w:szCs w:val="26"/>
        </w:rPr>
        <w:t xml:space="preserve"> (</w:t>
      </w:r>
      <w:r w:rsidR="00A86F2F" w:rsidRPr="009A3785">
        <w:rPr>
          <w:sz w:val="26"/>
          <w:szCs w:val="26"/>
        </w:rPr>
        <w:t>2009</w:t>
      </w:r>
      <w:r w:rsidR="00D26486" w:rsidRPr="009A3785">
        <w:rPr>
          <w:sz w:val="26"/>
          <w:szCs w:val="26"/>
        </w:rPr>
        <w:t>)</w:t>
      </w:r>
      <w:r w:rsidR="00F813BF" w:rsidRPr="009A3785">
        <w:rPr>
          <w:sz w:val="26"/>
          <w:szCs w:val="26"/>
        </w:rPr>
        <w:t xml:space="preserve"> </w:t>
      </w:r>
      <w:r w:rsidR="00545118">
        <w:rPr>
          <w:sz w:val="26"/>
          <w:szCs w:val="26"/>
        </w:rPr>
        <w:t>and</w:t>
      </w:r>
      <w:r w:rsidR="00F813BF" w:rsidRPr="009A3785">
        <w:rPr>
          <w:sz w:val="26"/>
          <w:szCs w:val="26"/>
        </w:rPr>
        <w:t xml:space="preserve"> </w:t>
      </w:r>
      <w:r w:rsidR="002C3D99" w:rsidRPr="009A3785">
        <w:rPr>
          <w:sz w:val="26"/>
          <w:szCs w:val="26"/>
        </w:rPr>
        <w:t xml:space="preserve">J. </w:t>
      </w:r>
      <w:r w:rsidR="00A86F2F" w:rsidRPr="009A3785">
        <w:rPr>
          <w:sz w:val="26"/>
          <w:szCs w:val="26"/>
        </w:rPr>
        <w:t>Hair &amp; Alamer</w:t>
      </w:r>
      <w:r w:rsidR="009D3323">
        <w:rPr>
          <w:sz w:val="26"/>
          <w:szCs w:val="26"/>
        </w:rPr>
        <w:t xml:space="preserve"> </w:t>
      </w:r>
      <w:r w:rsidR="00D26486" w:rsidRPr="009A3785">
        <w:rPr>
          <w:sz w:val="26"/>
          <w:szCs w:val="26"/>
        </w:rPr>
        <w:t>(</w:t>
      </w:r>
      <w:r w:rsidR="00A86F2F" w:rsidRPr="009A3785">
        <w:rPr>
          <w:sz w:val="26"/>
          <w:szCs w:val="26"/>
        </w:rPr>
        <w:t>2022)</w:t>
      </w:r>
      <w:r w:rsidR="00A86F2F" w:rsidRPr="009A3785">
        <w:rPr>
          <w:sz w:val="26"/>
          <w:szCs w:val="26"/>
          <w:lang w:val="en-US"/>
        </w:rPr>
        <w:fldChar w:fldCharType="end"/>
      </w:r>
      <w:r w:rsidRPr="009A3785">
        <w:rPr>
          <w:sz w:val="26"/>
          <w:szCs w:val="26"/>
          <w:lang w:val="en-US"/>
        </w:rPr>
        <w:t>. Accordingly, CSCE4, EG1, EG5, and ESI2 indicators are considered significant</w:t>
      </w:r>
      <w:r w:rsidR="00636098">
        <w:rPr>
          <w:sz w:val="26"/>
          <w:szCs w:val="26"/>
          <w:lang w:val="en-US"/>
        </w:rPr>
        <w:t>,</w:t>
      </w:r>
      <w:r w:rsidRPr="009A3785">
        <w:rPr>
          <w:sz w:val="26"/>
          <w:szCs w:val="26"/>
          <w:lang w:val="en-US"/>
        </w:rPr>
        <w:t xml:space="preserve"> as they have an outer loading below 0.5 and p-values lower than 0.1, while CSCE2, CSCE3, and CSCE5 are therefore </w:t>
      </w:r>
      <w:r w:rsidR="00427A94" w:rsidRPr="009A3785">
        <w:rPr>
          <w:sz w:val="26"/>
          <w:szCs w:val="26"/>
          <w:lang w:val="en-US"/>
        </w:rPr>
        <w:t>non</w:t>
      </w:r>
      <w:r w:rsidR="00B558DC" w:rsidRPr="009A3785">
        <w:rPr>
          <w:sz w:val="26"/>
          <w:szCs w:val="26"/>
          <w:lang w:val="en-US"/>
        </w:rPr>
        <w:t>-</w:t>
      </w:r>
      <w:r w:rsidRPr="009A3785">
        <w:rPr>
          <w:sz w:val="26"/>
          <w:szCs w:val="26"/>
          <w:lang w:val="en-US"/>
        </w:rPr>
        <w:t xml:space="preserve">significant. </w:t>
      </w:r>
    </w:p>
    <w:p w14:paraId="7E1527D0" w14:textId="77777777" w:rsidR="00337D42" w:rsidRDefault="00337D42" w:rsidP="00824E69">
      <w:pPr>
        <w:autoSpaceDE w:val="0"/>
        <w:autoSpaceDN w:val="0"/>
        <w:adjustRightInd w:val="0"/>
        <w:snapToGrid w:val="0"/>
        <w:spacing w:line="300" w:lineRule="auto"/>
        <w:ind w:firstLineChars="200" w:firstLine="520"/>
        <w:jc w:val="both"/>
        <w:rPr>
          <w:sz w:val="26"/>
          <w:szCs w:val="26"/>
          <w:lang w:val="en-US"/>
        </w:rPr>
      </w:pPr>
    </w:p>
    <w:p w14:paraId="515F0E18" w14:textId="5D800611" w:rsidR="00596889" w:rsidRPr="00474704" w:rsidRDefault="00596889" w:rsidP="00824E69">
      <w:pPr>
        <w:autoSpaceDE w:val="0"/>
        <w:autoSpaceDN w:val="0"/>
        <w:adjustRightInd w:val="0"/>
        <w:snapToGrid w:val="0"/>
        <w:spacing w:line="300" w:lineRule="auto"/>
        <w:jc w:val="both"/>
        <w:rPr>
          <w:sz w:val="26"/>
          <w:szCs w:val="26"/>
          <w:lang w:val="en-US"/>
        </w:rPr>
      </w:pPr>
      <w:r w:rsidRPr="009A3785">
        <w:rPr>
          <w:rFonts w:eastAsia="新細明體"/>
          <w:b/>
          <w:noProof/>
          <w:sz w:val="26"/>
          <w:szCs w:val="26"/>
          <w:lang w:val="en-US" w:eastAsia="zh-TW"/>
        </w:rPr>
        <w:t>Table 3</w:t>
      </w:r>
      <w:r w:rsidR="00337D42">
        <w:rPr>
          <w:rFonts w:asciiTheme="minorEastAsia" w:eastAsiaTheme="minorEastAsia" w:hAnsiTheme="minorEastAsia" w:hint="eastAsia"/>
          <w:b/>
          <w:bCs/>
          <w:sz w:val="26"/>
          <w:szCs w:val="26"/>
          <w:lang w:val="en-US" w:eastAsia="zh-TW"/>
        </w:rPr>
        <w:t xml:space="preserve"> </w:t>
      </w:r>
      <w:r w:rsidRPr="009A3785">
        <w:rPr>
          <w:b/>
          <w:bCs/>
          <w:sz w:val="26"/>
          <w:szCs w:val="26"/>
          <w:lang w:val="en-US" w:eastAsia="en-AU"/>
        </w:rPr>
        <w:t xml:space="preserve"> </w:t>
      </w:r>
      <w:r w:rsidRPr="00474704">
        <w:rPr>
          <w:rFonts w:eastAsia="新細明體"/>
          <w:bCs/>
          <w:i/>
          <w:iCs/>
          <w:noProof/>
          <w:sz w:val="26"/>
          <w:szCs w:val="26"/>
          <w:lang w:val="en-US" w:eastAsia="zh-TW"/>
        </w:rPr>
        <w:t>Outer weights, outer loadings, and related statistics found via bootstrapping.</w:t>
      </w:r>
    </w:p>
    <w:tbl>
      <w:tblPr>
        <w:tblStyle w:val="afff6"/>
        <w:tblW w:w="5000" w:type="pct"/>
        <w:jc w:val="center"/>
        <w:tblBorders>
          <w:insideV w:val="none" w:sz="0" w:space="0" w:color="auto"/>
        </w:tblBorders>
        <w:tblLayout w:type="fixed"/>
        <w:tblLook w:val="04A0" w:firstRow="1" w:lastRow="0" w:firstColumn="1" w:lastColumn="0" w:noHBand="0" w:noVBand="1"/>
      </w:tblPr>
      <w:tblGrid>
        <w:gridCol w:w="1844"/>
        <w:gridCol w:w="850"/>
        <w:gridCol w:w="1134"/>
        <w:gridCol w:w="899"/>
        <w:gridCol w:w="960"/>
        <w:gridCol w:w="960"/>
        <w:gridCol w:w="1009"/>
        <w:gridCol w:w="1370"/>
      </w:tblGrid>
      <w:tr w:rsidR="00330023" w:rsidRPr="009A3785" w14:paraId="03AC1EAF" w14:textId="7EE4AC7C" w:rsidTr="00162C98">
        <w:trPr>
          <w:trHeight w:val="515"/>
          <w:jc w:val="center"/>
        </w:trPr>
        <w:tc>
          <w:tcPr>
            <w:tcW w:w="1021" w:type="pct"/>
            <w:tcBorders>
              <w:left w:val="nil"/>
              <w:bottom w:val="single" w:sz="4" w:space="0" w:color="auto"/>
            </w:tcBorders>
            <w:vAlign w:val="center"/>
          </w:tcPr>
          <w:p w14:paraId="46AC8FD3"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Indicators</w:t>
            </w:r>
          </w:p>
        </w:tc>
        <w:tc>
          <w:tcPr>
            <w:tcW w:w="471" w:type="pct"/>
            <w:tcBorders>
              <w:bottom w:val="single" w:sz="4" w:space="0" w:color="auto"/>
            </w:tcBorders>
            <w:vAlign w:val="center"/>
          </w:tcPr>
          <w:p w14:paraId="65167B13"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Outer weights</w:t>
            </w:r>
          </w:p>
        </w:tc>
        <w:tc>
          <w:tcPr>
            <w:tcW w:w="628" w:type="pct"/>
            <w:tcBorders>
              <w:bottom w:val="single" w:sz="4" w:space="0" w:color="auto"/>
            </w:tcBorders>
            <w:vAlign w:val="center"/>
          </w:tcPr>
          <w:p w14:paraId="2A7C778C"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6"/>
                <w:szCs w:val="16"/>
                <w:lang w:val="en-US" w:eastAsia="zh-TW"/>
              </w:rPr>
              <w:t>T statistics (|O/STDEV|)</w:t>
            </w:r>
          </w:p>
        </w:tc>
        <w:tc>
          <w:tcPr>
            <w:tcW w:w="498" w:type="pct"/>
            <w:tcBorders>
              <w:bottom w:val="single" w:sz="4" w:space="0" w:color="auto"/>
            </w:tcBorders>
            <w:vAlign w:val="center"/>
          </w:tcPr>
          <w:p w14:paraId="04030211"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P values of outer weights</w:t>
            </w:r>
          </w:p>
        </w:tc>
        <w:tc>
          <w:tcPr>
            <w:tcW w:w="532" w:type="pct"/>
            <w:tcBorders>
              <w:bottom w:val="single" w:sz="4" w:space="0" w:color="auto"/>
            </w:tcBorders>
            <w:vAlign w:val="center"/>
          </w:tcPr>
          <w:p w14:paraId="0272EF3E"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outer loadings</w:t>
            </w:r>
          </w:p>
        </w:tc>
        <w:tc>
          <w:tcPr>
            <w:tcW w:w="532" w:type="pct"/>
            <w:tcBorders>
              <w:bottom w:val="single" w:sz="4" w:space="0" w:color="auto"/>
            </w:tcBorders>
            <w:vAlign w:val="center"/>
          </w:tcPr>
          <w:p w14:paraId="0E50BF52"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P values of outer loadings</w:t>
            </w:r>
          </w:p>
        </w:tc>
        <w:tc>
          <w:tcPr>
            <w:tcW w:w="559" w:type="pct"/>
            <w:tcBorders>
              <w:bottom w:val="single" w:sz="4" w:space="0" w:color="auto"/>
            </w:tcBorders>
            <w:vAlign w:val="center"/>
          </w:tcPr>
          <w:p w14:paraId="4AC85D32"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VIF</w:t>
            </w:r>
          </w:p>
        </w:tc>
        <w:tc>
          <w:tcPr>
            <w:tcW w:w="759" w:type="pct"/>
            <w:tcBorders>
              <w:bottom w:val="single" w:sz="4" w:space="0" w:color="auto"/>
              <w:right w:val="nil"/>
            </w:tcBorders>
            <w:vAlign w:val="center"/>
          </w:tcPr>
          <w:p w14:paraId="25BA0749" w14:textId="39AD8068" w:rsidR="007D40EC" w:rsidRPr="009B67B6" w:rsidRDefault="00D26486"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Significance</w:t>
            </w:r>
          </w:p>
        </w:tc>
      </w:tr>
      <w:tr w:rsidR="00330023" w:rsidRPr="009A3785" w14:paraId="2F0A1036" w14:textId="4DF0BAD0" w:rsidTr="00162C98">
        <w:trPr>
          <w:trHeight w:val="260"/>
          <w:jc w:val="center"/>
        </w:trPr>
        <w:tc>
          <w:tcPr>
            <w:tcW w:w="1021" w:type="pct"/>
            <w:tcBorders>
              <w:top w:val="single" w:sz="4" w:space="0" w:color="auto"/>
              <w:left w:val="nil"/>
              <w:bottom w:val="single" w:sz="4" w:space="0" w:color="auto"/>
            </w:tcBorders>
            <w:vAlign w:val="center"/>
          </w:tcPr>
          <w:p w14:paraId="7D21D90A" w14:textId="28808B01" w:rsidR="007D40EC" w:rsidRPr="00162C98"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162C98">
              <w:rPr>
                <w:rFonts w:asciiTheme="majorBidi" w:eastAsia="新細明體" w:hAnsiTheme="majorBidi" w:cstheme="majorBidi"/>
                <w:sz w:val="18"/>
                <w:szCs w:val="18"/>
                <w:lang w:val="en-US" w:eastAsia="zh-TW"/>
              </w:rPr>
              <w:t>CSCE1-&gt;CSCE</w:t>
            </w:r>
          </w:p>
        </w:tc>
        <w:tc>
          <w:tcPr>
            <w:tcW w:w="471" w:type="pct"/>
            <w:tcBorders>
              <w:top w:val="single" w:sz="4" w:space="0" w:color="auto"/>
              <w:bottom w:val="single" w:sz="4" w:space="0" w:color="auto"/>
            </w:tcBorders>
            <w:vAlign w:val="center"/>
          </w:tcPr>
          <w:p w14:paraId="1690610D" w14:textId="38542088" w:rsidR="007D40EC" w:rsidRPr="00162C98"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162C98">
              <w:rPr>
                <w:rFonts w:asciiTheme="majorBidi" w:eastAsia="新細明體" w:hAnsiTheme="majorBidi" w:cstheme="majorBidi"/>
                <w:sz w:val="18"/>
                <w:szCs w:val="18"/>
                <w:lang w:val="en-US" w:eastAsia="zh-TW"/>
              </w:rPr>
              <w:t>-0.619</w:t>
            </w:r>
            <w:r w:rsidR="00B1116F">
              <w:rPr>
                <w:rFonts w:asciiTheme="majorBidi" w:eastAsia="新細明體" w:hAnsiTheme="majorBidi" w:cstheme="majorBidi"/>
                <w:sz w:val="18"/>
                <w:szCs w:val="18"/>
                <w:lang w:val="en-US" w:eastAsia="zh-TW"/>
              </w:rPr>
              <w:t>0</w:t>
            </w:r>
          </w:p>
        </w:tc>
        <w:tc>
          <w:tcPr>
            <w:tcW w:w="628" w:type="pct"/>
            <w:tcBorders>
              <w:top w:val="single" w:sz="4" w:space="0" w:color="auto"/>
              <w:bottom w:val="single" w:sz="4" w:space="0" w:color="auto"/>
            </w:tcBorders>
            <w:vAlign w:val="center"/>
          </w:tcPr>
          <w:p w14:paraId="3BE7F27C" w14:textId="5D913C2C" w:rsidR="007D40EC" w:rsidRPr="00162C98"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162C98">
              <w:rPr>
                <w:rFonts w:asciiTheme="majorBidi" w:eastAsia="新細明體" w:hAnsiTheme="majorBidi" w:cstheme="majorBidi"/>
                <w:sz w:val="18"/>
                <w:szCs w:val="18"/>
                <w:lang w:val="en-US" w:eastAsia="zh-TW"/>
              </w:rPr>
              <w:t>1.287</w:t>
            </w:r>
            <w:r w:rsidR="00903671">
              <w:rPr>
                <w:rFonts w:asciiTheme="majorBidi" w:eastAsia="新細明體" w:hAnsiTheme="majorBidi" w:cstheme="majorBidi"/>
                <w:sz w:val="18"/>
                <w:szCs w:val="18"/>
                <w:lang w:val="en-US" w:eastAsia="zh-TW"/>
              </w:rPr>
              <w:t>0</w:t>
            </w:r>
          </w:p>
        </w:tc>
        <w:tc>
          <w:tcPr>
            <w:tcW w:w="498" w:type="pct"/>
            <w:tcBorders>
              <w:top w:val="single" w:sz="4" w:space="0" w:color="auto"/>
              <w:bottom w:val="single" w:sz="4" w:space="0" w:color="auto"/>
            </w:tcBorders>
            <w:vAlign w:val="center"/>
          </w:tcPr>
          <w:p w14:paraId="4C4E52D1" w14:textId="3A883539" w:rsidR="007D40EC" w:rsidRPr="00162C98"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162C98">
              <w:rPr>
                <w:rFonts w:asciiTheme="majorBidi" w:eastAsia="新細明體" w:hAnsiTheme="majorBidi" w:cstheme="majorBidi"/>
                <w:sz w:val="18"/>
                <w:szCs w:val="18"/>
                <w:lang w:val="en-US" w:eastAsia="zh-TW"/>
              </w:rPr>
              <w:t>0.099</w:t>
            </w:r>
            <w:r w:rsidR="00C25687">
              <w:rPr>
                <w:rFonts w:asciiTheme="majorBidi" w:eastAsia="新細明體" w:hAnsiTheme="majorBidi" w:cstheme="majorBidi"/>
                <w:sz w:val="18"/>
                <w:szCs w:val="18"/>
                <w:lang w:val="en-US" w:eastAsia="zh-TW"/>
              </w:rPr>
              <w:t>0</w:t>
            </w:r>
          </w:p>
        </w:tc>
        <w:tc>
          <w:tcPr>
            <w:tcW w:w="532" w:type="pct"/>
            <w:tcBorders>
              <w:top w:val="single" w:sz="4" w:space="0" w:color="auto"/>
              <w:bottom w:val="single" w:sz="4" w:space="0" w:color="auto"/>
            </w:tcBorders>
            <w:vAlign w:val="center"/>
          </w:tcPr>
          <w:p w14:paraId="73CBF89C" w14:textId="4A3540BE" w:rsidR="007D40EC" w:rsidRPr="00162C98"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162C98">
              <w:rPr>
                <w:rFonts w:asciiTheme="majorBidi" w:eastAsia="新細明體" w:hAnsiTheme="majorBidi" w:cstheme="majorBidi"/>
                <w:sz w:val="18"/>
                <w:szCs w:val="18"/>
                <w:lang w:val="en-US" w:eastAsia="zh-TW"/>
              </w:rPr>
              <w:t>-0.588</w:t>
            </w:r>
            <w:r w:rsidR="00903671">
              <w:rPr>
                <w:rFonts w:asciiTheme="majorBidi" w:eastAsia="新細明體" w:hAnsiTheme="majorBidi" w:cstheme="majorBidi"/>
                <w:sz w:val="18"/>
                <w:szCs w:val="18"/>
                <w:lang w:val="en-US" w:eastAsia="zh-TW"/>
              </w:rPr>
              <w:t>0</w:t>
            </w:r>
          </w:p>
        </w:tc>
        <w:tc>
          <w:tcPr>
            <w:tcW w:w="532" w:type="pct"/>
            <w:tcBorders>
              <w:top w:val="single" w:sz="4" w:space="0" w:color="auto"/>
              <w:bottom w:val="single" w:sz="4" w:space="0" w:color="auto"/>
            </w:tcBorders>
            <w:vAlign w:val="center"/>
          </w:tcPr>
          <w:p w14:paraId="730D6CF5" w14:textId="7EFE8830" w:rsidR="007D40EC" w:rsidRPr="00162C98"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162C98">
              <w:rPr>
                <w:rFonts w:asciiTheme="majorBidi" w:eastAsia="新細明體" w:hAnsiTheme="majorBidi" w:cstheme="majorBidi"/>
                <w:sz w:val="18"/>
                <w:szCs w:val="18"/>
                <w:lang w:val="en-US" w:eastAsia="zh-TW"/>
              </w:rPr>
              <w:t>0.092</w:t>
            </w:r>
            <w:r w:rsidR="00162C98">
              <w:rPr>
                <w:rFonts w:asciiTheme="majorBidi" w:eastAsia="新細明體" w:hAnsiTheme="majorBidi" w:cstheme="majorBidi"/>
                <w:sz w:val="18"/>
                <w:szCs w:val="18"/>
                <w:lang w:val="en-US" w:eastAsia="zh-TW"/>
              </w:rPr>
              <w:t>0</w:t>
            </w:r>
          </w:p>
        </w:tc>
        <w:tc>
          <w:tcPr>
            <w:tcW w:w="559" w:type="pct"/>
            <w:tcBorders>
              <w:top w:val="single" w:sz="4" w:space="0" w:color="auto"/>
              <w:bottom w:val="single" w:sz="4" w:space="0" w:color="auto"/>
            </w:tcBorders>
            <w:vAlign w:val="center"/>
          </w:tcPr>
          <w:p w14:paraId="6519EF9C" w14:textId="7B753422" w:rsidR="007D40EC" w:rsidRPr="00162C98"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162C98">
              <w:rPr>
                <w:rFonts w:asciiTheme="majorBidi" w:eastAsia="新細明體" w:hAnsiTheme="majorBidi" w:cstheme="majorBidi"/>
                <w:sz w:val="18"/>
                <w:szCs w:val="18"/>
                <w:lang w:val="en-US" w:eastAsia="zh-TW"/>
              </w:rPr>
              <w:t>1.882</w:t>
            </w:r>
            <w:r w:rsidR="00162C98">
              <w:rPr>
                <w:rFonts w:asciiTheme="majorBidi" w:eastAsia="新細明體" w:hAnsiTheme="majorBidi" w:cstheme="majorBidi"/>
                <w:sz w:val="18"/>
                <w:szCs w:val="18"/>
                <w:lang w:val="en-US" w:eastAsia="zh-TW"/>
              </w:rPr>
              <w:t>0</w:t>
            </w:r>
          </w:p>
        </w:tc>
        <w:tc>
          <w:tcPr>
            <w:tcW w:w="759" w:type="pct"/>
            <w:tcBorders>
              <w:top w:val="single" w:sz="4" w:space="0" w:color="auto"/>
              <w:bottom w:val="single" w:sz="4" w:space="0" w:color="auto"/>
              <w:right w:val="nil"/>
            </w:tcBorders>
            <w:vAlign w:val="center"/>
          </w:tcPr>
          <w:p w14:paraId="273BA005" w14:textId="36681340" w:rsidR="007D40EC" w:rsidRPr="00162C98" w:rsidRDefault="00CE2CEA" w:rsidP="00330023">
            <w:pPr>
              <w:snapToGrid w:val="0"/>
              <w:spacing w:line="300" w:lineRule="exact"/>
              <w:jc w:val="center"/>
              <w:rPr>
                <w:rFonts w:asciiTheme="majorBidi" w:eastAsia="新細明體" w:hAnsiTheme="majorBidi" w:cstheme="majorBidi"/>
                <w:sz w:val="18"/>
                <w:szCs w:val="18"/>
                <w:lang w:val="en-US" w:eastAsia="zh-TW"/>
              </w:rPr>
            </w:pPr>
            <w:r w:rsidRPr="00162C98">
              <w:rPr>
                <w:rFonts w:asciiTheme="majorBidi" w:eastAsia="新細明體" w:hAnsiTheme="majorBidi" w:cstheme="majorBidi"/>
                <w:sz w:val="18"/>
                <w:szCs w:val="18"/>
                <w:lang w:val="en-US" w:eastAsia="zh-TW"/>
              </w:rPr>
              <w:t>Significant</w:t>
            </w:r>
          </w:p>
        </w:tc>
      </w:tr>
      <w:tr w:rsidR="00330023" w:rsidRPr="009A3785" w14:paraId="7B61FC66" w14:textId="41CCAFEE" w:rsidTr="00162C98">
        <w:trPr>
          <w:trHeight w:val="170"/>
          <w:jc w:val="center"/>
        </w:trPr>
        <w:tc>
          <w:tcPr>
            <w:tcW w:w="1021" w:type="pct"/>
            <w:tcBorders>
              <w:top w:val="single" w:sz="4" w:space="0" w:color="auto"/>
              <w:left w:val="nil"/>
              <w:bottom w:val="single" w:sz="4" w:space="0" w:color="auto"/>
            </w:tcBorders>
            <w:vAlign w:val="center"/>
          </w:tcPr>
          <w:p w14:paraId="301CA79B"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CSCE2-&gt;CSCE</w:t>
            </w:r>
          </w:p>
        </w:tc>
        <w:tc>
          <w:tcPr>
            <w:tcW w:w="471" w:type="pct"/>
            <w:tcBorders>
              <w:top w:val="single" w:sz="4" w:space="0" w:color="auto"/>
              <w:bottom w:val="single" w:sz="4" w:space="0" w:color="auto"/>
            </w:tcBorders>
            <w:vAlign w:val="center"/>
          </w:tcPr>
          <w:p w14:paraId="5656C3CB"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-0.0580</w:t>
            </w:r>
          </w:p>
        </w:tc>
        <w:tc>
          <w:tcPr>
            <w:tcW w:w="628" w:type="pct"/>
            <w:tcBorders>
              <w:top w:val="single" w:sz="4" w:space="0" w:color="auto"/>
              <w:bottom w:val="single" w:sz="4" w:space="0" w:color="auto"/>
            </w:tcBorders>
            <w:vAlign w:val="center"/>
          </w:tcPr>
          <w:p w14:paraId="59A21E75"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0.3620</w:t>
            </w:r>
          </w:p>
        </w:tc>
        <w:tc>
          <w:tcPr>
            <w:tcW w:w="498" w:type="pct"/>
            <w:tcBorders>
              <w:top w:val="single" w:sz="4" w:space="0" w:color="auto"/>
              <w:bottom w:val="single" w:sz="4" w:space="0" w:color="auto"/>
            </w:tcBorders>
            <w:vAlign w:val="center"/>
          </w:tcPr>
          <w:p w14:paraId="3B7754EE"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0.3590</w:t>
            </w:r>
          </w:p>
        </w:tc>
        <w:tc>
          <w:tcPr>
            <w:tcW w:w="532" w:type="pct"/>
            <w:tcBorders>
              <w:top w:val="single" w:sz="4" w:space="0" w:color="auto"/>
              <w:bottom w:val="single" w:sz="4" w:space="0" w:color="auto"/>
            </w:tcBorders>
            <w:vAlign w:val="center"/>
          </w:tcPr>
          <w:p w14:paraId="6C0213E9" w14:textId="34312F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-0.419</w:t>
            </w:r>
            <w:r w:rsidR="00903671">
              <w:rPr>
                <w:rFonts w:asciiTheme="majorBidi" w:eastAsia="新細明體" w:hAnsiTheme="majorBidi" w:cstheme="majorBidi"/>
                <w:sz w:val="18"/>
                <w:szCs w:val="18"/>
                <w:lang w:val="en-US" w:eastAsia="zh-TW"/>
              </w:rPr>
              <w:t>0</w:t>
            </w:r>
          </w:p>
        </w:tc>
        <w:tc>
          <w:tcPr>
            <w:tcW w:w="532" w:type="pct"/>
            <w:tcBorders>
              <w:top w:val="single" w:sz="4" w:space="0" w:color="auto"/>
              <w:bottom w:val="single" w:sz="4" w:space="0" w:color="auto"/>
            </w:tcBorders>
            <w:vAlign w:val="center"/>
          </w:tcPr>
          <w:p w14:paraId="26C2CF9A"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0.1040</w:t>
            </w:r>
          </w:p>
        </w:tc>
        <w:tc>
          <w:tcPr>
            <w:tcW w:w="559" w:type="pct"/>
            <w:tcBorders>
              <w:top w:val="single" w:sz="4" w:space="0" w:color="auto"/>
              <w:bottom w:val="single" w:sz="4" w:space="0" w:color="auto"/>
            </w:tcBorders>
            <w:vAlign w:val="center"/>
          </w:tcPr>
          <w:p w14:paraId="1AA30776"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1.8900</w:t>
            </w:r>
          </w:p>
        </w:tc>
        <w:tc>
          <w:tcPr>
            <w:tcW w:w="759" w:type="pct"/>
            <w:tcBorders>
              <w:top w:val="single" w:sz="4" w:space="0" w:color="auto"/>
              <w:bottom w:val="single" w:sz="4" w:space="0" w:color="auto"/>
              <w:right w:val="nil"/>
            </w:tcBorders>
            <w:vAlign w:val="center"/>
          </w:tcPr>
          <w:p w14:paraId="64861A38" w14:textId="135A82BA" w:rsidR="007D40EC" w:rsidRPr="009B67B6" w:rsidRDefault="00B0779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N</w:t>
            </w:r>
            <w:r w:rsidR="00B558DC" w:rsidRPr="009B67B6">
              <w:rPr>
                <w:rFonts w:asciiTheme="majorBidi" w:eastAsia="新細明體" w:hAnsiTheme="majorBidi" w:cstheme="majorBidi"/>
                <w:sz w:val="18"/>
                <w:szCs w:val="18"/>
                <w:lang w:val="en-US" w:eastAsia="zh-TW"/>
              </w:rPr>
              <w:t>on-significant</w:t>
            </w:r>
          </w:p>
        </w:tc>
      </w:tr>
      <w:tr w:rsidR="00330023" w:rsidRPr="009A3785" w14:paraId="253002F5" w14:textId="60171003" w:rsidTr="00162C98">
        <w:trPr>
          <w:trHeight w:val="269"/>
          <w:jc w:val="center"/>
        </w:trPr>
        <w:tc>
          <w:tcPr>
            <w:tcW w:w="1021" w:type="pct"/>
            <w:tcBorders>
              <w:top w:val="single" w:sz="4" w:space="0" w:color="auto"/>
              <w:left w:val="nil"/>
              <w:bottom w:val="single" w:sz="4" w:space="0" w:color="auto"/>
            </w:tcBorders>
            <w:vAlign w:val="center"/>
          </w:tcPr>
          <w:p w14:paraId="791CE0A5"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CSCE3-&gt;CSCE</w:t>
            </w:r>
          </w:p>
        </w:tc>
        <w:tc>
          <w:tcPr>
            <w:tcW w:w="471" w:type="pct"/>
            <w:tcBorders>
              <w:top w:val="single" w:sz="4" w:space="0" w:color="auto"/>
              <w:bottom w:val="single" w:sz="4" w:space="0" w:color="auto"/>
            </w:tcBorders>
            <w:vAlign w:val="center"/>
          </w:tcPr>
          <w:p w14:paraId="63E30310"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0.3940</w:t>
            </w:r>
          </w:p>
        </w:tc>
        <w:tc>
          <w:tcPr>
            <w:tcW w:w="628" w:type="pct"/>
            <w:tcBorders>
              <w:top w:val="single" w:sz="4" w:space="0" w:color="auto"/>
              <w:bottom w:val="single" w:sz="4" w:space="0" w:color="auto"/>
            </w:tcBorders>
            <w:vAlign w:val="center"/>
          </w:tcPr>
          <w:p w14:paraId="16F97706"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1.1610</w:t>
            </w:r>
          </w:p>
        </w:tc>
        <w:tc>
          <w:tcPr>
            <w:tcW w:w="498" w:type="pct"/>
            <w:tcBorders>
              <w:top w:val="single" w:sz="4" w:space="0" w:color="auto"/>
              <w:bottom w:val="single" w:sz="4" w:space="0" w:color="auto"/>
            </w:tcBorders>
            <w:vAlign w:val="center"/>
          </w:tcPr>
          <w:p w14:paraId="7B57DE78"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0.1230</w:t>
            </w:r>
          </w:p>
        </w:tc>
        <w:tc>
          <w:tcPr>
            <w:tcW w:w="532" w:type="pct"/>
            <w:tcBorders>
              <w:top w:val="single" w:sz="4" w:space="0" w:color="auto"/>
              <w:bottom w:val="single" w:sz="4" w:space="0" w:color="auto"/>
            </w:tcBorders>
            <w:vAlign w:val="center"/>
          </w:tcPr>
          <w:p w14:paraId="74FE91C2"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0.2190</w:t>
            </w:r>
          </w:p>
        </w:tc>
        <w:tc>
          <w:tcPr>
            <w:tcW w:w="532" w:type="pct"/>
            <w:tcBorders>
              <w:top w:val="single" w:sz="4" w:space="0" w:color="auto"/>
              <w:bottom w:val="single" w:sz="4" w:space="0" w:color="auto"/>
            </w:tcBorders>
            <w:vAlign w:val="center"/>
          </w:tcPr>
          <w:p w14:paraId="652ABC88"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0.1680</w:t>
            </w:r>
          </w:p>
        </w:tc>
        <w:tc>
          <w:tcPr>
            <w:tcW w:w="559" w:type="pct"/>
            <w:tcBorders>
              <w:top w:val="single" w:sz="4" w:space="0" w:color="auto"/>
              <w:bottom w:val="single" w:sz="4" w:space="0" w:color="auto"/>
            </w:tcBorders>
            <w:vAlign w:val="center"/>
          </w:tcPr>
          <w:p w14:paraId="338F8D64"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1.1920</w:t>
            </w:r>
          </w:p>
        </w:tc>
        <w:tc>
          <w:tcPr>
            <w:tcW w:w="759" w:type="pct"/>
            <w:tcBorders>
              <w:top w:val="single" w:sz="4" w:space="0" w:color="auto"/>
              <w:bottom w:val="single" w:sz="4" w:space="0" w:color="auto"/>
              <w:right w:val="nil"/>
            </w:tcBorders>
            <w:vAlign w:val="center"/>
          </w:tcPr>
          <w:p w14:paraId="6FCE1F06" w14:textId="7FFAA07E" w:rsidR="007D40EC" w:rsidRPr="009B67B6" w:rsidRDefault="00B0779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N</w:t>
            </w:r>
            <w:r w:rsidR="00B558DC" w:rsidRPr="009B67B6">
              <w:rPr>
                <w:rFonts w:asciiTheme="majorBidi" w:eastAsia="新細明體" w:hAnsiTheme="majorBidi" w:cstheme="majorBidi"/>
                <w:sz w:val="18"/>
                <w:szCs w:val="18"/>
                <w:lang w:val="en-US" w:eastAsia="zh-TW"/>
              </w:rPr>
              <w:t>on-significant</w:t>
            </w:r>
          </w:p>
        </w:tc>
      </w:tr>
      <w:tr w:rsidR="00330023" w:rsidRPr="009A3785" w14:paraId="5C7E1CCA" w14:textId="685641AA" w:rsidTr="00162C98">
        <w:trPr>
          <w:trHeight w:val="305"/>
          <w:jc w:val="center"/>
        </w:trPr>
        <w:tc>
          <w:tcPr>
            <w:tcW w:w="1021" w:type="pct"/>
            <w:tcBorders>
              <w:top w:val="single" w:sz="4" w:space="0" w:color="auto"/>
              <w:left w:val="nil"/>
              <w:bottom w:val="single" w:sz="4" w:space="0" w:color="auto"/>
            </w:tcBorders>
            <w:vAlign w:val="center"/>
          </w:tcPr>
          <w:p w14:paraId="3DEE2B60"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CSCE4-&gt;CSCE</w:t>
            </w:r>
          </w:p>
        </w:tc>
        <w:tc>
          <w:tcPr>
            <w:tcW w:w="471" w:type="pct"/>
            <w:tcBorders>
              <w:top w:val="single" w:sz="4" w:space="0" w:color="auto"/>
              <w:bottom w:val="single" w:sz="4" w:space="0" w:color="auto"/>
            </w:tcBorders>
            <w:vAlign w:val="center"/>
          </w:tcPr>
          <w:p w14:paraId="7502C874"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0.1990</w:t>
            </w:r>
          </w:p>
        </w:tc>
        <w:tc>
          <w:tcPr>
            <w:tcW w:w="628" w:type="pct"/>
            <w:tcBorders>
              <w:top w:val="single" w:sz="4" w:space="0" w:color="auto"/>
              <w:bottom w:val="single" w:sz="4" w:space="0" w:color="auto"/>
            </w:tcBorders>
            <w:vAlign w:val="center"/>
          </w:tcPr>
          <w:p w14:paraId="06D10E65"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1.1210</w:t>
            </w:r>
          </w:p>
        </w:tc>
        <w:tc>
          <w:tcPr>
            <w:tcW w:w="498" w:type="pct"/>
            <w:tcBorders>
              <w:top w:val="single" w:sz="4" w:space="0" w:color="auto"/>
              <w:bottom w:val="single" w:sz="4" w:space="0" w:color="auto"/>
            </w:tcBorders>
            <w:vAlign w:val="center"/>
          </w:tcPr>
          <w:p w14:paraId="1D21DCBC"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0.1310</w:t>
            </w:r>
          </w:p>
        </w:tc>
        <w:tc>
          <w:tcPr>
            <w:tcW w:w="532" w:type="pct"/>
            <w:tcBorders>
              <w:top w:val="single" w:sz="4" w:space="0" w:color="auto"/>
              <w:bottom w:val="single" w:sz="4" w:space="0" w:color="auto"/>
            </w:tcBorders>
            <w:vAlign w:val="center"/>
          </w:tcPr>
          <w:p w14:paraId="371DD9EF"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0.3530</w:t>
            </w:r>
          </w:p>
        </w:tc>
        <w:tc>
          <w:tcPr>
            <w:tcW w:w="532" w:type="pct"/>
            <w:tcBorders>
              <w:top w:val="single" w:sz="4" w:space="0" w:color="auto"/>
              <w:bottom w:val="single" w:sz="4" w:space="0" w:color="auto"/>
            </w:tcBorders>
            <w:vAlign w:val="center"/>
          </w:tcPr>
          <w:p w14:paraId="0F3E842A"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0.0720</w:t>
            </w:r>
          </w:p>
        </w:tc>
        <w:tc>
          <w:tcPr>
            <w:tcW w:w="559" w:type="pct"/>
            <w:tcBorders>
              <w:top w:val="single" w:sz="4" w:space="0" w:color="auto"/>
              <w:bottom w:val="single" w:sz="4" w:space="0" w:color="auto"/>
            </w:tcBorders>
            <w:vAlign w:val="center"/>
          </w:tcPr>
          <w:p w14:paraId="6C60E6AB"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1.0940</w:t>
            </w:r>
          </w:p>
        </w:tc>
        <w:tc>
          <w:tcPr>
            <w:tcW w:w="759" w:type="pct"/>
            <w:tcBorders>
              <w:top w:val="single" w:sz="4" w:space="0" w:color="auto"/>
              <w:bottom w:val="single" w:sz="4" w:space="0" w:color="auto"/>
              <w:right w:val="nil"/>
            </w:tcBorders>
            <w:vAlign w:val="center"/>
          </w:tcPr>
          <w:p w14:paraId="5022111D" w14:textId="733DC7DC" w:rsidR="007D40EC" w:rsidRPr="009B67B6" w:rsidRDefault="00CE2CEA"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Significant</w:t>
            </w:r>
          </w:p>
        </w:tc>
      </w:tr>
      <w:tr w:rsidR="00330023" w:rsidRPr="009A3785" w14:paraId="451D6639" w14:textId="75A5E0B0" w:rsidTr="00162C98">
        <w:trPr>
          <w:trHeight w:val="251"/>
          <w:jc w:val="center"/>
        </w:trPr>
        <w:tc>
          <w:tcPr>
            <w:tcW w:w="1021" w:type="pct"/>
            <w:tcBorders>
              <w:top w:val="single" w:sz="4" w:space="0" w:color="auto"/>
              <w:left w:val="nil"/>
              <w:bottom w:val="single" w:sz="4" w:space="0" w:color="auto"/>
            </w:tcBorders>
            <w:vAlign w:val="center"/>
          </w:tcPr>
          <w:p w14:paraId="6D235629"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CSCE5-&gt;CSCE</w:t>
            </w:r>
          </w:p>
        </w:tc>
        <w:tc>
          <w:tcPr>
            <w:tcW w:w="471" w:type="pct"/>
            <w:tcBorders>
              <w:top w:val="single" w:sz="4" w:space="0" w:color="auto"/>
              <w:bottom w:val="single" w:sz="4" w:space="0" w:color="auto"/>
            </w:tcBorders>
            <w:vAlign w:val="center"/>
          </w:tcPr>
          <w:p w14:paraId="7FAD487E"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0.0980</w:t>
            </w:r>
          </w:p>
        </w:tc>
        <w:tc>
          <w:tcPr>
            <w:tcW w:w="628" w:type="pct"/>
            <w:tcBorders>
              <w:top w:val="single" w:sz="4" w:space="0" w:color="auto"/>
              <w:bottom w:val="single" w:sz="4" w:space="0" w:color="auto"/>
            </w:tcBorders>
            <w:vAlign w:val="center"/>
          </w:tcPr>
          <w:p w14:paraId="35C315AA"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0.6850</w:t>
            </w:r>
          </w:p>
        </w:tc>
        <w:tc>
          <w:tcPr>
            <w:tcW w:w="498" w:type="pct"/>
            <w:tcBorders>
              <w:top w:val="single" w:sz="4" w:space="0" w:color="auto"/>
              <w:bottom w:val="single" w:sz="4" w:space="0" w:color="auto"/>
            </w:tcBorders>
            <w:vAlign w:val="center"/>
          </w:tcPr>
          <w:p w14:paraId="1822F965"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0.2470</w:t>
            </w:r>
          </w:p>
        </w:tc>
        <w:tc>
          <w:tcPr>
            <w:tcW w:w="532" w:type="pct"/>
            <w:tcBorders>
              <w:top w:val="single" w:sz="4" w:space="0" w:color="auto"/>
              <w:bottom w:val="single" w:sz="4" w:space="0" w:color="auto"/>
            </w:tcBorders>
            <w:vAlign w:val="center"/>
          </w:tcPr>
          <w:p w14:paraId="10C65AFB"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0.2720</w:t>
            </w:r>
          </w:p>
        </w:tc>
        <w:tc>
          <w:tcPr>
            <w:tcW w:w="532" w:type="pct"/>
            <w:tcBorders>
              <w:top w:val="single" w:sz="4" w:space="0" w:color="auto"/>
              <w:bottom w:val="single" w:sz="4" w:space="0" w:color="auto"/>
            </w:tcBorders>
            <w:vAlign w:val="center"/>
          </w:tcPr>
          <w:p w14:paraId="249D0702"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0.1030</w:t>
            </w:r>
          </w:p>
        </w:tc>
        <w:tc>
          <w:tcPr>
            <w:tcW w:w="559" w:type="pct"/>
            <w:tcBorders>
              <w:top w:val="single" w:sz="4" w:space="0" w:color="auto"/>
              <w:bottom w:val="single" w:sz="4" w:space="0" w:color="auto"/>
            </w:tcBorders>
            <w:vAlign w:val="center"/>
          </w:tcPr>
          <w:p w14:paraId="37229791"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1.2320</w:t>
            </w:r>
          </w:p>
        </w:tc>
        <w:tc>
          <w:tcPr>
            <w:tcW w:w="759" w:type="pct"/>
            <w:tcBorders>
              <w:top w:val="single" w:sz="4" w:space="0" w:color="auto"/>
              <w:bottom w:val="single" w:sz="4" w:space="0" w:color="auto"/>
              <w:right w:val="nil"/>
            </w:tcBorders>
            <w:vAlign w:val="center"/>
          </w:tcPr>
          <w:p w14:paraId="77A9C648" w14:textId="4CEC10A9" w:rsidR="007D40EC" w:rsidRPr="009B67B6" w:rsidRDefault="00B0779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Non-significant</w:t>
            </w:r>
          </w:p>
        </w:tc>
      </w:tr>
      <w:tr w:rsidR="00330023" w:rsidRPr="009A3785" w14:paraId="2F89F783" w14:textId="550116B1" w:rsidTr="00162C98">
        <w:trPr>
          <w:trHeight w:val="332"/>
          <w:jc w:val="center"/>
        </w:trPr>
        <w:tc>
          <w:tcPr>
            <w:tcW w:w="1021" w:type="pct"/>
            <w:tcBorders>
              <w:top w:val="single" w:sz="4" w:space="0" w:color="auto"/>
              <w:left w:val="nil"/>
              <w:bottom w:val="single" w:sz="4" w:space="0" w:color="auto"/>
            </w:tcBorders>
            <w:vAlign w:val="center"/>
          </w:tcPr>
          <w:p w14:paraId="13E77CAA"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CSCE6-&gt;CSCE</w:t>
            </w:r>
          </w:p>
        </w:tc>
        <w:tc>
          <w:tcPr>
            <w:tcW w:w="471" w:type="pct"/>
            <w:tcBorders>
              <w:top w:val="single" w:sz="4" w:space="0" w:color="auto"/>
              <w:bottom w:val="single" w:sz="4" w:space="0" w:color="auto"/>
            </w:tcBorders>
            <w:vAlign w:val="center"/>
          </w:tcPr>
          <w:p w14:paraId="32A64513"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0.6070</w:t>
            </w:r>
          </w:p>
        </w:tc>
        <w:tc>
          <w:tcPr>
            <w:tcW w:w="628" w:type="pct"/>
            <w:tcBorders>
              <w:top w:val="single" w:sz="4" w:space="0" w:color="auto"/>
              <w:bottom w:val="single" w:sz="4" w:space="0" w:color="auto"/>
            </w:tcBorders>
            <w:vAlign w:val="center"/>
          </w:tcPr>
          <w:p w14:paraId="2FB4B009"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1.4250</w:t>
            </w:r>
          </w:p>
        </w:tc>
        <w:tc>
          <w:tcPr>
            <w:tcW w:w="498" w:type="pct"/>
            <w:tcBorders>
              <w:top w:val="single" w:sz="4" w:space="0" w:color="auto"/>
              <w:bottom w:val="single" w:sz="4" w:space="0" w:color="auto"/>
            </w:tcBorders>
            <w:vAlign w:val="center"/>
          </w:tcPr>
          <w:p w14:paraId="41D223B5"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0.0770</w:t>
            </w:r>
          </w:p>
        </w:tc>
        <w:tc>
          <w:tcPr>
            <w:tcW w:w="532" w:type="pct"/>
            <w:tcBorders>
              <w:top w:val="single" w:sz="4" w:space="0" w:color="auto"/>
              <w:bottom w:val="single" w:sz="4" w:space="0" w:color="auto"/>
            </w:tcBorders>
            <w:vAlign w:val="center"/>
          </w:tcPr>
          <w:p w14:paraId="35B0B9CF"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0.7060</w:t>
            </w:r>
          </w:p>
        </w:tc>
        <w:tc>
          <w:tcPr>
            <w:tcW w:w="532" w:type="pct"/>
            <w:tcBorders>
              <w:top w:val="single" w:sz="4" w:space="0" w:color="auto"/>
              <w:bottom w:val="single" w:sz="4" w:space="0" w:color="auto"/>
            </w:tcBorders>
            <w:vAlign w:val="center"/>
          </w:tcPr>
          <w:p w14:paraId="57D518FB"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0.0680</w:t>
            </w:r>
          </w:p>
        </w:tc>
        <w:tc>
          <w:tcPr>
            <w:tcW w:w="559" w:type="pct"/>
            <w:tcBorders>
              <w:top w:val="single" w:sz="4" w:space="0" w:color="auto"/>
              <w:bottom w:val="single" w:sz="4" w:space="0" w:color="auto"/>
            </w:tcBorders>
            <w:vAlign w:val="center"/>
          </w:tcPr>
          <w:p w14:paraId="252C4CC5"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1.2000</w:t>
            </w:r>
          </w:p>
        </w:tc>
        <w:tc>
          <w:tcPr>
            <w:tcW w:w="759" w:type="pct"/>
            <w:tcBorders>
              <w:top w:val="single" w:sz="4" w:space="0" w:color="auto"/>
              <w:bottom w:val="single" w:sz="4" w:space="0" w:color="auto"/>
              <w:right w:val="nil"/>
            </w:tcBorders>
            <w:vAlign w:val="center"/>
          </w:tcPr>
          <w:p w14:paraId="25D05E71" w14:textId="6608BA06" w:rsidR="007D40EC" w:rsidRPr="009B67B6" w:rsidRDefault="00CE2CEA"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Significant</w:t>
            </w:r>
          </w:p>
        </w:tc>
      </w:tr>
      <w:tr w:rsidR="00330023" w:rsidRPr="009A3785" w14:paraId="3DCDAD70" w14:textId="31A8731E" w:rsidTr="00162C98">
        <w:trPr>
          <w:trHeight w:val="341"/>
          <w:jc w:val="center"/>
        </w:trPr>
        <w:tc>
          <w:tcPr>
            <w:tcW w:w="1021" w:type="pct"/>
            <w:tcBorders>
              <w:top w:val="single" w:sz="4" w:space="0" w:color="auto"/>
              <w:left w:val="nil"/>
              <w:bottom w:val="single" w:sz="4" w:space="0" w:color="auto"/>
            </w:tcBorders>
            <w:vAlign w:val="center"/>
          </w:tcPr>
          <w:p w14:paraId="5AE91D2D"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EG1 -&gt; EG</w:t>
            </w:r>
          </w:p>
        </w:tc>
        <w:tc>
          <w:tcPr>
            <w:tcW w:w="471" w:type="pct"/>
            <w:tcBorders>
              <w:top w:val="single" w:sz="4" w:space="0" w:color="auto"/>
              <w:bottom w:val="single" w:sz="4" w:space="0" w:color="auto"/>
            </w:tcBorders>
            <w:vAlign w:val="center"/>
          </w:tcPr>
          <w:p w14:paraId="3C113737"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0.0850</w:t>
            </w:r>
          </w:p>
        </w:tc>
        <w:tc>
          <w:tcPr>
            <w:tcW w:w="628" w:type="pct"/>
            <w:tcBorders>
              <w:top w:val="single" w:sz="4" w:space="0" w:color="auto"/>
              <w:bottom w:val="single" w:sz="4" w:space="0" w:color="auto"/>
            </w:tcBorders>
            <w:vAlign w:val="center"/>
          </w:tcPr>
          <w:p w14:paraId="7B801A16"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0.8210</w:t>
            </w:r>
          </w:p>
        </w:tc>
        <w:tc>
          <w:tcPr>
            <w:tcW w:w="498" w:type="pct"/>
            <w:tcBorders>
              <w:top w:val="single" w:sz="4" w:space="0" w:color="auto"/>
              <w:bottom w:val="single" w:sz="4" w:space="0" w:color="auto"/>
            </w:tcBorders>
            <w:vAlign w:val="center"/>
          </w:tcPr>
          <w:p w14:paraId="7C75A76A"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0.2060</w:t>
            </w:r>
          </w:p>
        </w:tc>
        <w:tc>
          <w:tcPr>
            <w:tcW w:w="532" w:type="pct"/>
            <w:tcBorders>
              <w:top w:val="single" w:sz="4" w:space="0" w:color="auto"/>
              <w:bottom w:val="single" w:sz="4" w:space="0" w:color="auto"/>
            </w:tcBorders>
            <w:vAlign w:val="center"/>
          </w:tcPr>
          <w:p w14:paraId="48A47D3A"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0.3130</w:t>
            </w:r>
          </w:p>
        </w:tc>
        <w:tc>
          <w:tcPr>
            <w:tcW w:w="532" w:type="pct"/>
            <w:tcBorders>
              <w:top w:val="single" w:sz="4" w:space="0" w:color="auto"/>
              <w:bottom w:val="single" w:sz="4" w:space="0" w:color="auto"/>
            </w:tcBorders>
            <w:vAlign w:val="center"/>
          </w:tcPr>
          <w:p w14:paraId="6964ED50"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0.0060</w:t>
            </w:r>
          </w:p>
        </w:tc>
        <w:tc>
          <w:tcPr>
            <w:tcW w:w="559" w:type="pct"/>
            <w:tcBorders>
              <w:top w:val="single" w:sz="4" w:space="0" w:color="auto"/>
              <w:bottom w:val="single" w:sz="4" w:space="0" w:color="auto"/>
            </w:tcBorders>
            <w:vAlign w:val="center"/>
          </w:tcPr>
          <w:p w14:paraId="5FF10EB2"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1.0880</w:t>
            </w:r>
          </w:p>
        </w:tc>
        <w:tc>
          <w:tcPr>
            <w:tcW w:w="759" w:type="pct"/>
            <w:tcBorders>
              <w:top w:val="single" w:sz="4" w:space="0" w:color="auto"/>
              <w:bottom w:val="single" w:sz="4" w:space="0" w:color="auto"/>
              <w:right w:val="nil"/>
            </w:tcBorders>
            <w:vAlign w:val="center"/>
          </w:tcPr>
          <w:p w14:paraId="26550391" w14:textId="09832059" w:rsidR="007D40EC" w:rsidRPr="009B67B6" w:rsidRDefault="00CE2CEA"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Significant</w:t>
            </w:r>
          </w:p>
        </w:tc>
      </w:tr>
      <w:tr w:rsidR="00330023" w:rsidRPr="009A3785" w14:paraId="5242E7DD" w14:textId="4353B60D" w:rsidTr="00162C98">
        <w:trPr>
          <w:trHeight w:val="341"/>
          <w:jc w:val="center"/>
        </w:trPr>
        <w:tc>
          <w:tcPr>
            <w:tcW w:w="1021" w:type="pct"/>
            <w:tcBorders>
              <w:top w:val="single" w:sz="4" w:space="0" w:color="auto"/>
              <w:left w:val="nil"/>
              <w:bottom w:val="single" w:sz="4" w:space="0" w:color="auto"/>
            </w:tcBorders>
            <w:vAlign w:val="center"/>
          </w:tcPr>
          <w:p w14:paraId="1683754F"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EG2 -&gt; EG</w:t>
            </w:r>
          </w:p>
        </w:tc>
        <w:tc>
          <w:tcPr>
            <w:tcW w:w="471" w:type="pct"/>
            <w:tcBorders>
              <w:top w:val="single" w:sz="4" w:space="0" w:color="auto"/>
              <w:bottom w:val="single" w:sz="4" w:space="0" w:color="auto"/>
            </w:tcBorders>
            <w:vAlign w:val="center"/>
          </w:tcPr>
          <w:p w14:paraId="4C382673"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0.5560</w:t>
            </w:r>
          </w:p>
        </w:tc>
        <w:tc>
          <w:tcPr>
            <w:tcW w:w="628" w:type="pct"/>
            <w:tcBorders>
              <w:top w:val="single" w:sz="4" w:space="0" w:color="auto"/>
              <w:bottom w:val="single" w:sz="4" w:space="0" w:color="auto"/>
            </w:tcBorders>
            <w:vAlign w:val="center"/>
          </w:tcPr>
          <w:p w14:paraId="2127DFF2"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4.2880</w:t>
            </w:r>
          </w:p>
        </w:tc>
        <w:tc>
          <w:tcPr>
            <w:tcW w:w="498" w:type="pct"/>
            <w:tcBorders>
              <w:top w:val="single" w:sz="4" w:space="0" w:color="auto"/>
              <w:bottom w:val="single" w:sz="4" w:space="0" w:color="auto"/>
            </w:tcBorders>
            <w:vAlign w:val="center"/>
          </w:tcPr>
          <w:p w14:paraId="11C71C69"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0.0000</w:t>
            </w:r>
          </w:p>
        </w:tc>
        <w:tc>
          <w:tcPr>
            <w:tcW w:w="532" w:type="pct"/>
            <w:tcBorders>
              <w:top w:val="single" w:sz="4" w:space="0" w:color="auto"/>
              <w:bottom w:val="single" w:sz="4" w:space="0" w:color="auto"/>
            </w:tcBorders>
            <w:vAlign w:val="center"/>
          </w:tcPr>
          <w:p w14:paraId="1E99A54A"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0.8620</w:t>
            </w:r>
          </w:p>
        </w:tc>
        <w:tc>
          <w:tcPr>
            <w:tcW w:w="532" w:type="pct"/>
            <w:tcBorders>
              <w:top w:val="single" w:sz="4" w:space="0" w:color="auto"/>
              <w:bottom w:val="single" w:sz="4" w:space="0" w:color="auto"/>
            </w:tcBorders>
            <w:vAlign w:val="center"/>
          </w:tcPr>
          <w:p w14:paraId="0766C3C1"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0.0000</w:t>
            </w:r>
          </w:p>
        </w:tc>
        <w:tc>
          <w:tcPr>
            <w:tcW w:w="559" w:type="pct"/>
            <w:tcBorders>
              <w:top w:val="single" w:sz="4" w:space="0" w:color="auto"/>
              <w:bottom w:val="single" w:sz="4" w:space="0" w:color="auto"/>
            </w:tcBorders>
            <w:vAlign w:val="center"/>
          </w:tcPr>
          <w:p w14:paraId="0C707B9D"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1.3870</w:t>
            </w:r>
          </w:p>
        </w:tc>
        <w:tc>
          <w:tcPr>
            <w:tcW w:w="759" w:type="pct"/>
            <w:tcBorders>
              <w:top w:val="single" w:sz="4" w:space="0" w:color="auto"/>
              <w:bottom w:val="single" w:sz="4" w:space="0" w:color="auto"/>
              <w:right w:val="nil"/>
            </w:tcBorders>
            <w:vAlign w:val="center"/>
          </w:tcPr>
          <w:p w14:paraId="7D7BF041" w14:textId="37DF121A" w:rsidR="007D40EC" w:rsidRPr="009B67B6" w:rsidRDefault="00CE2CEA"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Significant</w:t>
            </w:r>
          </w:p>
        </w:tc>
      </w:tr>
      <w:tr w:rsidR="00330023" w:rsidRPr="009A3785" w14:paraId="5B1BAB2A" w14:textId="2836DF91" w:rsidTr="00162C98">
        <w:trPr>
          <w:trHeight w:val="341"/>
          <w:jc w:val="center"/>
        </w:trPr>
        <w:tc>
          <w:tcPr>
            <w:tcW w:w="1021" w:type="pct"/>
            <w:tcBorders>
              <w:top w:val="single" w:sz="4" w:space="0" w:color="auto"/>
              <w:left w:val="nil"/>
              <w:bottom w:val="single" w:sz="4" w:space="0" w:color="auto"/>
            </w:tcBorders>
            <w:vAlign w:val="center"/>
          </w:tcPr>
          <w:p w14:paraId="6BC5DB1B"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EG3 -&gt; EG</w:t>
            </w:r>
          </w:p>
        </w:tc>
        <w:tc>
          <w:tcPr>
            <w:tcW w:w="471" w:type="pct"/>
            <w:tcBorders>
              <w:top w:val="single" w:sz="4" w:space="0" w:color="auto"/>
              <w:bottom w:val="single" w:sz="4" w:space="0" w:color="auto"/>
            </w:tcBorders>
            <w:vAlign w:val="center"/>
          </w:tcPr>
          <w:p w14:paraId="20738223"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0.2970</w:t>
            </w:r>
          </w:p>
        </w:tc>
        <w:tc>
          <w:tcPr>
            <w:tcW w:w="628" w:type="pct"/>
            <w:tcBorders>
              <w:top w:val="single" w:sz="4" w:space="0" w:color="auto"/>
              <w:bottom w:val="single" w:sz="4" w:space="0" w:color="auto"/>
            </w:tcBorders>
            <w:vAlign w:val="center"/>
          </w:tcPr>
          <w:p w14:paraId="0A543EC7"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1.7940</w:t>
            </w:r>
          </w:p>
        </w:tc>
        <w:tc>
          <w:tcPr>
            <w:tcW w:w="498" w:type="pct"/>
            <w:tcBorders>
              <w:top w:val="single" w:sz="4" w:space="0" w:color="auto"/>
              <w:bottom w:val="single" w:sz="4" w:space="0" w:color="auto"/>
            </w:tcBorders>
            <w:vAlign w:val="center"/>
          </w:tcPr>
          <w:p w14:paraId="5CF90566"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0.0360</w:t>
            </w:r>
          </w:p>
        </w:tc>
        <w:tc>
          <w:tcPr>
            <w:tcW w:w="532" w:type="pct"/>
            <w:tcBorders>
              <w:top w:val="single" w:sz="4" w:space="0" w:color="auto"/>
              <w:bottom w:val="single" w:sz="4" w:space="0" w:color="auto"/>
            </w:tcBorders>
            <w:vAlign w:val="center"/>
          </w:tcPr>
          <w:p w14:paraId="5851013B"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0.6060</w:t>
            </w:r>
          </w:p>
        </w:tc>
        <w:tc>
          <w:tcPr>
            <w:tcW w:w="532" w:type="pct"/>
            <w:tcBorders>
              <w:top w:val="single" w:sz="4" w:space="0" w:color="auto"/>
              <w:bottom w:val="single" w:sz="4" w:space="0" w:color="auto"/>
            </w:tcBorders>
            <w:vAlign w:val="center"/>
          </w:tcPr>
          <w:p w14:paraId="36A912D8"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0.0000</w:t>
            </w:r>
          </w:p>
        </w:tc>
        <w:tc>
          <w:tcPr>
            <w:tcW w:w="559" w:type="pct"/>
            <w:tcBorders>
              <w:top w:val="single" w:sz="4" w:space="0" w:color="auto"/>
              <w:bottom w:val="single" w:sz="4" w:space="0" w:color="auto"/>
            </w:tcBorders>
            <w:vAlign w:val="center"/>
          </w:tcPr>
          <w:p w14:paraId="0F44BD37"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1.3210</w:t>
            </w:r>
          </w:p>
        </w:tc>
        <w:tc>
          <w:tcPr>
            <w:tcW w:w="759" w:type="pct"/>
            <w:tcBorders>
              <w:top w:val="single" w:sz="4" w:space="0" w:color="auto"/>
              <w:bottom w:val="single" w:sz="4" w:space="0" w:color="auto"/>
              <w:right w:val="nil"/>
            </w:tcBorders>
            <w:vAlign w:val="center"/>
          </w:tcPr>
          <w:p w14:paraId="5C2B8215" w14:textId="6A3278F7" w:rsidR="007D40EC" w:rsidRPr="009B67B6" w:rsidRDefault="00CE2CEA"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Significant</w:t>
            </w:r>
          </w:p>
        </w:tc>
      </w:tr>
      <w:tr w:rsidR="00330023" w:rsidRPr="009A3785" w14:paraId="1B52CCED" w14:textId="13F0B731" w:rsidTr="00162C98">
        <w:trPr>
          <w:trHeight w:val="341"/>
          <w:jc w:val="center"/>
        </w:trPr>
        <w:tc>
          <w:tcPr>
            <w:tcW w:w="1021" w:type="pct"/>
            <w:tcBorders>
              <w:top w:val="single" w:sz="4" w:space="0" w:color="auto"/>
              <w:left w:val="nil"/>
              <w:bottom w:val="single" w:sz="4" w:space="0" w:color="auto"/>
            </w:tcBorders>
            <w:vAlign w:val="center"/>
          </w:tcPr>
          <w:p w14:paraId="4F824F56"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EG4 -&gt; EG</w:t>
            </w:r>
          </w:p>
        </w:tc>
        <w:tc>
          <w:tcPr>
            <w:tcW w:w="471" w:type="pct"/>
            <w:tcBorders>
              <w:top w:val="single" w:sz="4" w:space="0" w:color="auto"/>
              <w:bottom w:val="single" w:sz="4" w:space="0" w:color="auto"/>
            </w:tcBorders>
            <w:vAlign w:val="center"/>
          </w:tcPr>
          <w:p w14:paraId="552A715B"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0.4210</w:t>
            </w:r>
          </w:p>
        </w:tc>
        <w:tc>
          <w:tcPr>
            <w:tcW w:w="628" w:type="pct"/>
            <w:tcBorders>
              <w:top w:val="single" w:sz="4" w:space="0" w:color="auto"/>
              <w:bottom w:val="single" w:sz="4" w:space="0" w:color="auto"/>
            </w:tcBorders>
            <w:vAlign w:val="center"/>
          </w:tcPr>
          <w:p w14:paraId="584B851A"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3.0290</w:t>
            </w:r>
          </w:p>
        </w:tc>
        <w:tc>
          <w:tcPr>
            <w:tcW w:w="498" w:type="pct"/>
            <w:tcBorders>
              <w:top w:val="single" w:sz="4" w:space="0" w:color="auto"/>
              <w:bottom w:val="single" w:sz="4" w:space="0" w:color="auto"/>
            </w:tcBorders>
            <w:vAlign w:val="center"/>
          </w:tcPr>
          <w:p w14:paraId="643E1680"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0.0010</w:t>
            </w:r>
          </w:p>
        </w:tc>
        <w:tc>
          <w:tcPr>
            <w:tcW w:w="532" w:type="pct"/>
            <w:tcBorders>
              <w:top w:val="single" w:sz="4" w:space="0" w:color="auto"/>
              <w:bottom w:val="single" w:sz="4" w:space="0" w:color="auto"/>
            </w:tcBorders>
            <w:vAlign w:val="center"/>
          </w:tcPr>
          <w:p w14:paraId="3CF22775"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0.7770</w:t>
            </w:r>
          </w:p>
        </w:tc>
        <w:tc>
          <w:tcPr>
            <w:tcW w:w="532" w:type="pct"/>
            <w:tcBorders>
              <w:top w:val="single" w:sz="4" w:space="0" w:color="auto"/>
              <w:bottom w:val="single" w:sz="4" w:space="0" w:color="auto"/>
            </w:tcBorders>
            <w:vAlign w:val="center"/>
          </w:tcPr>
          <w:p w14:paraId="30E0901E"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0.0000</w:t>
            </w:r>
          </w:p>
        </w:tc>
        <w:tc>
          <w:tcPr>
            <w:tcW w:w="559" w:type="pct"/>
            <w:tcBorders>
              <w:top w:val="single" w:sz="4" w:space="0" w:color="auto"/>
              <w:bottom w:val="single" w:sz="4" w:space="0" w:color="auto"/>
            </w:tcBorders>
            <w:vAlign w:val="center"/>
          </w:tcPr>
          <w:p w14:paraId="320595DB"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1.6610</w:t>
            </w:r>
          </w:p>
        </w:tc>
        <w:tc>
          <w:tcPr>
            <w:tcW w:w="759" w:type="pct"/>
            <w:tcBorders>
              <w:top w:val="single" w:sz="4" w:space="0" w:color="auto"/>
              <w:bottom w:val="single" w:sz="4" w:space="0" w:color="auto"/>
              <w:right w:val="nil"/>
            </w:tcBorders>
            <w:vAlign w:val="center"/>
          </w:tcPr>
          <w:p w14:paraId="14B081EF" w14:textId="2D577C2A" w:rsidR="007D40EC" w:rsidRPr="009B67B6" w:rsidRDefault="00CE2CEA"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Significant</w:t>
            </w:r>
          </w:p>
        </w:tc>
      </w:tr>
      <w:tr w:rsidR="00330023" w:rsidRPr="009A3785" w14:paraId="14348088" w14:textId="67C22739" w:rsidTr="00162C98">
        <w:trPr>
          <w:trHeight w:val="347"/>
          <w:jc w:val="center"/>
        </w:trPr>
        <w:tc>
          <w:tcPr>
            <w:tcW w:w="1021" w:type="pct"/>
            <w:tcBorders>
              <w:top w:val="single" w:sz="4" w:space="0" w:color="auto"/>
              <w:left w:val="nil"/>
              <w:bottom w:val="single" w:sz="4" w:space="0" w:color="auto"/>
            </w:tcBorders>
            <w:vAlign w:val="center"/>
          </w:tcPr>
          <w:p w14:paraId="528C55D2"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EG5 -&gt; EG</w:t>
            </w:r>
          </w:p>
        </w:tc>
        <w:tc>
          <w:tcPr>
            <w:tcW w:w="471" w:type="pct"/>
            <w:tcBorders>
              <w:top w:val="single" w:sz="4" w:space="0" w:color="auto"/>
              <w:bottom w:val="single" w:sz="4" w:space="0" w:color="auto"/>
            </w:tcBorders>
            <w:vAlign w:val="center"/>
          </w:tcPr>
          <w:p w14:paraId="6CC53C31"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-0.0280</w:t>
            </w:r>
          </w:p>
        </w:tc>
        <w:tc>
          <w:tcPr>
            <w:tcW w:w="628" w:type="pct"/>
            <w:tcBorders>
              <w:top w:val="single" w:sz="4" w:space="0" w:color="auto"/>
              <w:bottom w:val="single" w:sz="4" w:space="0" w:color="auto"/>
            </w:tcBorders>
            <w:vAlign w:val="center"/>
          </w:tcPr>
          <w:p w14:paraId="65A31B02"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0.1840</w:t>
            </w:r>
          </w:p>
        </w:tc>
        <w:tc>
          <w:tcPr>
            <w:tcW w:w="498" w:type="pct"/>
            <w:tcBorders>
              <w:top w:val="single" w:sz="4" w:space="0" w:color="auto"/>
              <w:bottom w:val="single" w:sz="4" w:space="0" w:color="auto"/>
            </w:tcBorders>
            <w:vAlign w:val="center"/>
          </w:tcPr>
          <w:p w14:paraId="3D501BA1"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0.4270</w:t>
            </w:r>
          </w:p>
        </w:tc>
        <w:tc>
          <w:tcPr>
            <w:tcW w:w="532" w:type="pct"/>
            <w:tcBorders>
              <w:top w:val="single" w:sz="4" w:space="0" w:color="auto"/>
              <w:bottom w:val="single" w:sz="4" w:space="0" w:color="auto"/>
            </w:tcBorders>
            <w:vAlign w:val="center"/>
          </w:tcPr>
          <w:p w14:paraId="4540CBA6"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0.4940</w:t>
            </w:r>
          </w:p>
        </w:tc>
        <w:tc>
          <w:tcPr>
            <w:tcW w:w="532" w:type="pct"/>
            <w:tcBorders>
              <w:top w:val="single" w:sz="4" w:space="0" w:color="auto"/>
              <w:bottom w:val="single" w:sz="4" w:space="0" w:color="auto"/>
            </w:tcBorders>
            <w:vAlign w:val="center"/>
          </w:tcPr>
          <w:p w14:paraId="61D1892D"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0.0000</w:t>
            </w:r>
          </w:p>
        </w:tc>
        <w:tc>
          <w:tcPr>
            <w:tcW w:w="559" w:type="pct"/>
            <w:tcBorders>
              <w:top w:val="single" w:sz="4" w:space="0" w:color="auto"/>
              <w:bottom w:val="single" w:sz="4" w:space="0" w:color="auto"/>
            </w:tcBorders>
            <w:vAlign w:val="center"/>
          </w:tcPr>
          <w:p w14:paraId="3E887670"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1.5350</w:t>
            </w:r>
          </w:p>
        </w:tc>
        <w:tc>
          <w:tcPr>
            <w:tcW w:w="759" w:type="pct"/>
            <w:tcBorders>
              <w:top w:val="single" w:sz="4" w:space="0" w:color="auto"/>
              <w:bottom w:val="single" w:sz="4" w:space="0" w:color="auto"/>
              <w:right w:val="nil"/>
            </w:tcBorders>
            <w:vAlign w:val="center"/>
          </w:tcPr>
          <w:p w14:paraId="1E67B46A" w14:textId="10432855" w:rsidR="007D40EC" w:rsidRPr="009B67B6" w:rsidRDefault="00CE2CEA"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Significant</w:t>
            </w:r>
          </w:p>
        </w:tc>
      </w:tr>
      <w:tr w:rsidR="00330023" w:rsidRPr="009A3785" w14:paraId="35E17DC3" w14:textId="0D668D19" w:rsidTr="00162C98">
        <w:trPr>
          <w:trHeight w:val="341"/>
          <w:jc w:val="center"/>
        </w:trPr>
        <w:tc>
          <w:tcPr>
            <w:tcW w:w="1021" w:type="pct"/>
            <w:tcBorders>
              <w:top w:val="single" w:sz="4" w:space="0" w:color="auto"/>
              <w:left w:val="nil"/>
              <w:bottom w:val="single" w:sz="4" w:space="0" w:color="auto"/>
            </w:tcBorders>
            <w:vAlign w:val="center"/>
          </w:tcPr>
          <w:p w14:paraId="3D338CB7"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ESI1 -&gt; ESI</w:t>
            </w:r>
          </w:p>
        </w:tc>
        <w:tc>
          <w:tcPr>
            <w:tcW w:w="471" w:type="pct"/>
            <w:tcBorders>
              <w:top w:val="single" w:sz="4" w:space="0" w:color="auto"/>
              <w:bottom w:val="single" w:sz="4" w:space="0" w:color="auto"/>
            </w:tcBorders>
            <w:vAlign w:val="center"/>
          </w:tcPr>
          <w:p w14:paraId="7DAA21DE"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0.2710</w:t>
            </w:r>
          </w:p>
        </w:tc>
        <w:tc>
          <w:tcPr>
            <w:tcW w:w="628" w:type="pct"/>
            <w:tcBorders>
              <w:top w:val="single" w:sz="4" w:space="0" w:color="auto"/>
              <w:bottom w:val="single" w:sz="4" w:space="0" w:color="auto"/>
            </w:tcBorders>
            <w:vAlign w:val="center"/>
          </w:tcPr>
          <w:p w14:paraId="02E2363E"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1.9670</w:t>
            </w:r>
          </w:p>
        </w:tc>
        <w:tc>
          <w:tcPr>
            <w:tcW w:w="498" w:type="pct"/>
            <w:tcBorders>
              <w:top w:val="single" w:sz="4" w:space="0" w:color="auto"/>
              <w:bottom w:val="single" w:sz="4" w:space="0" w:color="auto"/>
            </w:tcBorders>
            <w:vAlign w:val="center"/>
          </w:tcPr>
          <w:p w14:paraId="3B478DEA"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0.0250</w:t>
            </w:r>
          </w:p>
        </w:tc>
        <w:tc>
          <w:tcPr>
            <w:tcW w:w="532" w:type="pct"/>
            <w:tcBorders>
              <w:top w:val="single" w:sz="4" w:space="0" w:color="auto"/>
              <w:bottom w:val="single" w:sz="4" w:space="0" w:color="auto"/>
            </w:tcBorders>
            <w:vAlign w:val="center"/>
          </w:tcPr>
          <w:p w14:paraId="431C15FD"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0.5130</w:t>
            </w:r>
          </w:p>
        </w:tc>
        <w:tc>
          <w:tcPr>
            <w:tcW w:w="532" w:type="pct"/>
            <w:tcBorders>
              <w:top w:val="single" w:sz="4" w:space="0" w:color="auto"/>
              <w:bottom w:val="single" w:sz="4" w:space="0" w:color="auto"/>
            </w:tcBorders>
            <w:vAlign w:val="center"/>
          </w:tcPr>
          <w:p w14:paraId="27845C6F"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0.0000</w:t>
            </w:r>
          </w:p>
        </w:tc>
        <w:tc>
          <w:tcPr>
            <w:tcW w:w="559" w:type="pct"/>
            <w:tcBorders>
              <w:top w:val="single" w:sz="4" w:space="0" w:color="auto"/>
              <w:bottom w:val="single" w:sz="4" w:space="0" w:color="auto"/>
            </w:tcBorders>
            <w:vAlign w:val="center"/>
          </w:tcPr>
          <w:p w14:paraId="1BDAD9C8"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1.2530</w:t>
            </w:r>
          </w:p>
        </w:tc>
        <w:tc>
          <w:tcPr>
            <w:tcW w:w="759" w:type="pct"/>
            <w:tcBorders>
              <w:top w:val="single" w:sz="4" w:space="0" w:color="auto"/>
              <w:bottom w:val="single" w:sz="4" w:space="0" w:color="auto"/>
              <w:right w:val="nil"/>
            </w:tcBorders>
            <w:vAlign w:val="center"/>
          </w:tcPr>
          <w:p w14:paraId="323FBD8B" w14:textId="7B6F0CE2" w:rsidR="007D40EC" w:rsidRPr="009B67B6" w:rsidRDefault="00CE2CEA"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Significant</w:t>
            </w:r>
          </w:p>
        </w:tc>
      </w:tr>
      <w:tr w:rsidR="00330023" w:rsidRPr="009A3785" w14:paraId="0EC04257" w14:textId="41DB7E0F" w:rsidTr="00162C98">
        <w:trPr>
          <w:trHeight w:val="341"/>
          <w:jc w:val="center"/>
        </w:trPr>
        <w:tc>
          <w:tcPr>
            <w:tcW w:w="1021" w:type="pct"/>
            <w:tcBorders>
              <w:top w:val="single" w:sz="4" w:space="0" w:color="auto"/>
              <w:left w:val="nil"/>
              <w:bottom w:val="single" w:sz="4" w:space="0" w:color="auto"/>
            </w:tcBorders>
            <w:vAlign w:val="center"/>
          </w:tcPr>
          <w:p w14:paraId="26A26CD8"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ESI2 -&gt; ESI</w:t>
            </w:r>
          </w:p>
        </w:tc>
        <w:tc>
          <w:tcPr>
            <w:tcW w:w="471" w:type="pct"/>
            <w:tcBorders>
              <w:top w:val="single" w:sz="4" w:space="0" w:color="auto"/>
              <w:bottom w:val="single" w:sz="4" w:space="0" w:color="auto"/>
            </w:tcBorders>
            <w:vAlign w:val="center"/>
          </w:tcPr>
          <w:p w14:paraId="40366D7D"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0.0650</w:t>
            </w:r>
          </w:p>
        </w:tc>
        <w:tc>
          <w:tcPr>
            <w:tcW w:w="628" w:type="pct"/>
            <w:tcBorders>
              <w:top w:val="single" w:sz="4" w:space="0" w:color="auto"/>
              <w:bottom w:val="single" w:sz="4" w:space="0" w:color="auto"/>
            </w:tcBorders>
            <w:vAlign w:val="center"/>
          </w:tcPr>
          <w:p w14:paraId="03133825"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0.3930</w:t>
            </w:r>
          </w:p>
        </w:tc>
        <w:tc>
          <w:tcPr>
            <w:tcW w:w="498" w:type="pct"/>
            <w:tcBorders>
              <w:top w:val="single" w:sz="4" w:space="0" w:color="auto"/>
              <w:bottom w:val="single" w:sz="4" w:space="0" w:color="auto"/>
            </w:tcBorders>
            <w:vAlign w:val="center"/>
          </w:tcPr>
          <w:p w14:paraId="135D8DDB"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0.3470</w:t>
            </w:r>
          </w:p>
        </w:tc>
        <w:tc>
          <w:tcPr>
            <w:tcW w:w="532" w:type="pct"/>
            <w:tcBorders>
              <w:top w:val="single" w:sz="4" w:space="0" w:color="auto"/>
              <w:bottom w:val="single" w:sz="4" w:space="0" w:color="auto"/>
            </w:tcBorders>
            <w:vAlign w:val="center"/>
          </w:tcPr>
          <w:p w14:paraId="0717B6B3"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0.4520</w:t>
            </w:r>
          </w:p>
        </w:tc>
        <w:tc>
          <w:tcPr>
            <w:tcW w:w="532" w:type="pct"/>
            <w:tcBorders>
              <w:top w:val="single" w:sz="4" w:space="0" w:color="auto"/>
              <w:bottom w:val="single" w:sz="4" w:space="0" w:color="auto"/>
            </w:tcBorders>
            <w:vAlign w:val="center"/>
          </w:tcPr>
          <w:p w14:paraId="33C8949F"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0.0020</w:t>
            </w:r>
          </w:p>
        </w:tc>
        <w:tc>
          <w:tcPr>
            <w:tcW w:w="559" w:type="pct"/>
            <w:tcBorders>
              <w:top w:val="single" w:sz="4" w:space="0" w:color="auto"/>
              <w:bottom w:val="single" w:sz="4" w:space="0" w:color="auto"/>
            </w:tcBorders>
            <w:vAlign w:val="center"/>
          </w:tcPr>
          <w:p w14:paraId="30FA55F4"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1.3060</w:t>
            </w:r>
          </w:p>
        </w:tc>
        <w:tc>
          <w:tcPr>
            <w:tcW w:w="759" w:type="pct"/>
            <w:tcBorders>
              <w:top w:val="single" w:sz="4" w:space="0" w:color="auto"/>
              <w:bottom w:val="single" w:sz="4" w:space="0" w:color="auto"/>
              <w:right w:val="nil"/>
            </w:tcBorders>
            <w:vAlign w:val="center"/>
          </w:tcPr>
          <w:p w14:paraId="1C7FD001" w14:textId="6E4E294B" w:rsidR="007D40EC" w:rsidRPr="009B67B6" w:rsidRDefault="00CE2CEA"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Significant</w:t>
            </w:r>
          </w:p>
        </w:tc>
      </w:tr>
      <w:tr w:rsidR="00330023" w:rsidRPr="009A3785" w14:paraId="363ECCB0" w14:textId="2C4C7EC2" w:rsidTr="00162C98">
        <w:trPr>
          <w:trHeight w:val="347"/>
          <w:jc w:val="center"/>
        </w:trPr>
        <w:tc>
          <w:tcPr>
            <w:tcW w:w="1021" w:type="pct"/>
            <w:tcBorders>
              <w:top w:val="single" w:sz="4" w:space="0" w:color="auto"/>
              <w:left w:val="nil"/>
              <w:bottom w:val="single" w:sz="4" w:space="0" w:color="auto"/>
            </w:tcBorders>
            <w:vAlign w:val="center"/>
          </w:tcPr>
          <w:p w14:paraId="00BDCF23"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ESI3 -&gt; ESI</w:t>
            </w:r>
          </w:p>
        </w:tc>
        <w:tc>
          <w:tcPr>
            <w:tcW w:w="471" w:type="pct"/>
            <w:tcBorders>
              <w:top w:val="single" w:sz="4" w:space="0" w:color="auto"/>
              <w:bottom w:val="single" w:sz="4" w:space="0" w:color="auto"/>
            </w:tcBorders>
            <w:vAlign w:val="center"/>
          </w:tcPr>
          <w:p w14:paraId="0CC028CA"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0.2610</w:t>
            </w:r>
          </w:p>
        </w:tc>
        <w:tc>
          <w:tcPr>
            <w:tcW w:w="628" w:type="pct"/>
            <w:tcBorders>
              <w:top w:val="single" w:sz="4" w:space="0" w:color="auto"/>
              <w:bottom w:val="single" w:sz="4" w:space="0" w:color="auto"/>
            </w:tcBorders>
            <w:vAlign w:val="center"/>
          </w:tcPr>
          <w:p w14:paraId="42E99444"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1.7210</w:t>
            </w:r>
          </w:p>
        </w:tc>
        <w:tc>
          <w:tcPr>
            <w:tcW w:w="498" w:type="pct"/>
            <w:tcBorders>
              <w:top w:val="single" w:sz="4" w:space="0" w:color="auto"/>
              <w:bottom w:val="single" w:sz="4" w:space="0" w:color="auto"/>
            </w:tcBorders>
            <w:vAlign w:val="center"/>
          </w:tcPr>
          <w:p w14:paraId="15E9D39A"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0.0430</w:t>
            </w:r>
          </w:p>
        </w:tc>
        <w:tc>
          <w:tcPr>
            <w:tcW w:w="532" w:type="pct"/>
            <w:tcBorders>
              <w:top w:val="single" w:sz="4" w:space="0" w:color="auto"/>
              <w:bottom w:val="single" w:sz="4" w:space="0" w:color="auto"/>
            </w:tcBorders>
            <w:vAlign w:val="center"/>
          </w:tcPr>
          <w:p w14:paraId="4667837A"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0.7440</w:t>
            </w:r>
          </w:p>
        </w:tc>
        <w:tc>
          <w:tcPr>
            <w:tcW w:w="532" w:type="pct"/>
            <w:tcBorders>
              <w:top w:val="single" w:sz="4" w:space="0" w:color="auto"/>
              <w:bottom w:val="single" w:sz="4" w:space="0" w:color="auto"/>
            </w:tcBorders>
            <w:vAlign w:val="center"/>
          </w:tcPr>
          <w:p w14:paraId="0C2BB292"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0.0000</w:t>
            </w:r>
          </w:p>
        </w:tc>
        <w:tc>
          <w:tcPr>
            <w:tcW w:w="559" w:type="pct"/>
            <w:tcBorders>
              <w:top w:val="single" w:sz="4" w:space="0" w:color="auto"/>
              <w:bottom w:val="single" w:sz="4" w:space="0" w:color="auto"/>
            </w:tcBorders>
            <w:vAlign w:val="center"/>
          </w:tcPr>
          <w:p w14:paraId="036E36F3"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1.5470</w:t>
            </w:r>
          </w:p>
        </w:tc>
        <w:tc>
          <w:tcPr>
            <w:tcW w:w="759" w:type="pct"/>
            <w:tcBorders>
              <w:top w:val="single" w:sz="4" w:space="0" w:color="auto"/>
              <w:bottom w:val="single" w:sz="4" w:space="0" w:color="auto"/>
              <w:right w:val="nil"/>
            </w:tcBorders>
            <w:vAlign w:val="center"/>
          </w:tcPr>
          <w:p w14:paraId="0DA7A0B6" w14:textId="4793115D" w:rsidR="007D40EC" w:rsidRPr="009B67B6" w:rsidRDefault="00CE2CEA"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Significant</w:t>
            </w:r>
          </w:p>
        </w:tc>
      </w:tr>
      <w:tr w:rsidR="00330023" w:rsidRPr="009A3785" w14:paraId="0AD411A3" w14:textId="5B785FAE" w:rsidTr="00162C98">
        <w:trPr>
          <w:trHeight w:val="287"/>
          <w:jc w:val="center"/>
        </w:trPr>
        <w:tc>
          <w:tcPr>
            <w:tcW w:w="1021" w:type="pct"/>
            <w:tcBorders>
              <w:top w:val="single" w:sz="4" w:space="0" w:color="auto"/>
              <w:left w:val="nil"/>
              <w:bottom w:val="single" w:sz="4" w:space="0" w:color="auto"/>
            </w:tcBorders>
            <w:vAlign w:val="center"/>
          </w:tcPr>
          <w:p w14:paraId="223F4F8F"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ESI4 -&gt; ESI</w:t>
            </w:r>
          </w:p>
        </w:tc>
        <w:tc>
          <w:tcPr>
            <w:tcW w:w="471" w:type="pct"/>
            <w:tcBorders>
              <w:top w:val="single" w:sz="4" w:space="0" w:color="auto"/>
              <w:bottom w:val="single" w:sz="4" w:space="0" w:color="auto"/>
            </w:tcBorders>
            <w:vAlign w:val="center"/>
          </w:tcPr>
          <w:p w14:paraId="71DBEFB2"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0.6940</w:t>
            </w:r>
          </w:p>
        </w:tc>
        <w:tc>
          <w:tcPr>
            <w:tcW w:w="628" w:type="pct"/>
            <w:tcBorders>
              <w:top w:val="single" w:sz="4" w:space="0" w:color="auto"/>
              <w:bottom w:val="single" w:sz="4" w:space="0" w:color="auto"/>
            </w:tcBorders>
            <w:vAlign w:val="center"/>
          </w:tcPr>
          <w:p w14:paraId="1D877C33"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4.9750</w:t>
            </w:r>
          </w:p>
        </w:tc>
        <w:tc>
          <w:tcPr>
            <w:tcW w:w="498" w:type="pct"/>
            <w:tcBorders>
              <w:top w:val="single" w:sz="4" w:space="0" w:color="auto"/>
              <w:bottom w:val="single" w:sz="4" w:space="0" w:color="auto"/>
            </w:tcBorders>
            <w:vAlign w:val="center"/>
          </w:tcPr>
          <w:p w14:paraId="71B45FCE"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0.0000</w:t>
            </w:r>
          </w:p>
        </w:tc>
        <w:tc>
          <w:tcPr>
            <w:tcW w:w="532" w:type="pct"/>
            <w:tcBorders>
              <w:top w:val="single" w:sz="4" w:space="0" w:color="auto"/>
              <w:bottom w:val="single" w:sz="4" w:space="0" w:color="auto"/>
            </w:tcBorders>
            <w:vAlign w:val="center"/>
          </w:tcPr>
          <w:p w14:paraId="2FCC5347"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0.9190</w:t>
            </w:r>
          </w:p>
        </w:tc>
        <w:tc>
          <w:tcPr>
            <w:tcW w:w="532" w:type="pct"/>
            <w:tcBorders>
              <w:top w:val="single" w:sz="4" w:space="0" w:color="auto"/>
              <w:bottom w:val="single" w:sz="4" w:space="0" w:color="auto"/>
            </w:tcBorders>
            <w:vAlign w:val="center"/>
          </w:tcPr>
          <w:p w14:paraId="4CA3A4EE"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0.0000</w:t>
            </w:r>
          </w:p>
        </w:tc>
        <w:tc>
          <w:tcPr>
            <w:tcW w:w="559" w:type="pct"/>
            <w:tcBorders>
              <w:top w:val="single" w:sz="4" w:space="0" w:color="auto"/>
              <w:bottom w:val="single" w:sz="4" w:space="0" w:color="auto"/>
            </w:tcBorders>
            <w:vAlign w:val="center"/>
          </w:tcPr>
          <w:p w14:paraId="3CFB2C02" w14:textId="77777777" w:rsidR="007D40EC" w:rsidRPr="009B67B6" w:rsidRDefault="007D40EC"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1.5100</w:t>
            </w:r>
          </w:p>
        </w:tc>
        <w:tc>
          <w:tcPr>
            <w:tcW w:w="759" w:type="pct"/>
            <w:tcBorders>
              <w:top w:val="single" w:sz="4" w:space="0" w:color="auto"/>
              <w:bottom w:val="single" w:sz="4" w:space="0" w:color="auto"/>
              <w:right w:val="nil"/>
            </w:tcBorders>
            <w:vAlign w:val="center"/>
          </w:tcPr>
          <w:p w14:paraId="33FB85DB" w14:textId="700E0502" w:rsidR="007D40EC" w:rsidRPr="009B67B6" w:rsidRDefault="00CE2CEA" w:rsidP="00330023">
            <w:pPr>
              <w:snapToGrid w:val="0"/>
              <w:spacing w:line="300" w:lineRule="exact"/>
              <w:jc w:val="center"/>
              <w:rPr>
                <w:rFonts w:asciiTheme="majorBidi" w:eastAsia="新細明體" w:hAnsiTheme="majorBidi" w:cstheme="majorBidi"/>
                <w:sz w:val="18"/>
                <w:szCs w:val="18"/>
                <w:lang w:val="en-US" w:eastAsia="zh-TW"/>
              </w:rPr>
            </w:pPr>
            <w:r w:rsidRPr="009B67B6">
              <w:rPr>
                <w:rFonts w:asciiTheme="majorBidi" w:eastAsia="新細明體" w:hAnsiTheme="majorBidi" w:cstheme="majorBidi"/>
                <w:sz w:val="18"/>
                <w:szCs w:val="18"/>
                <w:lang w:val="en-US" w:eastAsia="zh-TW"/>
              </w:rPr>
              <w:t>Significant</w:t>
            </w:r>
          </w:p>
        </w:tc>
      </w:tr>
    </w:tbl>
    <w:p w14:paraId="04B54394" w14:textId="6661619B" w:rsidR="00596889" w:rsidRPr="00B744D5" w:rsidRDefault="00596889" w:rsidP="00824E69">
      <w:pPr>
        <w:autoSpaceDE w:val="0"/>
        <w:autoSpaceDN w:val="0"/>
        <w:adjustRightInd w:val="0"/>
        <w:snapToGrid w:val="0"/>
        <w:spacing w:line="300" w:lineRule="auto"/>
        <w:jc w:val="both"/>
        <w:rPr>
          <w:bCs/>
          <w:sz w:val="26"/>
          <w:szCs w:val="26"/>
          <w:lang w:val="en-US" w:eastAsia="en-AU"/>
        </w:rPr>
      </w:pPr>
      <w:r w:rsidRPr="00B366EF">
        <w:rPr>
          <w:b/>
          <w:i/>
          <w:iCs/>
          <w:sz w:val="26"/>
          <w:szCs w:val="26"/>
          <w:lang w:val="en-US" w:eastAsia="en-AU"/>
        </w:rPr>
        <w:t>Source</w:t>
      </w:r>
      <w:r w:rsidR="00824E69" w:rsidRPr="00B366EF">
        <w:rPr>
          <w:b/>
          <w:i/>
          <w:iCs/>
          <w:sz w:val="26"/>
          <w:szCs w:val="26"/>
          <w:lang w:val="en-US" w:eastAsia="en-AU"/>
        </w:rPr>
        <w:t>.</w:t>
      </w:r>
      <w:r w:rsidRPr="00B744D5">
        <w:rPr>
          <w:bCs/>
          <w:sz w:val="26"/>
          <w:szCs w:val="26"/>
          <w:lang w:val="en-US" w:eastAsia="en-AU"/>
        </w:rPr>
        <w:t xml:space="preserve"> Generated by </w:t>
      </w:r>
      <w:r w:rsidR="00636098">
        <w:rPr>
          <w:bCs/>
          <w:sz w:val="26"/>
          <w:szCs w:val="26"/>
          <w:lang w:val="en-US" w:eastAsia="en-AU"/>
        </w:rPr>
        <w:t xml:space="preserve">the </w:t>
      </w:r>
      <w:r w:rsidRPr="00B744D5">
        <w:rPr>
          <w:bCs/>
          <w:sz w:val="26"/>
          <w:szCs w:val="26"/>
          <w:lang w:val="en-US" w:eastAsia="en-AU"/>
        </w:rPr>
        <w:t>author</w:t>
      </w:r>
      <w:r w:rsidR="001C282C">
        <w:rPr>
          <w:bCs/>
          <w:sz w:val="26"/>
          <w:szCs w:val="26"/>
          <w:lang w:val="en-US" w:eastAsia="en-AU"/>
        </w:rPr>
        <w:t>s</w:t>
      </w:r>
      <w:r w:rsidRPr="00B744D5">
        <w:rPr>
          <w:bCs/>
          <w:sz w:val="26"/>
          <w:szCs w:val="26"/>
          <w:lang w:val="en-US" w:eastAsia="en-AU"/>
        </w:rPr>
        <w:t xml:space="preserve"> using </w:t>
      </w:r>
      <w:proofErr w:type="spellStart"/>
      <w:r w:rsidRPr="00B744D5">
        <w:rPr>
          <w:bCs/>
          <w:sz w:val="26"/>
          <w:szCs w:val="26"/>
          <w:lang w:val="en-US" w:eastAsia="en-AU"/>
        </w:rPr>
        <w:t>SmartPLS</w:t>
      </w:r>
      <w:proofErr w:type="spellEnd"/>
      <w:r w:rsidRPr="00B744D5">
        <w:rPr>
          <w:bCs/>
          <w:sz w:val="26"/>
          <w:szCs w:val="26"/>
          <w:lang w:val="en-US" w:eastAsia="en-AU"/>
        </w:rPr>
        <w:t xml:space="preserve"> ® software</w:t>
      </w:r>
    </w:p>
    <w:p w14:paraId="784FBDA5" w14:textId="77777777" w:rsidR="006B1EBC" w:rsidRPr="009A3785" w:rsidRDefault="006B1EBC" w:rsidP="00824E69">
      <w:pPr>
        <w:autoSpaceDE w:val="0"/>
        <w:autoSpaceDN w:val="0"/>
        <w:adjustRightInd w:val="0"/>
        <w:snapToGrid w:val="0"/>
        <w:spacing w:line="300" w:lineRule="auto"/>
        <w:jc w:val="both"/>
        <w:rPr>
          <w:sz w:val="26"/>
          <w:szCs w:val="26"/>
          <w:lang w:val="en-US" w:eastAsia="en-AU"/>
        </w:rPr>
      </w:pPr>
    </w:p>
    <w:p w14:paraId="5D0FFCA6" w14:textId="32919786" w:rsidR="0023666F" w:rsidRPr="009A3785" w:rsidRDefault="007A58F0" w:rsidP="00824E69">
      <w:pPr>
        <w:autoSpaceDE w:val="0"/>
        <w:autoSpaceDN w:val="0"/>
        <w:adjustRightInd w:val="0"/>
        <w:snapToGrid w:val="0"/>
        <w:spacing w:line="300" w:lineRule="auto"/>
        <w:jc w:val="center"/>
        <w:rPr>
          <w:b/>
          <w:sz w:val="26"/>
          <w:szCs w:val="26"/>
          <w:lang w:eastAsia="en-AU"/>
        </w:rPr>
      </w:pPr>
      <w:r w:rsidRPr="009A3785">
        <w:rPr>
          <w:b/>
          <w:sz w:val="26"/>
          <w:szCs w:val="26"/>
          <w:lang w:eastAsia="en-AU"/>
        </w:rPr>
        <w:t>DISCUSSION</w:t>
      </w:r>
    </w:p>
    <w:bookmarkEnd w:id="10"/>
    <w:p w14:paraId="18291FB6" w14:textId="34482B49" w:rsidR="007A58F0" w:rsidRPr="009A3785" w:rsidRDefault="007A58F0"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 xml:space="preserve">The outcome of the current study demonstrates the diverse impact that circular supply chain enablers and environmental sustainability initiatives have on the economic growth of Moroccan textile companies. </w:t>
      </w:r>
      <w:r w:rsidR="00636098">
        <w:rPr>
          <w:sz w:val="26"/>
          <w:szCs w:val="26"/>
          <w:lang w:val="en-US"/>
        </w:rPr>
        <w:t>According to</w:t>
      </w:r>
      <w:r w:rsidRPr="009A3785">
        <w:rPr>
          <w:sz w:val="26"/>
          <w:szCs w:val="26"/>
          <w:lang w:val="en-US"/>
        </w:rPr>
        <w:t xml:space="preserve"> the research results based on Structural Equation Modeling (SEM), certain observed variables have a positive and significant effect, while others have no effect.</w:t>
      </w:r>
    </w:p>
    <w:p w14:paraId="60BA161B" w14:textId="717B7C33" w:rsidR="00854B20" w:rsidRPr="009A3785" w:rsidRDefault="00854B20"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 xml:space="preserve">The results herein suggest that Circular supply chain design (CSCE1) is valuable for promoting economic growth. The shift to a circular supply chain </w:t>
      </w:r>
      <w:r w:rsidR="00636098">
        <w:rPr>
          <w:sz w:val="26"/>
          <w:szCs w:val="26"/>
          <w:lang w:val="en-US"/>
        </w:rPr>
        <w:t>necessitat</w:t>
      </w:r>
      <w:r w:rsidRPr="009A3785">
        <w:rPr>
          <w:sz w:val="26"/>
          <w:szCs w:val="26"/>
          <w:lang w:val="en-US"/>
        </w:rPr>
        <w:t xml:space="preserve">es a restorative and regenerative redesign of supply chain networks </w:t>
      </w:r>
      <w:r w:rsidRPr="009A3785">
        <w:rPr>
          <w:sz w:val="26"/>
          <w:szCs w:val="26"/>
          <w:lang w:val="en-US"/>
        </w:rPr>
        <w:fldChar w:fldCharType="begin"/>
      </w:r>
      <w:r w:rsidRPr="009A3785">
        <w:rPr>
          <w:sz w:val="26"/>
          <w:szCs w:val="26"/>
          <w:lang w:val="en-US"/>
        </w:rPr>
        <w:instrText xml:space="preserve"> ADDIN ZOTERO_ITEM CSL_CITATION {"citationID":"RhIzu01S","properties":{"formattedCitation":"(Bassi &amp; Dias, 2020; Brown &amp; Bajada, 2018; Pagoropoulos et al., 2017)","plainCitation":"(Bassi &amp; Dias, 2020; Brown &amp; Bajada, 2018; Pagoropoulos et al., 2017)","dontUpdate":true,"noteIndex":0},"citationItems":[{"id":3030,"uris":["http://zotero.org/users/local/Alzi7ROo/items/2CAEB6MB"],"itemData":{"id":3030,"type":"article-journal","abstract":"Abstract\n            This paper focuses on the implementation of circular economy (CE) practices in small‐ and medium‐sized firms in all 28 European Union (EU) countries. The analyses take into account the hierarchical nature of the collected data as firms are nested within EU countries, that is, the heterogeneity between different types of firms and countries according to practices and attitudes towards CE. The multilevel latent class model identifies groups of firms and groups of EU countries that are homogeneous in terms of CE, that is, how the homogeneous groups of small‐ and medium‐sized enterprises (SMEs) are distributed across the groups of EU countries. These results, together with the fact that firms with similar CE attitudes and practices have different demographic and business profiles across groups of countries, shed further light on the topic of green behavior in the EU with implications for businesses' environmental policies. Moreover, indications emerge that European policies favoring the implementation of CE practices should be targeted at least for subgroups of European countries, considering the different composition by typology of SMEs operating in their territories and that, at the same time, policies should be defined within each group of countries to account for the specific features of each of the four classes of SMEs.","container-title":"Business Strategy and the Environment","DOI":"10.1002/bse.2518","ISSN":"0964-4733, 1099-0836","issue":"6","journalAbbreviation":"Bus Strat Env","language":"en","page":"2528-2541","source":"DOI.org (Crossref)","title":"Sustainable development of small‐ and medium‐sized enterprises in the European Union: A taxonomy of circular economy practices","title-short":"Sustainable development of small‐ and medium‐sized enterprises in the European Union","volume":"29","author":[{"family":"Bassi","given":"Francesca"},{"family":"Dias","given":"José G."}],"issued":{"date-parts":[["2020",9]]}}},{"id":3032,"uris":["http://zotero.org/users/local/Alzi7ROo/items/J6Y6L7ZB"],"itemData":{"id":3032,"type":"article-journal","container-title":"Business Strategy and the Environment","issue":"5","note":"publisher: Wiley Online Library","page":"643–655","source":"Google Scholar","title":"An economic model of circular supply network dynamics: Toward an understanding of performance measurement in the context of multiple stakeholders","title-short":"An economic model of circular supply network dynamics","volume":"27","author":[{"family":"Brown","given":"Paul James"},{"family":"Bajada","given":"Christopher"}],"issued":{"date-parts":[["2018"]]}}},{"id":38,"uris":["http://zotero.org/users/local/Alzi7ROo/items/EWV3JLLJ"],"itemData":{"id":38,"type":"article-journal","container-title":"Procedia CIRP","note":"publisher: Elsevier","page":"19–24","source":"Google Scholar","title":"The emergent role of digital technologies in the Circular Economy: A review","title-short":"The emergent role of digital technologies in the Circular Economy","volume":"64","author":[{"family":"Pagoropoulos","given":"Aris"},{"family":"Pigosso","given":"Daniela CA"},{"family":"McAloone","given":"Tim C."}],"issued":{"date-parts":[["2017"]]}}}],"schema":"https://github.com/citation-style-language/schema/raw/master/csl-citation.json"} </w:instrText>
      </w:r>
      <w:r w:rsidRPr="009A3785">
        <w:rPr>
          <w:sz w:val="26"/>
          <w:szCs w:val="26"/>
          <w:lang w:val="en-US"/>
        </w:rPr>
        <w:fldChar w:fldCharType="separate"/>
      </w:r>
      <w:r w:rsidRPr="009A3785">
        <w:rPr>
          <w:sz w:val="26"/>
          <w:szCs w:val="26"/>
          <w:lang w:val="en-US"/>
        </w:rPr>
        <w:t>(Bassi</w:t>
      </w:r>
      <w:r w:rsidR="00F67E74" w:rsidRPr="009A3785">
        <w:rPr>
          <w:sz w:val="26"/>
          <w:szCs w:val="26"/>
          <w:lang w:val="en-US"/>
        </w:rPr>
        <w:t xml:space="preserve"> &amp;</w:t>
      </w:r>
      <w:r w:rsidRPr="009A3785">
        <w:rPr>
          <w:sz w:val="26"/>
          <w:szCs w:val="26"/>
          <w:lang w:val="en-US"/>
        </w:rPr>
        <w:t xml:space="preserve"> Dias, 2020; Brown </w:t>
      </w:r>
      <w:r w:rsidR="009C7AC7" w:rsidRPr="009A3785">
        <w:rPr>
          <w:sz w:val="26"/>
          <w:szCs w:val="26"/>
          <w:lang w:val="en-US"/>
        </w:rPr>
        <w:t xml:space="preserve">&amp; </w:t>
      </w:r>
      <w:r w:rsidRPr="009A3785">
        <w:rPr>
          <w:sz w:val="26"/>
          <w:szCs w:val="26"/>
          <w:lang w:val="en-US"/>
        </w:rPr>
        <w:t>Bajada, 2018; Pagoropoulos et al., 2017)</w:t>
      </w:r>
      <w:r w:rsidRPr="009A3785">
        <w:rPr>
          <w:sz w:val="26"/>
          <w:szCs w:val="26"/>
          <w:lang w:val="en-US"/>
        </w:rPr>
        <w:fldChar w:fldCharType="end"/>
      </w:r>
      <w:r w:rsidR="00636098">
        <w:rPr>
          <w:sz w:val="26"/>
          <w:szCs w:val="26"/>
          <w:lang w:val="en-US"/>
        </w:rPr>
        <w:t>,</w:t>
      </w:r>
      <w:r w:rsidRPr="009A3785">
        <w:rPr>
          <w:sz w:val="26"/>
          <w:szCs w:val="26"/>
          <w:lang w:val="en-US"/>
        </w:rPr>
        <w:t xml:space="preserve"> </w:t>
      </w:r>
      <w:r w:rsidR="00636098">
        <w:rPr>
          <w:sz w:val="26"/>
          <w:szCs w:val="26"/>
          <w:lang w:val="en-US"/>
        </w:rPr>
        <w:t>ensuring</w:t>
      </w:r>
      <w:r w:rsidRPr="009A3785">
        <w:rPr>
          <w:sz w:val="26"/>
          <w:szCs w:val="26"/>
          <w:lang w:val="en-US"/>
        </w:rPr>
        <w:t xml:space="preserve"> sustainability, increas</w:t>
      </w:r>
      <w:r w:rsidR="00636098">
        <w:rPr>
          <w:sz w:val="26"/>
          <w:szCs w:val="26"/>
          <w:lang w:val="en-US"/>
        </w:rPr>
        <w:t>ing</w:t>
      </w:r>
      <w:r w:rsidRPr="009A3785">
        <w:rPr>
          <w:sz w:val="26"/>
          <w:szCs w:val="26"/>
          <w:lang w:val="en-US"/>
        </w:rPr>
        <w:t xml:space="preserve"> profitability, and creat</w:t>
      </w:r>
      <w:r w:rsidR="00636098">
        <w:rPr>
          <w:sz w:val="26"/>
          <w:szCs w:val="26"/>
          <w:lang w:val="en-US"/>
        </w:rPr>
        <w:t>ing</w:t>
      </w:r>
      <w:r w:rsidRPr="009A3785">
        <w:rPr>
          <w:sz w:val="26"/>
          <w:szCs w:val="26"/>
          <w:lang w:val="en-US"/>
        </w:rPr>
        <w:t xml:space="preserve"> potential for various products through the efficient use of resources </w:t>
      </w:r>
      <w:r w:rsidR="00636098">
        <w:rPr>
          <w:sz w:val="26"/>
          <w:szCs w:val="26"/>
          <w:lang w:val="en-US"/>
        </w:rPr>
        <w:t>with</w:t>
      </w:r>
      <w:r w:rsidRPr="009A3785">
        <w:rPr>
          <w:sz w:val="26"/>
          <w:szCs w:val="26"/>
          <w:lang w:val="en-US"/>
        </w:rPr>
        <w:t xml:space="preserve">in the chain. Thus, Circular supply chain design </w:t>
      </w:r>
      <w:proofErr w:type="gramStart"/>
      <w:r w:rsidRPr="009A3785">
        <w:rPr>
          <w:sz w:val="26"/>
          <w:szCs w:val="26"/>
          <w:lang w:val="en-US"/>
        </w:rPr>
        <w:t>has to</w:t>
      </w:r>
      <w:proofErr w:type="gramEnd"/>
      <w:r w:rsidRPr="009A3785">
        <w:rPr>
          <w:sz w:val="26"/>
          <w:szCs w:val="26"/>
          <w:lang w:val="en-US"/>
        </w:rPr>
        <w:t xml:space="preserve"> be placed at the heart of organizational strategies to improve efficiency, control costs, and generate genuine value.</w:t>
      </w:r>
    </w:p>
    <w:p w14:paraId="156EDC86" w14:textId="47E32054" w:rsidR="00690C26" w:rsidRPr="009A3785" w:rsidRDefault="00690C26"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Circular supply chain relationship management (CSCE4) is also pivotal in economic growth. The aspect that companies choose suppliers who are ready to work with them to meet the strategic goals of sustainable value within a circular economy increases the partners’ economic sustainability. As pointed out</w:t>
      </w:r>
      <w:r w:rsidR="00621E72" w:rsidRPr="009A3785">
        <w:rPr>
          <w:sz w:val="26"/>
          <w:szCs w:val="26"/>
          <w:lang w:val="en-US"/>
        </w:rPr>
        <w:t xml:space="preserve"> </w:t>
      </w:r>
      <w:r w:rsidR="009C7AC7" w:rsidRPr="009A3785">
        <w:rPr>
          <w:sz w:val="26"/>
          <w:szCs w:val="26"/>
          <w:lang w:val="en-US"/>
        </w:rPr>
        <w:t xml:space="preserve">by </w:t>
      </w:r>
      <w:r w:rsidR="00621E72" w:rsidRPr="009A3785">
        <w:rPr>
          <w:sz w:val="26"/>
          <w:szCs w:val="26"/>
          <w:lang w:val="en-US"/>
        </w:rPr>
        <w:fldChar w:fldCharType="begin"/>
      </w:r>
      <w:r w:rsidR="00621E72" w:rsidRPr="009A3785">
        <w:rPr>
          <w:sz w:val="26"/>
          <w:szCs w:val="26"/>
          <w:lang w:val="en-US"/>
        </w:rPr>
        <w:instrText xml:space="preserve"> ADDIN ZOTERO_ITEM CSL_CITATION {"citationID":"Vwa8AicS","properties":{"formattedCitation":"(Genovese et al., 2017)","plainCitation":"(Genovese et al., 2017)","dontUpdate":true,"noteIndex":0},"citationItems":[{"id":9,"uris":["http://zotero.org/users/local/Alzi7ROo/items/3KZERHDE"],"itemData":{"id":9,"type":"article-journal","container-title":"Omega","note":"publisher: Elsevier","page":"344–357","source":"Google Scholar","title":"Sustainable supply chain management and the transition towards a circular economy: Evidence and some applications","title-short":"Sustainable supply chain management and the transition towards a circular economy","volume":"66","author":[{"family":"Genovese","given":"Andrea"},{"family":"Acquaye","given":"Adolf A."},{"family":"Figueroa","given":"Alejandro"},{"family":"Koh","given":"SC Lenny"}],"issued":{"date-parts":[["2017"]]}}}],"schema":"https://github.com/citation-style-language/schema/raw/master/csl-citation.json"} </w:instrText>
      </w:r>
      <w:r w:rsidR="00621E72" w:rsidRPr="009A3785">
        <w:rPr>
          <w:sz w:val="26"/>
          <w:szCs w:val="26"/>
          <w:lang w:val="en-US"/>
        </w:rPr>
        <w:fldChar w:fldCharType="separate"/>
      </w:r>
      <w:r w:rsidR="00621E72" w:rsidRPr="009A3785">
        <w:rPr>
          <w:sz w:val="26"/>
          <w:szCs w:val="26"/>
          <w:lang w:val="en-US"/>
        </w:rPr>
        <w:t>Genovese et al. (201</w:t>
      </w:r>
      <w:r w:rsidR="00273BB7" w:rsidRPr="009A3785">
        <w:rPr>
          <w:sz w:val="26"/>
          <w:szCs w:val="26"/>
          <w:lang w:val="en-US"/>
        </w:rPr>
        <w:t>5</w:t>
      </w:r>
      <w:r w:rsidR="00621E72" w:rsidRPr="009A3785">
        <w:rPr>
          <w:sz w:val="26"/>
          <w:szCs w:val="26"/>
          <w:lang w:val="en-US"/>
        </w:rPr>
        <w:t>)</w:t>
      </w:r>
      <w:r w:rsidR="00621E72" w:rsidRPr="009A3785">
        <w:rPr>
          <w:sz w:val="26"/>
          <w:szCs w:val="26"/>
          <w:lang w:val="en-US"/>
        </w:rPr>
        <w:fldChar w:fldCharType="end"/>
      </w:r>
      <w:r w:rsidR="00621E72" w:rsidRPr="009A3785">
        <w:rPr>
          <w:sz w:val="26"/>
          <w:szCs w:val="26"/>
          <w:lang w:val="en-US"/>
        </w:rPr>
        <w:t>,</w:t>
      </w:r>
      <w:r w:rsidRPr="009A3785">
        <w:rPr>
          <w:sz w:val="26"/>
          <w:szCs w:val="26"/>
          <w:lang w:val="en-US"/>
        </w:rPr>
        <w:t xml:space="preserve"> such relationships </w:t>
      </w:r>
      <w:r w:rsidR="00636098">
        <w:rPr>
          <w:sz w:val="26"/>
          <w:szCs w:val="26"/>
          <w:lang w:val="en-US"/>
        </w:rPr>
        <w:t>enabl</w:t>
      </w:r>
      <w:r w:rsidRPr="009A3785">
        <w:rPr>
          <w:sz w:val="26"/>
          <w:szCs w:val="26"/>
          <w:lang w:val="en-US"/>
        </w:rPr>
        <w:t>e firms to coordinate sustainability efforts</w:t>
      </w:r>
      <w:r w:rsidR="00636098">
        <w:rPr>
          <w:sz w:val="26"/>
          <w:szCs w:val="26"/>
          <w:lang w:val="en-US"/>
        </w:rPr>
        <w:t>,</w:t>
      </w:r>
      <w:r w:rsidRPr="009A3785">
        <w:rPr>
          <w:sz w:val="26"/>
          <w:szCs w:val="26"/>
          <w:lang w:val="en-US"/>
        </w:rPr>
        <w:t xml:space="preserve"> minimize </w:t>
      </w:r>
      <w:r w:rsidR="00636098">
        <w:rPr>
          <w:sz w:val="26"/>
          <w:szCs w:val="26"/>
          <w:lang w:val="en-US"/>
        </w:rPr>
        <w:t>resourc</w:t>
      </w:r>
      <w:r w:rsidRPr="009A3785">
        <w:rPr>
          <w:sz w:val="26"/>
          <w:szCs w:val="26"/>
          <w:lang w:val="en-US"/>
        </w:rPr>
        <w:t>e use</w:t>
      </w:r>
      <w:r w:rsidR="00636098">
        <w:rPr>
          <w:sz w:val="26"/>
          <w:szCs w:val="26"/>
          <w:lang w:val="en-US"/>
        </w:rPr>
        <w:t>,</w:t>
      </w:r>
      <w:r w:rsidRPr="009A3785">
        <w:rPr>
          <w:sz w:val="26"/>
          <w:szCs w:val="26"/>
          <w:lang w:val="en-US"/>
        </w:rPr>
        <w:t xml:space="preserve"> and regain investors’ confidence</w:t>
      </w:r>
      <w:r w:rsidR="00636098">
        <w:rPr>
          <w:sz w:val="26"/>
          <w:szCs w:val="26"/>
          <w:lang w:val="en-US"/>
        </w:rPr>
        <w:t>,</w:t>
      </w:r>
      <w:r w:rsidRPr="009A3785">
        <w:rPr>
          <w:sz w:val="26"/>
          <w:szCs w:val="26"/>
          <w:lang w:val="en-US"/>
        </w:rPr>
        <w:t xml:space="preserve"> </w:t>
      </w:r>
      <w:r w:rsidR="00636098">
        <w:rPr>
          <w:sz w:val="26"/>
          <w:szCs w:val="26"/>
          <w:lang w:val="en-US"/>
        </w:rPr>
        <w:t>ultimately reducing</w:t>
      </w:r>
      <w:r w:rsidRPr="009A3785">
        <w:rPr>
          <w:sz w:val="26"/>
          <w:szCs w:val="26"/>
          <w:lang w:val="en-US"/>
        </w:rPr>
        <w:t xml:space="preserve"> wastage. In addition, properly managing the relations between the various parties engaged in the circular supply chain guarantees the entailed economic benefits and enhances economic stability.</w:t>
      </w:r>
      <w:r w:rsidR="00621E72" w:rsidRPr="009A3785">
        <w:rPr>
          <w:sz w:val="26"/>
          <w:szCs w:val="26"/>
          <w:lang w:val="en-US"/>
        </w:rPr>
        <w:t xml:space="preserve"> </w:t>
      </w:r>
      <w:r w:rsidR="00621E72" w:rsidRPr="009A3785">
        <w:rPr>
          <w:sz w:val="26"/>
          <w:szCs w:val="26"/>
          <w:lang w:val="en-US"/>
        </w:rPr>
        <w:fldChar w:fldCharType="begin"/>
      </w:r>
      <w:r w:rsidR="00621E72" w:rsidRPr="009A3785">
        <w:rPr>
          <w:sz w:val="26"/>
          <w:szCs w:val="26"/>
          <w:lang w:val="en-US"/>
        </w:rPr>
        <w:instrText xml:space="preserve"> ADDIN ZOTERO_ITEM CSL_CITATION {"citationID":"E5UxrFIk","properties":{"formattedCitation":"(Ripanti &amp; Tjahjono, 2019)","plainCitation":"(Ripanti &amp; Tjahjono, 2019)","dontUpdate":true,"noteIndex":0},"citationItems":[{"id":44,"uris":["http://zotero.org/users/local/Alzi7ROo/items/EJRPQ7P7"],"itemData":{"id":44,"type":"article-journal","container-title":"The International Journal of Logistics Management","note":"publisher: Emerald Publishing Limited","source":"Google Scholar","title":"Unveiling the potentials of circular economy values in logistics and supply chain management","author":[{"family":"Ripanti","given":"Eva Faja"},{"family":"Tjahjono","given":"Benny"}],"issued":{"date-parts":[["2019"]]}}}],"schema":"https://github.com/citation-style-language/schema/raw/master/csl-citation.json"} </w:instrText>
      </w:r>
      <w:r w:rsidR="00621E72" w:rsidRPr="009A3785">
        <w:rPr>
          <w:sz w:val="26"/>
          <w:szCs w:val="26"/>
          <w:lang w:val="en-US"/>
        </w:rPr>
        <w:fldChar w:fldCharType="separate"/>
      </w:r>
      <w:r w:rsidR="00621E72" w:rsidRPr="009A3785">
        <w:rPr>
          <w:sz w:val="26"/>
          <w:szCs w:val="26"/>
          <w:lang w:val="en-US"/>
        </w:rPr>
        <w:t>Ripanti and Tjahjono (2019)</w:t>
      </w:r>
      <w:r w:rsidR="00621E72" w:rsidRPr="009A3785">
        <w:rPr>
          <w:sz w:val="26"/>
          <w:szCs w:val="26"/>
          <w:lang w:val="en-US"/>
        </w:rPr>
        <w:fldChar w:fldCharType="end"/>
      </w:r>
      <w:r w:rsidR="00621E72" w:rsidRPr="009A3785">
        <w:rPr>
          <w:sz w:val="26"/>
          <w:szCs w:val="26"/>
          <w:lang w:val="en-US"/>
        </w:rPr>
        <w:t xml:space="preserve"> </w:t>
      </w:r>
      <w:r w:rsidR="006042AF">
        <w:rPr>
          <w:sz w:val="26"/>
          <w:szCs w:val="26"/>
          <w:lang w:val="en-US"/>
        </w:rPr>
        <w:t>emphasize that a coordinated pattern of managing relationships facilitates the flow of information, knowledge, and resources; thus</w:t>
      </w:r>
      <w:r w:rsidRPr="009A3785">
        <w:rPr>
          <w:sz w:val="26"/>
          <w:szCs w:val="26"/>
          <w:lang w:val="en-US"/>
        </w:rPr>
        <w:t xml:space="preserve">, increasing coordinative efficiency and productivity is </w:t>
      </w:r>
      <w:r w:rsidR="009D3323">
        <w:rPr>
          <w:sz w:val="26"/>
          <w:szCs w:val="26"/>
          <w:lang w:val="en-US"/>
        </w:rPr>
        <w:t>a primary factor in transforming</w:t>
      </w:r>
      <w:r w:rsidRPr="009A3785">
        <w:rPr>
          <w:sz w:val="26"/>
          <w:szCs w:val="26"/>
          <w:lang w:val="en-US"/>
        </w:rPr>
        <w:t xml:space="preserve"> the economy.</w:t>
      </w:r>
    </w:p>
    <w:p w14:paraId="76F51B12" w14:textId="7235F649" w:rsidR="004660A6" w:rsidRPr="009A3785" w:rsidRDefault="004660A6"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 xml:space="preserve">AI, blockchain, machine learning, </w:t>
      </w:r>
      <w:r w:rsidR="006042AF">
        <w:rPr>
          <w:sz w:val="26"/>
          <w:szCs w:val="26"/>
          <w:lang w:val="en-US"/>
        </w:rPr>
        <w:t>and IoT are instrumental in enhancing product recycling, minimizing waste, and improving</w:t>
      </w:r>
      <w:r w:rsidRPr="009A3785">
        <w:rPr>
          <w:sz w:val="26"/>
          <w:szCs w:val="26"/>
          <w:lang w:val="en-US"/>
        </w:rPr>
        <w:t xml:space="preserve"> </w:t>
      </w:r>
      <w:r w:rsidR="008B2F4F">
        <w:rPr>
          <w:sz w:val="26"/>
          <w:szCs w:val="26"/>
          <w:lang w:val="en-US"/>
        </w:rPr>
        <w:t xml:space="preserve">the </w:t>
      </w:r>
      <w:r w:rsidRPr="009A3785">
        <w:rPr>
          <w:sz w:val="26"/>
          <w:szCs w:val="26"/>
          <w:lang w:val="en-US"/>
        </w:rPr>
        <w:t>reverse logistics function</w:t>
      </w:r>
      <w:r w:rsidR="004D077B" w:rsidRPr="009A3785">
        <w:rPr>
          <w:sz w:val="26"/>
          <w:szCs w:val="26"/>
          <w:lang w:val="en-US"/>
        </w:rPr>
        <w:t xml:space="preserve"> </w:t>
      </w:r>
      <w:r w:rsidR="004D077B" w:rsidRPr="009A3785">
        <w:rPr>
          <w:sz w:val="26"/>
          <w:szCs w:val="26"/>
          <w:lang w:val="en-US"/>
        </w:rPr>
        <w:fldChar w:fldCharType="begin"/>
      </w:r>
      <w:r w:rsidR="004D077B" w:rsidRPr="009A3785">
        <w:rPr>
          <w:sz w:val="26"/>
          <w:szCs w:val="26"/>
          <w:lang w:val="en-US"/>
        </w:rPr>
        <w:instrText xml:space="preserve"> ADDIN ZOTERO_ITEM CSL_CITATION {"citationID":"dzcPmFFg","properties":{"formattedCitation":"(Romagnoli et al., 2023)","plainCitation":"(Romagnoli et al., 2023)","noteIndex":0},"citationItems":[{"id":3087,"uris":["http://zotero.org/users/local/Alzi7ROo/items/ZIG9YTSK"],"itemData":{"id":3087,"type":"article-journal","container-title":"Logistics","issue":"1","note":"publisher: MDPI","page":"1","source":"Google Scholar","title":"The Impact of Digital Technologies and Sustainable Practices on Circular Supply Chain Management","volume":"7","author":[{"family":"Romagnoli","given":"Sara"},{"family":"Tarabu'","given":"Claudia"},{"family":"Maleki Vishkaei","given":"Behzad"},{"family":"De Giovanni","given":"Pietro"}],"issued":{"date-parts":[["2023"]]}}}],"schema":"https://github.com/citation-style-language/schema/raw/master/csl-citation.json"} </w:instrText>
      </w:r>
      <w:r w:rsidR="004D077B" w:rsidRPr="009A3785">
        <w:rPr>
          <w:sz w:val="26"/>
          <w:szCs w:val="26"/>
          <w:lang w:val="en-US"/>
        </w:rPr>
        <w:fldChar w:fldCharType="separate"/>
      </w:r>
      <w:r w:rsidR="004D077B" w:rsidRPr="009A3785">
        <w:rPr>
          <w:sz w:val="26"/>
          <w:szCs w:val="26"/>
          <w:lang w:val="en-US"/>
        </w:rPr>
        <w:t>(Romagnoli et al., 2023)</w:t>
      </w:r>
      <w:r w:rsidR="004D077B" w:rsidRPr="009A3785">
        <w:rPr>
          <w:sz w:val="26"/>
          <w:szCs w:val="26"/>
          <w:lang w:val="en-US"/>
        </w:rPr>
        <w:fldChar w:fldCharType="end"/>
      </w:r>
      <w:r w:rsidRPr="009A3785">
        <w:rPr>
          <w:sz w:val="26"/>
          <w:szCs w:val="26"/>
          <w:lang w:val="en-US"/>
        </w:rPr>
        <w:t>. Therefore, their integration in the circular supply chain enables cost savings, process improvements</w:t>
      </w:r>
      <w:r w:rsidR="00636098">
        <w:rPr>
          <w:sz w:val="26"/>
          <w:szCs w:val="26"/>
          <w:lang w:val="en-US"/>
        </w:rPr>
        <w:t>,</w:t>
      </w:r>
      <w:r w:rsidRPr="009A3785">
        <w:rPr>
          <w:sz w:val="26"/>
          <w:szCs w:val="26"/>
          <w:lang w:val="en-US"/>
        </w:rPr>
        <w:t xml:space="preserve"> and tangible economic benefits</w:t>
      </w:r>
      <w:r w:rsidR="004D077B" w:rsidRPr="009A3785">
        <w:rPr>
          <w:sz w:val="26"/>
          <w:szCs w:val="26"/>
          <w:lang w:val="en-US"/>
        </w:rPr>
        <w:t xml:space="preserve"> </w:t>
      </w:r>
      <w:r w:rsidR="004D077B" w:rsidRPr="009A3785">
        <w:rPr>
          <w:sz w:val="26"/>
          <w:szCs w:val="26"/>
          <w:lang w:val="en-US"/>
        </w:rPr>
        <w:fldChar w:fldCharType="begin"/>
      </w:r>
      <w:r w:rsidR="004D077B" w:rsidRPr="009A3785">
        <w:rPr>
          <w:sz w:val="26"/>
          <w:szCs w:val="26"/>
          <w:lang w:val="en-US"/>
        </w:rPr>
        <w:instrText xml:space="preserve"> ADDIN ZOTERO_ITEM CSL_CITATION {"citationID":"m23IwEoN","properties":{"formattedCitation":"(Chanchaichujit et al., 2020; Pagoropoulos et al., 2017)","plainCitation":"(Chanchaichujit et al., 2020; Pagoropoulos et al., 2017)","noteIndex":0},"citationItems":[{"id":3083,"uris":["http://zotero.org/users/local/Alzi7ROo/items/75IRLDPH"],"itemData":{"id":3083,"type":"article-journal","container-title":"Cogent Business &amp; Management","DOI":"10.1080/23311975.2020.1818408","ISSN":"2331-1975","issue":"1","journalAbbreviation":"Cogent Business &amp; Management","language":"en","page":"1818408","source":"DOI.org (Crossref)","title":"A systematic literature review on the benefit-drivers of RFID implementation in supply chains and its impact on organizational competitive advantage","volume":"7","author":[{"family":"Chanchaichujit","given":"Janya"},{"family":"Balasubramanian","given":"Sreejith"},{"family":"Charmaine","given":"Ng Si Min"}],"editor":[{"family":"Tan","given":"Albert W. K."}],"issued":{"date-parts":[["2020",1,1]]}}},{"id":38,"uris":["http://zotero.org/users/local/Alzi7ROo/items/EWV3JLLJ"],"itemData":{"id":38,"type":"article-journal","container-title":"Procedia CIRP","note":"publisher: Elsevier","page":"19–24","source":"Google Scholar","title":"The emergent role of digital technologies in the Circular Economy: A review","title-short":"The emergent role of digital technologies in the Circular Economy","volume":"64","author":[{"family":"Pagoropoulos","given":"Aris"},{"family":"Pigosso","given":"Daniela CA"},{"family":"McAloone","given":"Tim C."}],"issued":{"date-parts":[["2017"]]}}}],"schema":"https://github.com/citation-style-language/schema/raw/master/csl-citation.json"} </w:instrText>
      </w:r>
      <w:r w:rsidR="004D077B" w:rsidRPr="009A3785">
        <w:rPr>
          <w:sz w:val="26"/>
          <w:szCs w:val="26"/>
          <w:lang w:val="en-US"/>
        </w:rPr>
        <w:fldChar w:fldCharType="separate"/>
      </w:r>
      <w:r w:rsidR="004D077B" w:rsidRPr="009A3785">
        <w:rPr>
          <w:sz w:val="26"/>
          <w:szCs w:val="26"/>
          <w:lang w:val="en-US"/>
        </w:rPr>
        <w:t>(Chanchaichujit et al., 2020; Pagoropoulos et al., 2017)</w:t>
      </w:r>
      <w:r w:rsidR="004D077B" w:rsidRPr="009A3785">
        <w:rPr>
          <w:sz w:val="26"/>
          <w:szCs w:val="26"/>
          <w:lang w:val="en-US"/>
        </w:rPr>
        <w:fldChar w:fldCharType="end"/>
      </w:r>
      <w:r w:rsidR="004D077B" w:rsidRPr="009A3785">
        <w:rPr>
          <w:sz w:val="26"/>
          <w:szCs w:val="26"/>
          <w:lang w:val="en-US"/>
        </w:rPr>
        <w:t xml:space="preserve">. </w:t>
      </w:r>
      <w:r w:rsidRPr="009A3785">
        <w:rPr>
          <w:sz w:val="26"/>
          <w:szCs w:val="26"/>
          <w:lang w:val="en-US"/>
        </w:rPr>
        <w:t xml:space="preserve">Hence, Technological Sustainability Integration (CSCE6) plays a significant role in economic growth.  </w:t>
      </w:r>
    </w:p>
    <w:p w14:paraId="6B3EBF23" w14:textId="77777777" w:rsidR="007A58F0" w:rsidRPr="009A3785" w:rsidRDefault="007A58F0"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Although cleaner production (CSCE2), reverse logistics infrastructure (CSCE3), and human resources management (CSCE5) represent general aspects of circular economy success and performance, they have not proved to have a considerable impact on the textile industry in Morocco.</w:t>
      </w:r>
    </w:p>
    <w:p w14:paraId="61379E9E" w14:textId="196BDDA8" w:rsidR="007A58F0" w:rsidRPr="009A3785" w:rsidRDefault="00A00105"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 xml:space="preserve">Cleaner production is </w:t>
      </w:r>
      <w:r w:rsidR="00636098">
        <w:rPr>
          <w:sz w:val="26"/>
          <w:szCs w:val="26"/>
          <w:lang w:val="en-US"/>
        </w:rPr>
        <w:t>recognized</w:t>
      </w:r>
      <w:r w:rsidRPr="009A3785">
        <w:rPr>
          <w:sz w:val="26"/>
          <w:szCs w:val="26"/>
          <w:lang w:val="en-US"/>
        </w:rPr>
        <w:t xml:space="preserve"> for saving costs and minimizing </w:t>
      </w:r>
      <w:r w:rsidR="00636098">
        <w:rPr>
          <w:sz w:val="26"/>
          <w:szCs w:val="26"/>
          <w:lang w:val="en-US"/>
        </w:rPr>
        <w:t>environmental</w:t>
      </w:r>
      <w:r w:rsidRPr="009A3785">
        <w:rPr>
          <w:sz w:val="26"/>
          <w:szCs w:val="26"/>
          <w:lang w:val="en-US"/>
        </w:rPr>
        <w:t xml:space="preserve"> impacts </w:t>
      </w:r>
      <w:r w:rsidR="007A58F0" w:rsidRPr="009A3785">
        <w:rPr>
          <w:sz w:val="26"/>
          <w:szCs w:val="26"/>
          <w:lang w:val="en-US"/>
        </w:rPr>
        <w:fldChar w:fldCharType="begin"/>
      </w:r>
      <w:r w:rsidR="007A58F0" w:rsidRPr="009A3785">
        <w:rPr>
          <w:sz w:val="26"/>
          <w:szCs w:val="26"/>
          <w:lang w:val="en-US"/>
        </w:rPr>
        <w:instrText xml:space="preserve"> ADDIN ZOTERO_ITEM CSL_CITATION {"citationID":"KmgdNs01","properties":{"formattedCitation":"(Bilitewski, 2012; Ghisellini et al., 2016; Veleva et al., 2017)","plainCitation":"(Bilitewski, 2012; Ghisellini et al., 2016; Veleva et al., 2017)","noteIndex":0},"citationItems":[{"id":3042,"uris":["http://zotero.org/users/local/Alzi7ROo/items/MHWHCN4H"],"itemData":{"id":3042,"type":"article-journal","container-title":"Waste management","issue":"1","page":"1–2","source":"Google Scholar","title":"The circular economy and its risks","volume":"32","author":[{"family":"Bilitewski","given":"Bernd"}],"issued":{"date-parts":[["2012"]]}}},{"id":15,"uris":["http://zotero.org/users/local/Alzi7ROo/items/A9RCPBSZ"],"itemData":{"id":15,"type":"article-journal","container-title":"Journal of Cleaner production","note":"publisher: Elsevier","page":"11–32","source":"Google Scholar","title":"A review on circular economy: the expected transition to a balanced interplay of environmental and economic systems","title-short":"A review on circular economy","volume":"114","author":[{"family":"Ghisellini","given":"Patrizia"},{"family":"Cialani","given":"Catia"},{"family":"Ulgiati","given":"Sergio"}],"issued":{"date-parts":[["2016"]]}}},{"id":3040,"uris":["http://zotero.org/users/local/Alzi7ROo/items/WPLPX927"],"itemData":{"id":3040,"type":"article-journal","container-title":"Journal of cleaner production","note":"publisher: Elsevier","page":"517–529","source":"Google Scholar","title":"The need for better measurement and employee engagement to advance a circular economy: Lessons from Biogen’s “zero waste” journey","title-short":"The need for better measurement and employee engagement to advance a circular economy","volume":"154","author":[{"family":"Veleva","given":"Vesela"},{"family":"Bodkin","given":"Gavin"},{"family":"Todorova","given":"Svetlana"}],"issued":{"date-parts":[["2017"]]}}}],"schema":"https://github.com/citation-style-language/schema/raw/master/csl-citation.json"} </w:instrText>
      </w:r>
      <w:r w:rsidR="007A58F0" w:rsidRPr="009A3785">
        <w:rPr>
          <w:sz w:val="26"/>
          <w:szCs w:val="26"/>
          <w:lang w:val="en-US"/>
        </w:rPr>
        <w:fldChar w:fldCharType="separate"/>
      </w:r>
      <w:r w:rsidR="007A58F0" w:rsidRPr="009A3785">
        <w:rPr>
          <w:sz w:val="26"/>
          <w:szCs w:val="26"/>
          <w:lang w:val="en-US"/>
        </w:rPr>
        <w:t>(Bilitewski, 201</w:t>
      </w:r>
      <w:r w:rsidR="009C7AC7" w:rsidRPr="009A3785">
        <w:rPr>
          <w:sz w:val="26"/>
          <w:szCs w:val="26"/>
          <w:lang w:val="en-US"/>
        </w:rPr>
        <w:t>1</w:t>
      </w:r>
      <w:r w:rsidR="007A58F0" w:rsidRPr="009A3785">
        <w:rPr>
          <w:sz w:val="26"/>
          <w:szCs w:val="26"/>
          <w:lang w:val="en-US"/>
        </w:rPr>
        <w:t>; Ghisellini et al., 201</w:t>
      </w:r>
      <w:r w:rsidR="00273BB7" w:rsidRPr="009A3785">
        <w:rPr>
          <w:sz w:val="26"/>
          <w:szCs w:val="26"/>
          <w:lang w:val="en-US"/>
        </w:rPr>
        <w:t>5</w:t>
      </w:r>
      <w:r w:rsidR="007A58F0" w:rsidRPr="009A3785">
        <w:rPr>
          <w:sz w:val="26"/>
          <w:szCs w:val="26"/>
          <w:lang w:val="en-US"/>
        </w:rPr>
        <w:t>; Veleva et al., 2017)</w:t>
      </w:r>
      <w:r w:rsidR="007A58F0" w:rsidRPr="009A3785">
        <w:rPr>
          <w:sz w:val="26"/>
          <w:szCs w:val="26"/>
          <w:lang w:val="en-US"/>
        </w:rPr>
        <w:fldChar w:fldCharType="end"/>
      </w:r>
      <w:r w:rsidR="00A348CC" w:rsidRPr="009A3785">
        <w:rPr>
          <w:sz w:val="26"/>
          <w:szCs w:val="26"/>
          <w:lang w:val="en-US"/>
        </w:rPr>
        <w:t xml:space="preserve">, but this element did not </w:t>
      </w:r>
      <w:r w:rsidR="00636098">
        <w:rPr>
          <w:sz w:val="26"/>
          <w:szCs w:val="26"/>
          <w:lang w:val="en-US"/>
        </w:rPr>
        <w:t>have</w:t>
      </w:r>
      <w:r w:rsidR="00A348CC" w:rsidRPr="009A3785">
        <w:rPr>
          <w:sz w:val="26"/>
          <w:szCs w:val="26"/>
          <w:lang w:val="en-US"/>
        </w:rPr>
        <w:t xml:space="preserve"> an impact on economic growth in this analysis. This could be because the diffusion of cleaner production techniques is relatively new in Morocco’s textile industry. Increasingly, the application of cleaner production involves capital investments in new equipment</w:t>
      </w:r>
      <w:r w:rsidR="00636098">
        <w:rPr>
          <w:sz w:val="26"/>
          <w:szCs w:val="26"/>
          <w:lang w:val="en-US"/>
        </w:rPr>
        <w:t>,</w:t>
      </w:r>
      <w:r w:rsidR="00A348CC" w:rsidRPr="009A3785">
        <w:rPr>
          <w:sz w:val="26"/>
          <w:szCs w:val="26"/>
          <w:lang w:val="en-US"/>
        </w:rPr>
        <w:t xml:space="preserve"> techniques</w:t>
      </w:r>
      <w:r w:rsidR="00636098">
        <w:rPr>
          <w:sz w:val="26"/>
          <w:szCs w:val="26"/>
          <w:lang w:val="en-US"/>
        </w:rPr>
        <w:t>,</w:t>
      </w:r>
      <w:r w:rsidR="00A348CC" w:rsidRPr="009A3785">
        <w:rPr>
          <w:sz w:val="26"/>
          <w:szCs w:val="26"/>
          <w:lang w:val="en-US"/>
        </w:rPr>
        <w:t xml:space="preserve"> or processes, which may</w:t>
      </w:r>
      <w:r w:rsidR="00636098">
        <w:rPr>
          <w:sz w:val="26"/>
          <w:szCs w:val="26"/>
          <w:lang w:val="en-US"/>
        </w:rPr>
        <w:t xml:space="preserve"> not yield quick returns</w:t>
      </w:r>
      <w:r w:rsidR="00A348CC" w:rsidRPr="009A3785">
        <w:rPr>
          <w:sz w:val="26"/>
          <w:szCs w:val="26"/>
          <w:lang w:val="en-US"/>
        </w:rPr>
        <w:t xml:space="preserve"> in the short term, </w:t>
      </w:r>
      <w:r w:rsidR="00636098">
        <w:rPr>
          <w:sz w:val="26"/>
          <w:szCs w:val="26"/>
          <w:lang w:val="en-US"/>
        </w:rPr>
        <w:t>particularly</w:t>
      </w:r>
      <w:r w:rsidR="00A348CC" w:rsidRPr="009A3785">
        <w:rPr>
          <w:sz w:val="26"/>
          <w:szCs w:val="26"/>
          <w:lang w:val="en-US"/>
        </w:rPr>
        <w:t xml:space="preserve"> in an industry driven mainly by efforts to reduce operating expenses.</w:t>
      </w:r>
    </w:p>
    <w:p w14:paraId="6F3E09EC" w14:textId="51C8C0AD" w:rsidR="00FD5B0E" w:rsidRPr="009A3785" w:rsidRDefault="00AF08D4"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 xml:space="preserve">The literature </w:t>
      </w:r>
      <w:r w:rsidR="00636098">
        <w:rPr>
          <w:sz w:val="26"/>
          <w:szCs w:val="26"/>
          <w:lang w:val="en-US"/>
        </w:rPr>
        <w:t>highlights</w:t>
      </w:r>
      <w:r w:rsidRPr="009A3785">
        <w:rPr>
          <w:sz w:val="26"/>
          <w:szCs w:val="26"/>
          <w:lang w:val="en-US"/>
        </w:rPr>
        <w:t xml:space="preserve"> that reverse logistics is a strategy to achieve </w:t>
      </w:r>
      <w:r w:rsidR="00636098">
        <w:rPr>
          <w:sz w:val="26"/>
          <w:szCs w:val="26"/>
          <w:lang w:val="en-US"/>
        </w:rPr>
        <w:t xml:space="preserve">a </w:t>
      </w:r>
      <w:r w:rsidRPr="009A3785">
        <w:rPr>
          <w:sz w:val="26"/>
          <w:szCs w:val="26"/>
          <w:lang w:val="en-US"/>
        </w:rPr>
        <w:t>closed-loop flow and support the emergence of circular economies</w:t>
      </w:r>
      <w:r w:rsidR="008B2F4F">
        <w:rPr>
          <w:sz w:val="26"/>
          <w:szCs w:val="26"/>
          <w:lang w:val="en-US"/>
        </w:rPr>
        <w:t xml:space="preserve"> </w:t>
      </w:r>
      <w:r w:rsidR="007A58F0" w:rsidRPr="009A3785">
        <w:rPr>
          <w:sz w:val="26"/>
          <w:szCs w:val="26"/>
          <w:lang w:val="en-US"/>
        </w:rPr>
        <w:fldChar w:fldCharType="begin"/>
      </w:r>
      <w:r w:rsidR="007A58F0" w:rsidRPr="009A3785">
        <w:rPr>
          <w:sz w:val="26"/>
          <w:szCs w:val="26"/>
          <w:lang w:val="en-US"/>
        </w:rPr>
        <w:instrText xml:space="preserve"> ADDIN ZOTERO_ITEM CSL_CITATION {"citationID":"JXf2K8k9","properties":{"formattedCitation":"(Govindan &amp; Soleimani, 2017; Jain et al., 2018; Scavarda et al., 2019)","plainCitation":"(Govindan &amp; Soleimani, 2017; Jain et al., 2018; Scavarda et al., 2019)","dontUpdate":true,"noteIndex":0},"citationItems":[{"id":3050,"uris":["http://zotero.org/users/local/Alzi7ROo/items/IJFAAWDF"],"itemData":{"id":3050,"type":"article-journal","container-title":"Journal of cleaner production","note":"publisher: Elsevier","page":"371–384","source":"Google Scholar","title":"A review of reverse logistics and closed-loop supply chains: a Journal of Cleaner Production focus","title-short":"A review of reverse logistics and closed-loop supply chains","volume":"142","author":[{"family":"Govindan","given":"Kannan"},{"family":"Soleimani","given":"Hamed"}],"issued":{"date-parts":[["2017"]]}}},{"id":1198,"uris":["http://zotero.org/users/local/Alzi7ROo/items/TUD9NYS3"],"itemData":{"id":1198,"type":"article-journal","abstract":"Purpose: Sustainability issues on economic, environmental and social perspectives have drawn attention of environmentalists, ecologists and governments. In this context, circular economy provides an opportunity to transform waste into resources, reduction of production and consumption activities; and reduction of carbon footprints, all at the same time. The purpose of this paper is to develop a strategic framework for measuring circular supply chain management. Design/methodology/approach: A grounded theory approach has been used to develop the strategic framework for circular supply chain management. Findings: This study provides an integrative framework for studying, designing and evaluating circular supply chain management performance matrix. Research limitations/implications: A conceptual strategic framework has been proposed to measure the performance of circular supply chain management. Further empirical studies may be carried out to validate the framework. Practical implications: The conceptual strategic framework provides key indicators for reducing material consumption, reducing waste, reducing carbon footprint and recycling opportunities throughout the supply chain. These may be utilized by practitioners for gaining competitive advantage. Originality/value: This paper provides insights into development of circular supply chains that provides opportunities for cost reduction and securing competitive advantage for a business in the long run. © 2018, Emerald Publishing Limited.","container-title":"Benchmarking","DOI":"10.1108/BIJ-11-2017-0304","ISSN":"14635771","issue":"8","language":"English","note":"publisher: Emerald Group Publishing Ltd.\ntype: Article","page":"3238 – 3252","title":"Strategic framework towards measuring a circular supply chain management","volume":"25","author":[{"family":"Jain","given":"Sourabh"},{"family":"Jain","given":"Nikunj Kumar"},{"family":"Metri","given":"Bhimaraya"}],"issued":{"date-parts":[["2018"]]}}},{"id":3051,"uris":["http://zotero.org/users/local/Alzi7ROo/items/QJ654P3I"],"itemData":{"id":3051,"type":"article-journal","container-title":"Resources, Conservation and Recycling","note":"publisher: Elsevier","page":"418–430","source":"Google Scholar","title":"A proposed healthcare supply chain management framework in the emerging economies with the sustainable lenses: The theory, the practice, and the policy","title-short":"A proposed healthcare supply chain management framework in the emerging economies with the sustainable lenses","volume":"141","author":[{"family":"Scavarda","given":"Annibal"},{"family":"Daú","given":"Gláucya Lima"},{"family":"Scavarda","given":"Luiz Felipe"},{"family":"Korzenowski","given":"André Luís"}],"issued":{"date-parts":[["2019"]]}}}],"schema":"https://github.com/citation-style-language/schema/raw/master/csl-citation.json"} </w:instrText>
      </w:r>
      <w:r w:rsidR="007A58F0" w:rsidRPr="009A3785">
        <w:rPr>
          <w:sz w:val="26"/>
          <w:szCs w:val="26"/>
          <w:lang w:val="en-US"/>
        </w:rPr>
        <w:fldChar w:fldCharType="separate"/>
      </w:r>
      <w:r w:rsidR="007A58F0" w:rsidRPr="009A3785">
        <w:rPr>
          <w:sz w:val="26"/>
          <w:szCs w:val="26"/>
          <w:lang w:val="en-US"/>
        </w:rPr>
        <w:t xml:space="preserve">(Govindan </w:t>
      </w:r>
      <w:r w:rsidR="009C7AC7" w:rsidRPr="009A3785">
        <w:rPr>
          <w:sz w:val="26"/>
          <w:szCs w:val="26"/>
          <w:lang w:val="en-US"/>
        </w:rPr>
        <w:t>&amp;</w:t>
      </w:r>
      <w:r w:rsidR="007A58F0" w:rsidRPr="009A3785">
        <w:rPr>
          <w:sz w:val="26"/>
          <w:szCs w:val="26"/>
          <w:lang w:val="en-US"/>
        </w:rPr>
        <w:t xml:space="preserve"> Soleimani, 201</w:t>
      </w:r>
      <w:r w:rsidR="009C7AC7" w:rsidRPr="009A3785">
        <w:rPr>
          <w:sz w:val="26"/>
          <w:szCs w:val="26"/>
          <w:lang w:val="en-US"/>
        </w:rPr>
        <w:t>6</w:t>
      </w:r>
      <w:r w:rsidR="007A58F0" w:rsidRPr="009A3785">
        <w:rPr>
          <w:sz w:val="26"/>
          <w:szCs w:val="26"/>
          <w:lang w:val="en-US"/>
        </w:rPr>
        <w:t xml:space="preserve">; </w:t>
      </w:r>
      <w:r w:rsidR="00C4623F" w:rsidRPr="009A3785">
        <w:rPr>
          <w:sz w:val="26"/>
          <w:szCs w:val="26"/>
          <w:lang w:val="en-US"/>
        </w:rPr>
        <w:t xml:space="preserve">S. </w:t>
      </w:r>
      <w:r w:rsidR="007A58F0" w:rsidRPr="009A3785">
        <w:rPr>
          <w:sz w:val="26"/>
          <w:szCs w:val="26"/>
          <w:lang w:val="en-US"/>
        </w:rPr>
        <w:t>Jain et al., 2018; Scavarda et al., 201</w:t>
      </w:r>
      <w:r w:rsidR="009C7AC7" w:rsidRPr="009A3785">
        <w:rPr>
          <w:sz w:val="26"/>
          <w:szCs w:val="26"/>
          <w:lang w:val="en-US"/>
        </w:rPr>
        <w:t>8</w:t>
      </w:r>
      <w:r w:rsidR="007A58F0" w:rsidRPr="009A3785">
        <w:rPr>
          <w:sz w:val="26"/>
          <w:szCs w:val="26"/>
          <w:lang w:val="en-US"/>
        </w:rPr>
        <w:t>)</w:t>
      </w:r>
      <w:r w:rsidR="007A58F0" w:rsidRPr="009A3785">
        <w:rPr>
          <w:sz w:val="26"/>
          <w:szCs w:val="26"/>
          <w:lang w:val="en-US"/>
        </w:rPr>
        <w:fldChar w:fldCharType="end"/>
      </w:r>
      <w:r w:rsidR="007A58F0" w:rsidRPr="009A3785">
        <w:rPr>
          <w:sz w:val="26"/>
          <w:szCs w:val="26"/>
          <w:lang w:val="en-US"/>
        </w:rPr>
        <w:t xml:space="preserve">. </w:t>
      </w:r>
      <w:r w:rsidR="00FD5B0E" w:rsidRPr="009A3785">
        <w:rPr>
          <w:sz w:val="26"/>
          <w:szCs w:val="26"/>
          <w:lang w:val="en-US"/>
        </w:rPr>
        <w:t xml:space="preserve">Nonetheless, given that Morocco </w:t>
      </w:r>
      <w:r w:rsidR="00636098">
        <w:rPr>
          <w:sz w:val="26"/>
          <w:szCs w:val="26"/>
          <w:lang w:val="en-US"/>
        </w:rPr>
        <w:t>lacks</w:t>
      </w:r>
      <w:r w:rsidR="00FD5B0E" w:rsidRPr="009A3785">
        <w:rPr>
          <w:sz w:val="26"/>
          <w:szCs w:val="26"/>
          <w:lang w:val="en-US"/>
        </w:rPr>
        <w:t xml:space="preserve"> </w:t>
      </w:r>
      <w:r w:rsidR="00636098">
        <w:rPr>
          <w:sz w:val="26"/>
          <w:szCs w:val="26"/>
          <w:lang w:val="en-US"/>
        </w:rPr>
        <w:t xml:space="preserve">a </w:t>
      </w:r>
      <w:r w:rsidR="00FD5B0E" w:rsidRPr="009A3785">
        <w:rPr>
          <w:sz w:val="26"/>
          <w:szCs w:val="26"/>
          <w:lang w:val="en-US"/>
        </w:rPr>
        <w:t>well-established reverse logistics</w:t>
      </w:r>
      <w:r w:rsidR="00636098">
        <w:rPr>
          <w:sz w:val="26"/>
          <w:szCs w:val="26"/>
          <w:lang w:val="en-US"/>
        </w:rPr>
        <w:t xml:space="preserve"> system</w:t>
      </w:r>
      <w:r w:rsidR="00FD5B0E" w:rsidRPr="009A3785">
        <w:rPr>
          <w:sz w:val="26"/>
          <w:szCs w:val="26"/>
          <w:lang w:val="en-US"/>
        </w:rPr>
        <w:t xml:space="preserve">, the role of such a system </w:t>
      </w:r>
      <w:r w:rsidR="00636098">
        <w:rPr>
          <w:sz w:val="26"/>
          <w:szCs w:val="26"/>
          <w:lang w:val="en-US"/>
        </w:rPr>
        <w:t xml:space="preserve">in promoting economic growth </w:t>
      </w:r>
      <w:r w:rsidR="00FD5B0E" w:rsidRPr="009A3785">
        <w:rPr>
          <w:sz w:val="26"/>
          <w:szCs w:val="26"/>
          <w:lang w:val="en-US"/>
        </w:rPr>
        <w:t xml:space="preserve">in the country’s textile industry might be negligible due to </w:t>
      </w:r>
      <w:r w:rsidR="00636098">
        <w:rPr>
          <w:sz w:val="26"/>
          <w:szCs w:val="26"/>
          <w:lang w:val="en-US"/>
        </w:rPr>
        <w:t>the</w:t>
      </w:r>
      <w:r w:rsidR="00FD5B0E" w:rsidRPr="009A3785">
        <w:rPr>
          <w:sz w:val="26"/>
          <w:szCs w:val="26"/>
          <w:lang w:val="en-US"/>
        </w:rPr>
        <w:t xml:space="preserve"> higher infrastructure costs</w:t>
      </w:r>
      <w:r w:rsidR="00636098">
        <w:rPr>
          <w:sz w:val="26"/>
          <w:szCs w:val="26"/>
          <w:lang w:val="en-US"/>
        </w:rPr>
        <w:t xml:space="preserve"> associated with reverse logistics systems</w:t>
      </w:r>
      <w:r w:rsidR="00FD5B0E" w:rsidRPr="009A3785">
        <w:rPr>
          <w:sz w:val="26"/>
          <w:szCs w:val="26"/>
          <w:lang w:val="en-US"/>
        </w:rPr>
        <w:t xml:space="preserve">. </w:t>
      </w:r>
    </w:p>
    <w:p w14:paraId="2E4ADA12" w14:textId="70737470" w:rsidR="007A58F0" w:rsidRPr="009A3785" w:rsidRDefault="008A6D82"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 xml:space="preserve">Human resources management is a key business function </w:t>
      </w:r>
      <w:r w:rsidR="00636098">
        <w:rPr>
          <w:sz w:val="26"/>
          <w:szCs w:val="26"/>
          <w:lang w:val="en-US"/>
        </w:rPr>
        <w:t>that helps</w:t>
      </w:r>
      <w:r w:rsidRPr="009A3785">
        <w:rPr>
          <w:sz w:val="26"/>
          <w:szCs w:val="26"/>
          <w:lang w:val="en-US"/>
        </w:rPr>
        <w:t xml:space="preserve"> organizations, both strategically and operationally, achieve </w:t>
      </w:r>
      <w:r w:rsidR="00636098">
        <w:rPr>
          <w:sz w:val="26"/>
          <w:szCs w:val="26"/>
          <w:lang w:val="en-US"/>
        </w:rPr>
        <w:t xml:space="preserve">their </w:t>
      </w:r>
      <w:r w:rsidRPr="009A3785">
        <w:rPr>
          <w:sz w:val="26"/>
          <w:szCs w:val="26"/>
          <w:lang w:val="en-US"/>
        </w:rPr>
        <w:t>organizational objectives</w:t>
      </w:r>
      <w:r w:rsidR="00636098">
        <w:rPr>
          <w:sz w:val="26"/>
          <w:szCs w:val="26"/>
          <w:lang w:val="en-US"/>
        </w:rPr>
        <w:t>,</w:t>
      </w:r>
      <w:r w:rsidRPr="009A3785">
        <w:rPr>
          <w:sz w:val="26"/>
          <w:szCs w:val="26"/>
          <w:lang w:val="en-US"/>
        </w:rPr>
        <w:t xml:space="preserve"> such as sustainability strategies</w:t>
      </w:r>
      <w:r w:rsidR="00B847B8" w:rsidRPr="009A3785">
        <w:rPr>
          <w:sz w:val="26"/>
          <w:szCs w:val="26"/>
          <w:lang w:val="en-US"/>
        </w:rPr>
        <w:t xml:space="preserve"> </w:t>
      </w:r>
      <w:r w:rsidR="007A58F0" w:rsidRPr="009A3785">
        <w:rPr>
          <w:sz w:val="26"/>
          <w:szCs w:val="26"/>
          <w:lang w:val="en-US"/>
        </w:rPr>
        <w:fldChar w:fldCharType="begin"/>
      </w:r>
      <w:r w:rsidR="007A58F0" w:rsidRPr="009A3785">
        <w:rPr>
          <w:sz w:val="26"/>
          <w:szCs w:val="26"/>
          <w:lang w:val="en-US"/>
        </w:rPr>
        <w:instrText xml:space="preserve"> ADDIN ZOTERO_ITEM CSL_CITATION {"citationID":"hGW3Iusb","properties":{"formattedCitation":"(Duff, 2018; Jabbour et al., 2019; Teixeira et al., 2016)","plainCitation":"(Duff, 2018; Jabbour et al., 2019; Teixeira et al., 2016)","noteIndex":0},"citationItems":[{"id":3061,"uris":["http://zotero.org/users/local/Alzi7ROo/items/QL78SZA2"],"itemData":{"id":3061,"type":"article-journal","container-title":"Journal of Intellectual Capital","issue":"4","note":"publisher: Emerald Publishing Limited","page":"768–786","source":"Google Scholar","title":"Intellectual capital disclosure: evidence from UK accounting firms","title-short":"Intellectual capital disclosure","volume":"19","author":[{"family":"Duff","given":"Angus"}],"issued":{"date-parts":[["2018"]]}}},{"id":23,"uris":["http://zotero.org/users/local/Alzi7ROo/items/7ZSTV7GB"],"itemData":{"id":23,"type":"article-journal","container-title":"Technological Forecasting and Social Change","note":"publisher: Elsevier","page":"546–552","source":"Google Scholar","title":"Unlocking the circular economy through new business models based on large-scale data: an integrative framework and research agenda","title-short":"Unlocking the circular economy through new business models based on large-scale data","volume":"144","author":[{"family":"Jabbour","given":"Charbel Jose Chiappetta"},{"family":"Sousa Jabbour","given":"Ana Beatriz Lopes","non-dropping-particle":"de"},{"family":"Sarkis","given":"Joseph"},{"family":"Godinho Filho","given":"Moacir"}],"issued":{"date-parts":[["2019"]]}}},{"id":3059,"uris":["http://zotero.org/users/local/Alzi7ROo/items/NNT35EYK"],"itemData":{"id":3059,"type":"article-journal","container-title":"Journal of cleaner production","note":"publisher: Elsevier","page":"170–176","source":"Google Scholar","title":"Green training and green supply chain management: evidence from Brazilian firms","title-short":"Green training and green supply chain management","volume":"116","author":[{"family":"Teixeira","given":"Adriano Alves"},{"family":"Jabbour","given":"Charbel Jose Chiappetta"},{"family":"Sousa Jabbour","given":"Ana Beatriz Lopes","non-dropping-particle":"de"},{"family":"Latan","given":"Hengky"},{"family":"De Oliveira","given":"Jorge Henrique Caldeira"}],"issued":{"date-parts":[["2016"]]}}}],"schema":"https://github.com/citation-style-language/schema/raw/master/csl-citation.json"} </w:instrText>
      </w:r>
      <w:r w:rsidR="007A58F0" w:rsidRPr="009A3785">
        <w:rPr>
          <w:sz w:val="26"/>
          <w:szCs w:val="26"/>
          <w:lang w:val="en-US"/>
        </w:rPr>
        <w:fldChar w:fldCharType="separate"/>
      </w:r>
      <w:r w:rsidR="007A58F0" w:rsidRPr="009A3785">
        <w:rPr>
          <w:sz w:val="26"/>
          <w:szCs w:val="26"/>
          <w:lang w:val="en-US"/>
        </w:rPr>
        <w:t>(Duff, 2018; Jabbour et al., 201</w:t>
      </w:r>
      <w:r w:rsidR="009C7AC7" w:rsidRPr="009A3785">
        <w:rPr>
          <w:sz w:val="26"/>
          <w:szCs w:val="26"/>
          <w:lang w:val="en-US"/>
        </w:rPr>
        <w:t>7</w:t>
      </w:r>
      <w:r w:rsidR="007A58F0" w:rsidRPr="009A3785">
        <w:rPr>
          <w:sz w:val="26"/>
          <w:szCs w:val="26"/>
          <w:lang w:val="en-US"/>
        </w:rPr>
        <w:t>; Teixeira et al., 201</w:t>
      </w:r>
      <w:r w:rsidR="009C7AC7" w:rsidRPr="009A3785">
        <w:rPr>
          <w:sz w:val="26"/>
          <w:szCs w:val="26"/>
          <w:lang w:val="en-US"/>
        </w:rPr>
        <w:t>5</w:t>
      </w:r>
      <w:r w:rsidR="007A58F0" w:rsidRPr="009A3785">
        <w:rPr>
          <w:sz w:val="26"/>
          <w:szCs w:val="26"/>
          <w:lang w:val="en-US"/>
        </w:rPr>
        <w:t>)</w:t>
      </w:r>
      <w:r w:rsidR="007A58F0" w:rsidRPr="009A3785">
        <w:rPr>
          <w:sz w:val="26"/>
          <w:szCs w:val="26"/>
          <w:lang w:val="en-US"/>
        </w:rPr>
        <w:fldChar w:fldCharType="end"/>
      </w:r>
      <w:r w:rsidR="007A58F0" w:rsidRPr="009A3785">
        <w:rPr>
          <w:sz w:val="26"/>
          <w:szCs w:val="26"/>
          <w:lang w:val="en-US"/>
        </w:rPr>
        <w:t xml:space="preserve">. </w:t>
      </w:r>
      <w:r w:rsidR="005E4926" w:rsidRPr="009A3785">
        <w:rPr>
          <w:sz w:val="26"/>
          <w:szCs w:val="26"/>
          <w:lang w:val="en-US"/>
        </w:rPr>
        <w:t xml:space="preserve">Nonetheless, the absence of a positive impact on economic growth in our analysis may be explained by factors unique to the Moroccan textile industry. Since circular concepts are in the initial phase of being introduced in the country, specific HRM strategies designed to support </w:t>
      </w:r>
      <w:r w:rsidR="00636098">
        <w:rPr>
          <w:sz w:val="26"/>
          <w:szCs w:val="26"/>
          <w:lang w:val="en-US"/>
        </w:rPr>
        <w:t xml:space="preserve">the implementation of a </w:t>
      </w:r>
      <w:r w:rsidR="005E4926" w:rsidRPr="009A3785">
        <w:rPr>
          <w:sz w:val="26"/>
          <w:szCs w:val="26"/>
          <w:lang w:val="en-US"/>
        </w:rPr>
        <w:t xml:space="preserve">circular economy are not </w:t>
      </w:r>
      <w:r w:rsidR="00636098">
        <w:rPr>
          <w:sz w:val="26"/>
          <w:szCs w:val="26"/>
          <w:lang w:val="en-US"/>
        </w:rPr>
        <w:t xml:space="preserve">yet </w:t>
      </w:r>
      <w:r w:rsidR="005E4926" w:rsidRPr="009A3785">
        <w:rPr>
          <w:sz w:val="26"/>
          <w:szCs w:val="26"/>
          <w:lang w:val="en-US"/>
        </w:rPr>
        <w:t xml:space="preserve">sufficiently advanced to </w:t>
      </w:r>
      <w:r w:rsidR="007F54BB">
        <w:rPr>
          <w:sz w:val="26"/>
          <w:szCs w:val="26"/>
          <w:lang w:val="en-US"/>
        </w:rPr>
        <w:t>positively impact the economy's growth at this point</w:t>
      </w:r>
      <w:r w:rsidR="005E4926" w:rsidRPr="009A3785">
        <w:rPr>
          <w:sz w:val="26"/>
          <w:szCs w:val="26"/>
          <w:lang w:val="en-US"/>
        </w:rPr>
        <w:t>.</w:t>
      </w:r>
    </w:p>
    <w:p w14:paraId="089C9E2A" w14:textId="33E2B738" w:rsidR="007A58F0" w:rsidRPr="009A3785" w:rsidRDefault="007A58F0"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This paper also demonstrates that Environmental sustainability initiatives</w:t>
      </w:r>
      <w:r w:rsidR="00636098">
        <w:rPr>
          <w:sz w:val="26"/>
          <w:szCs w:val="26"/>
          <w:lang w:val="en-US"/>
        </w:rPr>
        <w:t>,</w:t>
      </w:r>
      <w:r w:rsidRPr="009A3785">
        <w:rPr>
          <w:sz w:val="26"/>
          <w:szCs w:val="26"/>
          <w:lang w:val="en-US"/>
        </w:rPr>
        <w:t xml:space="preserve"> comprising reducing </w:t>
      </w:r>
      <w:r w:rsidR="00636098">
        <w:rPr>
          <w:sz w:val="26"/>
          <w:szCs w:val="26"/>
          <w:lang w:val="en-US"/>
        </w:rPr>
        <w:t xml:space="preserve">greenhouse </w:t>
      </w:r>
      <w:r w:rsidRPr="009A3785">
        <w:rPr>
          <w:sz w:val="26"/>
          <w:szCs w:val="26"/>
          <w:lang w:val="en-US"/>
        </w:rPr>
        <w:t xml:space="preserve">gas emissions, minimizing waste, </w:t>
      </w:r>
      <w:r w:rsidR="00636098">
        <w:rPr>
          <w:sz w:val="26"/>
          <w:szCs w:val="26"/>
          <w:lang w:val="en-US"/>
        </w:rPr>
        <w:t>reduc</w:t>
      </w:r>
      <w:r w:rsidRPr="009A3785">
        <w:rPr>
          <w:sz w:val="26"/>
          <w:szCs w:val="26"/>
          <w:lang w:val="en-US"/>
        </w:rPr>
        <w:t xml:space="preserve">ing the use of virgin input materials, and </w:t>
      </w:r>
      <w:r w:rsidR="00636098">
        <w:rPr>
          <w:sz w:val="26"/>
          <w:szCs w:val="26"/>
          <w:lang w:val="en-US"/>
        </w:rPr>
        <w:t>minimiz</w:t>
      </w:r>
      <w:r w:rsidRPr="009A3785">
        <w:rPr>
          <w:sz w:val="26"/>
          <w:szCs w:val="26"/>
          <w:lang w:val="en-US"/>
        </w:rPr>
        <w:t>ing the use of hazardous/toxic materials</w:t>
      </w:r>
      <w:r w:rsidR="00636098">
        <w:rPr>
          <w:sz w:val="26"/>
          <w:szCs w:val="26"/>
          <w:lang w:val="en-US"/>
        </w:rPr>
        <w:t>,</w:t>
      </w:r>
      <w:r w:rsidRPr="009A3785">
        <w:rPr>
          <w:sz w:val="26"/>
          <w:szCs w:val="26"/>
          <w:lang w:val="en-US"/>
        </w:rPr>
        <w:t xml:space="preserve"> significantly impact economic growth, affirming </w:t>
      </w:r>
      <w:r w:rsidR="00636098">
        <w:rPr>
          <w:sz w:val="26"/>
          <w:szCs w:val="26"/>
          <w:lang w:val="en-US"/>
        </w:rPr>
        <w:t xml:space="preserve">the propositions of </w:t>
      </w:r>
      <w:r w:rsidRPr="009A3785">
        <w:rPr>
          <w:sz w:val="26"/>
          <w:szCs w:val="26"/>
          <w:lang w:val="en-US"/>
        </w:rPr>
        <w:t xml:space="preserve">the circular economy practice for both environmental and economic </w:t>
      </w:r>
      <w:r w:rsidR="00636098">
        <w:rPr>
          <w:sz w:val="26"/>
          <w:szCs w:val="26"/>
          <w:lang w:val="en-US"/>
        </w:rPr>
        <w:t>benefit</w:t>
      </w:r>
      <w:r w:rsidRPr="009A3785">
        <w:rPr>
          <w:sz w:val="26"/>
          <w:szCs w:val="26"/>
          <w:lang w:val="en-US"/>
        </w:rPr>
        <w:t>s.</w:t>
      </w:r>
    </w:p>
    <w:p w14:paraId="59A18216" w14:textId="3A05BA46" w:rsidR="00F41E8A" w:rsidRPr="009A3785" w:rsidRDefault="00F41E8A"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 xml:space="preserve">Reducing gas emissions, </w:t>
      </w:r>
      <w:r w:rsidR="00636098">
        <w:rPr>
          <w:sz w:val="26"/>
          <w:szCs w:val="26"/>
          <w:lang w:val="en-US"/>
        </w:rPr>
        <w:t>particular</w:t>
      </w:r>
      <w:r w:rsidRPr="009A3785">
        <w:rPr>
          <w:sz w:val="26"/>
          <w:szCs w:val="26"/>
          <w:lang w:val="en-US"/>
        </w:rPr>
        <w:t xml:space="preserve">ly carbon dioxide, is one of the most significant </w:t>
      </w:r>
      <w:r w:rsidR="00636098">
        <w:rPr>
          <w:sz w:val="26"/>
          <w:szCs w:val="26"/>
          <w:lang w:val="en-US"/>
        </w:rPr>
        <w:t>global issues</w:t>
      </w:r>
      <w:r w:rsidRPr="009A3785">
        <w:rPr>
          <w:sz w:val="26"/>
          <w:szCs w:val="26"/>
          <w:lang w:val="en-US"/>
        </w:rPr>
        <w:t xml:space="preserve"> </w:t>
      </w:r>
      <w:r w:rsidR="00D02968" w:rsidRPr="009A3785">
        <w:rPr>
          <w:sz w:val="26"/>
          <w:szCs w:val="26"/>
          <w:lang w:val="en-US"/>
        </w:rPr>
        <w:fldChar w:fldCharType="begin"/>
      </w:r>
      <w:r w:rsidR="00D02968" w:rsidRPr="009A3785">
        <w:rPr>
          <w:sz w:val="26"/>
          <w:szCs w:val="26"/>
          <w:lang w:val="en-US"/>
        </w:rPr>
        <w:instrText xml:space="preserve"> ADDIN ZOTERO_ITEM CSL_CITATION {"citationID":"pPHQLDKB","properties":{"formattedCitation":"(Rahman et al., 2017)","plainCitation":"(Rahman et al., 2017)","noteIndex":0},"citationItems":[{"id":3117,"uris":["http://zotero.org/users/local/Alzi7ROo/items/4XX6KPLI"],"itemData":{"id":3117,"type":"article-journal","container-title":"Renewable and Sustainable Energy Reviews","note":"publisher: Elsevier","page":"112–126","source":"Google Scholar","title":"Pollution to solution: Capture and sequestration of carbon dioxide (CO2) and its utilization as a renewable energy source for a sustainable future","title-short":"Pollution to solution","volume":"71","author":[{"family":"Rahman","given":"Farahiyah Abdul"},{"family":"Aziz","given":"Md Maniruzzaman A."},{"family":"Saidur","given":"R."},{"family":"Bakar","given":"Wan Azelee Wan Abu"},{"family":"Hainin","given":"M. R."},{"family":"Putrajaya","given":"Ramadhansyah"},{"family":"Hassan","given":"Norhidayah Abdul"}],"issued":{"date-parts":[["2017"]]}}}],"schema":"https://github.com/citation-style-language/schema/raw/master/csl-citation.json"} </w:instrText>
      </w:r>
      <w:r w:rsidR="00D02968" w:rsidRPr="009A3785">
        <w:rPr>
          <w:sz w:val="26"/>
          <w:szCs w:val="26"/>
          <w:lang w:val="en-US"/>
        </w:rPr>
        <w:fldChar w:fldCharType="separate"/>
      </w:r>
      <w:r w:rsidR="00D02968" w:rsidRPr="009A3785">
        <w:rPr>
          <w:sz w:val="26"/>
          <w:szCs w:val="26"/>
        </w:rPr>
        <w:t>(Rahman et al., 2017)</w:t>
      </w:r>
      <w:r w:rsidR="00D02968" w:rsidRPr="009A3785">
        <w:rPr>
          <w:sz w:val="26"/>
          <w:szCs w:val="26"/>
          <w:lang w:val="en-US"/>
        </w:rPr>
        <w:fldChar w:fldCharType="end"/>
      </w:r>
      <w:r w:rsidRPr="009A3785">
        <w:rPr>
          <w:sz w:val="26"/>
          <w:szCs w:val="26"/>
          <w:lang w:val="en-US"/>
        </w:rPr>
        <w:t xml:space="preserve">. This challenge is part of the circular economy strategy, whose key approach is to minimize emissions by increasing the efficiency of processes and </w:t>
      </w:r>
      <w:r w:rsidR="00636098">
        <w:rPr>
          <w:sz w:val="26"/>
          <w:szCs w:val="26"/>
          <w:lang w:val="en-US"/>
        </w:rPr>
        <w:t>utilizing</w:t>
      </w:r>
      <w:r w:rsidRPr="009A3785">
        <w:rPr>
          <w:sz w:val="26"/>
          <w:szCs w:val="26"/>
          <w:lang w:val="en-US"/>
        </w:rPr>
        <w:t xml:space="preserve"> cleaner technologies. This paper </w:t>
      </w:r>
      <w:r w:rsidR="00636098">
        <w:rPr>
          <w:sz w:val="26"/>
          <w:szCs w:val="26"/>
          <w:lang w:val="en-US"/>
        </w:rPr>
        <w:t>demon</w:t>
      </w:r>
      <w:r w:rsidRPr="009A3785">
        <w:rPr>
          <w:sz w:val="26"/>
          <w:szCs w:val="26"/>
          <w:lang w:val="en-US"/>
        </w:rPr>
        <w:t>strates that environmental initiatives</w:t>
      </w:r>
      <w:r w:rsidR="00636098">
        <w:rPr>
          <w:sz w:val="26"/>
          <w:szCs w:val="26"/>
          <w:lang w:val="en-US"/>
        </w:rPr>
        <w:t>,</w:t>
      </w:r>
      <w:r w:rsidRPr="009A3785">
        <w:rPr>
          <w:sz w:val="26"/>
          <w:szCs w:val="26"/>
          <w:lang w:val="en-US"/>
        </w:rPr>
        <w:t xml:space="preserve"> </w:t>
      </w:r>
      <w:r w:rsidR="00636098">
        <w:rPr>
          <w:sz w:val="26"/>
          <w:szCs w:val="26"/>
          <w:lang w:val="en-US"/>
        </w:rPr>
        <w:t>which have led to a decrease in</w:t>
      </w:r>
      <w:r w:rsidRPr="009A3785">
        <w:rPr>
          <w:sz w:val="26"/>
          <w:szCs w:val="26"/>
          <w:lang w:val="en-US"/>
        </w:rPr>
        <w:t xml:space="preserve"> gas emissions in Morocco’s textile industry</w:t>
      </w:r>
      <w:r w:rsidR="00636098">
        <w:rPr>
          <w:sz w:val="26"/>
          <w:szCs w:val="26"/>
          <w:lang w:val="en-US"/>
        </w:rPr>
        <w:t>,</w:t>
      </w:r>
      <w:r w:rsidRPr="009A3785">
        <w:rPr>
          <w:sz w:val="26"/>
          <w:szCs w:val="26"/>
          <w:lang w:val="en-US"/>
        </w:rPr>
        <w:t xml:space="preserve"> </w:t>
      </w:r>
      <w:r w:rsidR="00636098">
        <w:rPr>
          <w:sz w:val="26"/>
          <w:szCs w:val="26"/>
          <w:lang w:val="en-US"/>
        </w:rPr>
        <w:t>have contribut</w:t>
      </w:r>
      <w:r w:rsidRPr="009A3785">
        <w:rPr>
          <w:sz w:val="26"/>
          <w:szCs w:val="26"/>
          <w:lang w:val="en-US"/>
        </w:rPr>
        <w:t>ed to economic growth.</w:t>
      </w:r>
    </w:p>
    <w:p w14:paraId="71850399" w14:textId="52975F01" w:rsidR="002C766A" w:rsidRPr="009A3785" w:rsidRDefault="002C766A"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Minimizing waste is another area that connects environmental sustainability initiatives to economic growth. Implementing circular economy concepts</w:t>
      </w:r>
      <w:r w:rsidR="00636098">
        <w:rPr>
          <w:sz w:val="26"/>
          <w:szCs w:val="26"/>
          <w:lang w:val="en-US"/>
        </w:rPr>
        <w:t>,</w:t>
      </w:r>
      <w:r w:rsidRPr="009A3785">
        <w:rPr>
          <w:sz w:val="26"/>
          <w:szCs w:val="26"/>
          <w:lang w:val="en-US"/>
        </w:rPr>
        <w:t xml:space="preserve"> </w:t>
      </w:r>
      <w:r w:rsidR="00636098">
        <w:rPr>
          <w:sz w:val="26"/>
          <w:szCs w:val="26"/>
          <w:lang w:val="en-US"/>
        </w:rPr>
        <w:t>such as</w:t>
      </w:r>
      <w:r w:rsidRPr="009A3785">
        <w:rPr>
          <w:sz w:val="26"/>
          <w:szCs w:val="26"/>
          <w:lang w:val="en-US"/>
        </w:rPr>
        <w:t xml:space="preserve"> recycling and reusing materials</w:t>
      </w:r>
      <w:r w:rsidR="00636098">
        <w:rPr>
          <w:sz w:val="26"/>
          <w:szCs w:val="26"/>
          <w:lang w:val="en-US"/>
        </w:rPr>
        <w:t>,</w:t>
      </w:r>
      <w:r w:rsidRPr="009A3785">
        <w:rPr>
          <w:sz w:val="26"/>
          <w:szCs w:val="26"/>
          <w:lang w:val="en-US"/>
        </w:rPr>
        <w:t xml:space="preserve"> can increase the effectiveness of resource utilization, </w:t>
      </w:r>
      <w:r w:rsidR="00636098">
        <w:rPr>
          <w:sz w:val="26"/>
          <w:szCs w:val="26"/>
          <w:lang w:val="en-US"/>
        </w:rPr>
        <w:t xml:space="preserve">reduce </w:t>
      </w:r>
      <w:r w:rsidRPr="009A3785">
        <w:rPr>
          <w:sz w:val="26"/>
          <w:szCs w:val="26"/>
          <w:lang w:val="en-US"/>
        </w:rPr>
        <w:t>waste, and decrease industries' costs, th</w:t>
      </w:r>
      <w:r w:rsidR="00636098">
        <w:rPr>
          <w:sz w:val="26"/>
          <w:szCs w:val="26"/>
          <w:lang w:val="en-US"/>
        </w:rPr>
        <w:t>ereby</w:t>
      </w:r>
      <w:r w:rsidRPr="009A3785">
        <w:rPr>
          <w:sz w:val="26"/>
          <w:szCs w:val="26"/>
          <w:lang w:val="en-US"/>
        </w:rPr>
        <w:t xml:space="preserve"> promoting economic growth</w:t>
      </w:r>
      <w:r w:rsidR="008C4142" w:rsidRPr="009A3785">
        <w:rPr>
          <w:sz w:val="26"/>
          <w:szCs w:val="26"/>
          <w:lang w:val="en-US"/>
        </w:rPr>
        <w:t xml:space="preserve"> </w:t>
      </w:r>
      <w:r w:rsidRPr="009A3785">
        <w:rPr>
          <w:sz w:val="26"/>
          <w:szCs w:val="26"/>
          <w:lang w:val="en-US"/>
        </w:rPr>
        <w:fldChar w:fldCharType="begin"/>
      </w:r>
      <w:r w:rsidRPr="009A3785">
        <w:rPr>
          <w:sz w:val="26"/>
          <w:szCs w:val="26"/>
          <w:lang w:val="en-US"/>
        </w:rPr>
        <w:instrText xml:space="preserve"> ADDIN ZOTERO_ITEM CSL_CITATION {"citationID":"F16VzZrF","properties":{"formattedCitation":"(Esposito et al., 2017)","plainCitation":"(Esposito et al., 2017)","noteIndex":0},"citationItems":[{"id":2713,"uris":["http://zotero.org/users/local/Alzi7ROo/items/GYF9SWC7"],"itemData":{"id":2713,"type":"article-journal","abstract":"The circular pathway, also called the “cradle‐to‐cradle” model, is more than just recycling and environmental concerns. It is about a new way of thinking how we could grow without resorting to just expending resources. Its rapid expansion, as a new norm for companies, has characteristics of a Fast Expanding Market, given its exponential growth. In this article, we examine how the circular model is pushing companies and entities to come up with disruptive technology and business models that are based on longevity, renewability, reuse, repair, upgrade, refurbishment, servitization, capacity sharing and dematerialization. © 2015 Wiley Periodicals, Inc.","container-title":"Thunderbird International Business Review","DOI":"10.1002/tie.21764","ISSN":"1096-4762, 1520-6874","issue":"1","journalAbbreviation":"Thunderbird Intl Bus Rev","language":"en","page":"9-14","source":"DOI.org (Crossref)","title":"Is the Circular Economy a New Fast‐Expanding Market?","volume":"59","author":[{"family":"Esposito","given":"Mark"},{"family":"Tse","given":"Terence"},{"family":"Soufani","given":"Khaled"}],"issued":{"date-parts":[["2017",1]]}}}],"schema":"https://github.com/citation-style-language/schema/raw/master/csl-citation.json"} </w:instrText>
      </w:r>
      <w:r w:rsidRPr="009A3785">
        <w:rPr>
          <w:sz w:val="26"/>
          <w:szCs w:val="26"/>
          <w:lang w:val="en-US"/>
        </w:rPr>
        <w:fldChar w:fldCharType="separate"/>
      </w:r>
      <w:r w:rsidRPr="009A3785">
        <w:rPr>
          <w:sz w:val="26"/>
          <w:szCs w:val="26"/>
        </w:rPr>
        <w:t>(Esposito et al., 201</w:t>
      </w:r>
      <w:r w:rsidR="009C7AC7" w:rsidRPr="009A3785">
        <w:rPr>
          <w:sz w:val="26"/>
          <w:szCs w:val="26"/>
        </w:rPr>
        <w:t>5</w:t>
      </w:r>
      <w:r w:rsidRPr="009A3785">
        <w:rPr>
          <w:sz w:val="26"/>
          <w:szCs w:val="26"/>
        </w:rPr>
        <w:t>)</w:t>
      </w:r>
      <w:r w:rsidRPr="009A3785">
        <w:rPr>
          <w:sz w:val="26"/>
          <w:szCs w:val="26"/>
          <w:lang w:val="en-US"/>
        </w:rPr>
        <w:fldChar w:fldCharType="end"/>
      </w:r>
      <w:r w:rsidRPr="009A3785">
        <w:rPr>
          <w:sz w:val="26"/>
          <w:szCs w:val="26"/>
          <w:lang w:val="en-US"/>
        </w:rPr>
        <w:t>.</w:t>
      </w:r>
      <w:r w:rsidR="00B7261B" w:rsidRPr="009A3785">
        <w:rPr>
          <w:sz w:val="26"/>
          <w:szCs w:val="26"/>
          <w:lang w:val="en-US"/>
        </w:rPr>
        <w:t xml:space="preserve"> Another factor contributing to the Moroccan textile industry's economic growth is its efforts to reduce the use of virgin input materials. By </w:t>
      </w:r>
      <w:r w:rsidR="00636098">
        <w:rPr>
          <w:sz w:val="26"/>
          <w:szCs w:val="26"/>
          <w:lang w:val="en-US"/>
        </w:rPr>
        <w:t>switch</w:t>
      </w:r>
      <w:r w:rsidR="00B7261B" w:rsidRPr="009A3785">
        <w:rPr>
          <w:sz w:val="26"/>
          <w:szCs w:val="26"/>
          <w:lang w:val="en-US"/>
        </w:rPr>
        <w:t xml:space="preserve">ing from primary or virgin materials to secondary or recycled resources, the overall production </w:t>
      </w:r>
      <w:r w:rsidR="00636098">
        <w:rPr>
          <w:sz w:val="26"/>
          <w:szCs w:val="26"/>
          <w:lang w:val="en-US"/>
        </w:rPr>
        <w:t xml:space="preserve">cost </w:t>
      </w:r>
      <w:r w:rsidR="00B7261B" w:rsidRPr="009A3785">
        <w:rPr>
          <w:sz w:val="26"/>
          <w:szCs w:val="26"/>
          <w:lang w:val="en-US"/>
        </w:rPr>
        <w:t xml:space="preserve">can be </w:t>
      </w:r>
      <w:r w:rsidR="00636098">
        <w:rPr>
          <w:sz w:val="26"/>
          <w:szCs w:val="26"/>
          <w:lang w:val="en-US"/>
        </w:rPr>
        <w:t>reduced</w:t>
      </w:r>
      <w:r w:rsidR="00B7261B" w:rsidRPr="009A3785">
        <w:rPr>
          <w:sz w:val="26"/>
          <w:szCs w:val="26"/>
          <w:lang w:val="en-US"/>
        </w:rPr>
        <w:t>, and the impact of raw material price volatility can be mi</w:t>
      </w:r>
      <w:r w:rsidR="00636098">
        <w:rPr>
          <w:sz w:val="26"/>
          <w:szCs w:val="26"/>
          <w:lang w:val="en-US"/>
        </w:rPr>
        <w:t>tigat</w:t>
      </w:r>
      <w:r w:rsidR="00B7261B" w:rsidRPr="009A3785">
        <w:rPr>
          <w:sz w:val="26"/>
          <w:szCs w:val="26"/>
          <w:lang w:val="en-US"/>
        </w:rPr>
        <w:t>ed. This practice enhances material efficiency for long-term sustainable development.</w:t>
      </w:r>
    </w:p>
    <w:p w14:paraId="2B5DE218" w14:textId="4DD8C578" w:rsidR="007A58F0" w:rsidRDefault="00636098" w:rsidP="00824E69">
      <w:pPr>
        <w:autoSpaceDE w:val="0"/>
        <w:autoSpaceDN w:val="0"/>
        <w:adjustRightInd w:val="0"/>
        <w:snapToGrid w:val="0"/>
        <w:spacing w:line="300" w:lineRule="auto"/>
        <w:ind w:firstLineChars="200" w:firstLine="520"/>
        <w:jc w:val="both"/>
        <w:rPr>
          <w:sz w:val="26"/>
          <w:szCs w:val="26"/>
        </w:rPr>
      </w:pPr>
      <w:r>
        <w:rPr>
          <w:sz w:val="26"/>
          <w:szCs w:val="26"/>
        </w:rPr>
        <w:t>Ultimate</w:t>
      </w:r>
      <w:r w:rsidR="00B7261B" w:rsidRPr="009A3785">
        <w:rPr>
          <w:sz w:val="26"/>
          <w:szCs w:val="26"/>
        </w:rPr>
        <w:t>ly</w:t>
      </w:r>
      <w:r w:rsidR="007A58F0" w:rsidRPr="009A3785">
        <w:rPr>
          <w:sz w:val="26"/>
          <w:szCs w:val="26"/>
        </w:rPr>
        <w:t xml:space="preserve">, </w:t>
      </w:r>
      <w:r w:rsidR="00545A89" w:rsidRPr="009A3785">
        <w:rPr>
          <w:sz w:val="26"/>
          <w:szCs w:val="26"/>
        </w:rPr>
        <w:t xml:space="preserve">reducing the use of </w:t>
      </w:r>
      <w:r w:rsidR="007A58F0" w:rsidRPr="009A3785">
        <w:rPr>
          <w:sz w:val="26"/>
          <w:szCs w:val="26"/>
        </w:rPr>
        <w:t xml:space="preserve">hazardous and toxic materials is </w:t>
      </w:r>
      <w:r>
        <w:rPr>
          <w:sz w:val="26"/>
          <w:szCs w:val="26"/>
        </w:rPr>
        <w:t>crucial</w:t>
      </w:r>
      <w:r w:rsidR="007A58F0" w:rsidRPr="009A3785">
        <w:rPr>
          <w:sz w:val="26"/>
          <w:szCs w:val="26"/>
        </w:rPr>
        <w:t xml:space="preserve"> for </w:t>
      </w:r>
      <w:r>
        <w:rPr>
          <w:sz w:val="26"/>
          <w:szCs w:val="26"/>
        </w:rPr>
        <w:t xml:space="preserve">both </w:t>
      </w:r>
      <w:r w:rsidR="007A58F0" w:rsidRPr="009A3785">
        <w:rPr>
          <w:sz w:val="26"/>
          <w:szCs w:val="26"/>
        </w:rPr>
        <w:t xml:space="preserve">public health and economic reasons. According to </w:t>
      </w:r>
      <w:r w:rsidR="007A58F0" w:rsidRPr="009A3785">
        <w:rPr>
          <w:sz w:val="26"/>
          <w:szCs w:val="26"/>
        </w:rPr>
        <w:fldChar w:fldCharType="begin"/>
      </w:r>
      <w:r w:rsidR="0097065A" w:rsidRPr="009A3785">
        <w:rPr>
          <w:sz w:val="26"/>
          <w:szCs w:val="26"/>
        </w:rPr>
        <w:instrText xml:space="preserve"> ADDIN ZOTERO_ITEM CSL_CITATION {"citationID":"W1xwNgYI","properties":{"formattedCitation":"(Shaw et al., 2010)","plainCitation":"(Shaw et al., 2010)","dontUpdate":true,"noteIndex":0},"citationItems":[{"id":3092,"uris":["http://zotero.org/users/local/Alzi7ROo/items/GCYSEZ9P"],"itemData":{"id":3092,"type":"article-journal","container-title":"Benchmarking: An International Journal","issue":"3","note":"publisher: Emerald Group Publishing Limited","page":"320–339","source":"Google Scholar","title":"Developing environmental supply chain performance measures","volume":"17","author":[{"family":"Shaw","given":"Sarah"},{"family":"Grant","given":"David B."},{"family":"Mangan","given":"John"}],"issued":{"date-parts":[["2010"]]}}}],"schema":"https://github.com/citation-style-language/schema/raw/master/csl-citation.json"} </w:instrText>
      </w:r>
      <w:r w:rsidR="007A58F0" w:rsidRPr="009A3785">
        <w:rPr>
          <w:sz w:val="26"/>
          <w:szCs w:val="26"/>
        </w:rPr>
        <w:fldChar w:fldCharType="separate"/>
      </w:r>
      <w:r w:rsidR="007A58F0" w:rsidRPr="009A3785">
        <w:rPr>
          <w:sz w:val="26"/>
          <w:szCs w:val="26"/>
        </w:rPr>
        <w:t xml:space="preserve">Shaw et al. </w:t>
      </w:r>
      <w:r w:rsidR="00545A89" w:rsidRPr="009A3785">
        <w:rPr>
          <w:sz w:val="26"/>
          <w:szCs w:val="26"/>
        </w:rPr>
        <w:t>(</w:t>
      </w:r>
      <w:r w:rsidR="007A58F0" w:rsidRPr="009A3785">
        <w:rPr>
          <w:sz w:val="26"/>
          <w:szCs w:val="26"/>
        </w:rPr>
        <w:t>2010)</w:t>
      </w:r>
      <w:r w:rsidR="007A58F0" w:rsidRPr="009A3785">
        <w:rPr>
          <w:sz w:val="26"/>
          <w:szCs w:val="26"/>
        </w:rPr>
        <w:fldChar w:fldCharType="end"/>
      </w:r>
      <w:r w:rsidR="00545A89" w:rsidRPr="009A3785">
        <w:rPr>
          <w:sz w:val="26"/>
          <w:szCs w:val="26"/>
        </w:rPr>
        <w:t>, i</w:t>
      </w:r>
      <w:r w:rsidR="007A58F0" w:rsidRPr="009A3785">
        <w:rPr>
          <w:sz w:val="26"/>
          <w:szCs w:val="26"/>
        </w:rPr>
        <w:t xml:space="preserve">ndustries with fewer hazardous materials systems are more likely to address sustainability objectives, decrease pollution, and preserve human wellness. </w:t>
      </w:r>
      <w:r w:rsidR="00FE61D3" w:rsidRPr="009A3785">
        <w:rPr>
          <w:sz w:val="26"/>
          <w:szCs w:val="26"/>
        </w:rPr>
        <w:t xml:space="preserve">In the case of Moroccan textile organizations, switching to less hazardous materials is a way </w:t>
      </w:r>
      <w:r>
        <w:rPr>
          <w:sz w:val="26"/>
          <w:szCs w:val="26"/>
        </w:rPr>
        <w:t>to control the</w:t>
      </w:r>
      <w:r w:rsidR="00FE61D3" w:rsidRPr="009A3785">
        <w:rPr>
          <w:sz w:val="26"/>
          <w:szCs w:val="26"/>
        </w:rPr>
        <w:t xml:space="preserve"> impact</w:t>
      </w:r>
      <w:r>
        <w:rPr>
          <w:sz w:val="26"/>
          <w:szCs w:val="26"/>
        </w:rPr>
        <w:t xml:space="preserve"> of hazards</w:t>
      </w:r>
      <w:r w:rsidR="00FE61D3" w:rsidRPr="009A3785">
        <w:rPr>
          <w:sz w:val="26"/>
          <w:szCs w:val="26"/>
        </w:rPr>
        <w:t>, protect employees, and improv</w:t>
      </w:r>
      <w:r>
        <w:rPr>
          <w:sz w:val="26"/>
          <w:szCs w:val="26"/>
        </w:rPr>
        <w:t>e the</w:t>
      </w:r>
      <w:r w:rsidR="00FE61D3" w:rsidRPr="009A3785">
        <w:rPr>
          <w:sz w:val="26"/>
          <w:szCs w:val="26"/>
        </w:rPr>
        <w:t xml:space="preserve"> organizational image, all of which contribute to economic growth.</w:t>
      </w:r>
    </w:p>
    <w:p w14:paraId="2D16BC0C" w14:textId="77777777" w:rsidR="00636098" w:rsidRDefault="00636098" w:rsidP="00824E69">
      <w:pPr>
        <w:autoSpaceDE w:val="0"/>
        <w:autoSpaceDN w:val="0"/>
        <w:adjustRightInd w:val="0"/>
        <w:snapToGrid w:val="0"/>
        <w:spacing w:line="300" w:lineRule="auto"/>
        <w:ind w:firstLineChars="200" w:firstLine="520"/>
        <w:jc w:val="both"/>
        <w:rPr>
          <w:sz w:val="26"/>
          <w:szCs w:val="26"/>
        </w:rPr>
      </w:pPr>
    </w:p>
    <w:p w14:paraId="00CC6961" w14:textId="5DDF8C15" w:rsidR="0023666F" w:rsidRPr="009A3785" w:rsidRDefault="000C7ED3" w:rsidP="00824E69">
      <w:pPr>
        <w:autoSpaceDE w:val="0"/>
        <w:autoSpaceDN w:val="0"/>
        <w:adjustRightInd w:val="0"/>
        <w:snapToGrid w:val="0"/>
        <w:spacing w:line="300" w:lineRule="auto"/>
        <w:jc w:val="center"/>
        <w:rPr>
          <w:b/>
          <w:sz w:val="26"/>
          <w:szCs w:val="26"/>
        </w:rPr>
      </w:pPr>
      <w:r w:rsidRPr="009A3785">
        <w:rPr>
          <w:b/>
          <w:sz w:val="26"/>
          <w:szCs w:val="26"/>
        </w:rPr>
        <w:t>CONCLUSION</w:t>
      </w:r>
    </w:p>
    <w:p w14:paraId="445FA2B3" w14:textId="756AF11A" w:rsidR="00F255C7" w:rsidRPr="009A3785" w:rsidRDefault="00F255C7" w:rsidP="00824E69">
      <w:pPr>
        <w:autoSpaceDE w:val="0"/>
        <w:autoSpaceDN w:val="0"/>
        <w:adjustRightInd w:val="0"/>
        <w:snapToGrid w:val="0"/>
        <w:spacing w:line="300" w:lineRule="auto"/>
        <w:jc w:val="both"/>
        <w:rPr>
          <w:b/>
          <w:bCs/>
          <w:sz w:val="26"/>
          <w:szCs w:val="26"/>
          <w:lang w:val="en-US" w:eastAsia="en-AU"/>
        </w:rPr>
      </w:pPr>
      <w:r w:rsidRPr="009A3785">
        <w:rPr>
          <w:b/>
          <w:bCs/>
          <w:sz w:val="26"/>
          <w:szCs w:val="26"/>
          <w:lang w:val="en-US" w:eastAsia="en-AU"/>
        </w:rPr>
        <w:t xml:space="preserve">Key </w:t>
      </w:r>
      <w:r w:rsidR="00E17610" w:rsidRPr="009A3785">
        <w:rPr>
          <w:b/>
          <w:bCs/>
          <w:sz w:val="26"/>
          <w:szCs w:val="26"/>
          <w:lang w:val="en-US" w:eastAsia="en-AU"/>
        </w:rPr>
        <w:t>F</w:t>
      </w:r>
      <w:r w:rsidRPr="009A3785">
        <w:rPr>
          <w:b/>
          <w:bCs/>
          <w:sz w:val="26"/>
          <w:szCs w:val="26"/>
          <w:lang w:val="en-US" w:eastAsia="en-AU"/>
        </w:rPr>
        <w:t>indings</w:t>
      </w:r>
    </w:p>
    <w:p w14:paraId="0C3DCD89" w14:textId="32EA5EB6" w:rsidR="00F87695" w:rsidRDefault="00F255C7"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 xml:space="preserve">A structural equation model was </w:t>
      </w:r>
      <w:r w:rsidR="00636098">
        <w:rPr>
          <w:sz w:val="26"/>
          <w:szCs w:val="26"/>
          <w:lang w:val="en-US"/>
        </w:rPr>
        <w:t>employ</w:t>
      </w:r>
      <w:r w:rsidRPr="009A3785">
        <w:rPr>
          <w:sz w:val="26"/>
          <w:szCs w:val="26"/>
          <w:lang w:val="en-US"/>
        </w:rPr>
        <w:t xml:space="preserve">ed to </w:t>
      </w:r>
      <w:r w:rsidR="00636098">
        <w:rPr>
          <w:sz w:val="26"/>
          <w:szCs w:val="26"/>
          <w:lang w:val="en-US"/>
        </w:rPr>
        <w:t>investigat</w:t>
      </w:r>
      <w:r w:rsidRPr="009A3785">
        <w:rPr>
          <w:sz w:val="26"/>
          <w:szCs w:val="26"/>
          <w:lang w:val="en-US"/>
        </w:rPr>
        <w:t>e the i</w:t>
      </w:r>
      <w:r w:rsidR="00636098">
        <w:rPr>
          <w:sz w:val="26"/>
          <w:szCs w:val="26"/>
          <w:lang w:val="en-US"/>
        </w:rPr>
        <w:t>nfluence</w:t>
      </w:r>
      <w:r w:rsidRPr="009A3785">
        <w:rPr>
          <w:sz w:val="26"/>
          <w:szCs w:val="26"/>
          <w:lang w:val="en-US"/>
        </w:rPr>
        <w:t xml:space="preserve"> of Circular Supply Chain Enablers (CSCE) and Environmental Sustainability Initiatives (ESI) on Economic Growth (EG)</w:t>
      </w:r>
      <w:r w:rsidR="00636098">
        <w:rPr>
          <w:sz w:val="26"/>
          <w:szCs w:val="26"/>
          <w:lang w:val="en-US"/>
        </w:rPr>
        <w:t>,</w:t>
      </w:r>
      <w:r w:rsidRPr="009A3785">
        <w:rPr>
          <w:sz w:val="26"/>
          <w:szCs w:val="26"/>
          <w:lang w:val="en-US"/>
        </w:rPr>
        <w:t xml:space="preserve"> u</w:t>
      </w:r>
      <w:r w:rsidR="00636098">
        <w:rPr>
          <w:sz w:val="26"/>
          <w:szCs w:val="26"/>
          <w:lang w:val="en-US"/>
        </w:rPr>
        <w:t>tiliz</w:t>
      </w:r>
      <w:r w:rsidRPr="009A3785">
        <w:rPr>
          <w:sz w:val="26"/>
          <w:szCs w:val="26"/>
          <w:lang w:val="en-US"/>
        </w:rPr>
        <w:t xml:space="preserve">ing data from 194 textile companies </w:t>
      </w:r>
      <w:r w:rsidR="00636098">
        <w:rPr>
          <w:sz w:val="26"/>
          <w:szCs w:val="26"/>
          <w:lang w:val="en-US"/>
        </w:rPr>
        <w:t>in</w:t>
      </w:r>
      <w:r w:rsidRPr="009A3785">
        <w:rPr>
          <w:sz w:val="26"/>
          <w:szCs w:val="26"/>
          <w:lang w:val="en-US"/>
        </w:rPr>
        <w:t xml:space="preserve"> Morocco. The analysis of </w:t>
      </w:r>
      <w:r w:rsidR="00636098">
        <w:rPr>
          <w:sz w:val="26"/>
          <w:szCs w:val="26"/>
          <w:lang w:val="en-US"/>
        </w:rPr>
        <w:t xml:space="preserve">the </w:t>
      </w:r>
      <w:r w:rsidRPr="009A3785">
        <w:rPr>
          <w:sz w:val="26"/>
          <w:szCs w:val="26"/>
          <w:lang w:val="en-US"/>
        </w:rPr>
        <w:t xml:space="preserve">results confirmed the positive significance of Circular Supply Chain Enablers and Environmental Sustainability Initiatives on </w:t>
      </w:r>
      <w:r w:rsidR="00636098">
        <w:rPr>
          <w:sz w:val="26"/>
          <w:szCs w:val="26"/>
          <w:lang w:val="en-US"/>
        </w:rPr>
        <w:t>economic g</w:t>
      </w:r>
      <w:r w:rsidRPr="009A3785">
        <w:rPr>
          <w:sz w:val="26"/>
          <w:szCs w:val="26"/>
          <w:lang w:val="en-US"/>
        </w:rPr>
        <w:t>rowth. The formative measurement model validated the distinct contributions of each indicator by focusing on the variance inflation factor (VIF), outer weights, outer loadings, and p</w:t>
      </w:r>
      <w:r w:rsidR="00636098">
        <w:rPr>
          <w:sz w:val="26"/>
          <w:szCs w:val="26"/>
          <w:lang w:val="en-US"/>
        </w:rPr>
        <w:t>-</w:t>
      </w:r>
      <w:r w:rsidRPr="009A3785">
        <w:rPr>
          <w:sz w:val="26"/>
          <w:szCs w:val="26"/>
          <w:lang w:val="en-US"/>
        </w:rPr>
        <w:t>values. Twelve of the fifteen indicators meet the significance thresholds, while cleaner production (CSCE 2), Reverse logistics infrastructure (CSCE</w:t>
      </w:r>
      <w:r w:rsidR="00636098">
        <w:rPr>
          <w:sz w:val="26"/>
          <w:szCs w:val="26"/>
          <w:lang w:val="en-US"/>
        </w:rPr>
        <w:t xml:space="preserve"> </w:t>
      </w:r>
      <w:r w:rsidRPr="009A3785">
        <w:rPr>
          <w:sz w:val="26"/>
          <w:szCs w:val="26"/>
          <w:lang w:val="en-US"/>
        </w:rPr>
        <w:t>3), and Circular economy Human resources management (CSCE</w:t>
      </w:r>
      <w:r w:rsidR="00636098">
        <w:rPr>
          <w:sz w:val="26"/>
          <w:szCs w:val="26"/>
          <w:lang w:val="en-US"/>
        </w:rPr>
        <w:t xml:space="preserve"> </w:t>
      </w:r>
      <w:r w:rsidRPr="009A3785">
        <w:rPr>
          <w:sz w:val="26"/>
          <w:szCs w:val="26"/>
          <w:lang w:val="en-US"/>
        </w:rPr>
        <w:t>5) do not. These insights offer a foundation for targeted actions to promote economic growth in the textile industry.</w:t>
      </w:r>
    </w:p>
    <w:p w14:paraId="1957470B" w14:textId="6314B2BC" w:rsidR="002E35FF" w:rsidRPr="009A3785" w:rsidRDefault="002E35FF" w:rsidP="00824E69">
      <w:pPr>
        <w:autoSpaceDE w:val="0"/>
        <w:autoSpaceDN w:val="0"/>
        <w:adjustRightInd w:val="0"/>
        <w:snapToGrid w:val="0"/>
        <w:spacing w:line="300" w:lineRule="auto"/>
        <w:ind w:firstLineChars="200" w:firstLine="520"/>
        <w:jc w:val="both"/>
        <w:rPr>
          <w:sz w:val="26"/>
          <w:szCs w:val="26"/>
          <w:lang w:val="en-US"/>
        </w:rPr>
      </w:pPr>
    </w:p>
    <w:p w14:paraId="780C5E11" w14:textId="644831C7" w:rsidR="00172088" w:rsidRPr="009A3785" w:rsidRDefault="00172088" w:rsidP="00824E69">
      <w:pPr>
        <w:autoSpaceDE w:val="0"/>
        <w:autoSpaceDN w:val="0"/>
        <w:adjustRightInd w:val="0"/>
        <w:snapToGrid w:val="0"/>
        <w:spacing w:line="300" w:lineRule="auto"/>
        <w:jc w:val="both"/>
        <w:rPr>
          <w:b/>
          <w:bCs/>
          <w:sz w:val="26"/>
          <w:szCs w:val="26"/>
          <w:lang w:val="en-US" w:eastAsia="en-AU"/>
        </w:rPr>
      </w:pPr>
      <w:r w:rsidRPr="009A3785">
        <w:rPr>
          <w:b/>
          <w:bCs/>
          <w:sz w:val="26"/>
          <w:szCs w:val="26"/>
          <w:lang w:val="en-US" w:eastAsia="en-AU"/>
        </w:rPr>
        <w:t xml:space="preserve">Theoretical </w:t>
      </w:r>
      <w:r w:rsidR="00E17610" w:rsidRPr="009A3785">
        <w:rPr>
          <w:b/>
          <w:bCs/>
          <w:sz w:val="26"/>
          <w:szCs w:val="26"/>
          <w:lang w:val="en-US" w:eastAsia="en-AU"/>
        </w:rPr>
        <w:t>I</w:t>
      </w:r>
      <w:r w:rsidRPr="009A3785">
        <w:rPr>
          <w:b/>
          <w:bCs/>
          <w:sz w:val="26"/>
          <w:szCs w:val="26"/>
          <w:lang w:val="en-US" w:eastAsia="en-AU"/>
        </w:rPr>
        <w:t>mplications</w:t>
      </w:r>
    </w:p>
    <w:p w14:paraId="4526AC58" w14:textId="3E6C4793" w:rsidR="00172088" w:rsidRDefault="00DD131D"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 xml:space="preserve">The results provide </w:t>
      </w:r>
      <w:r w:rsidR="00636098">
        <w:rPr>
          <w:sz w:val="26"/>
          <w:szCs w:val="26"/>
          <w:lang w:val="en-US"/>
        </w:rPr>
        <w:t>significant</w:t>
      </w:r>
      <w:r w:rsidRPr="009A3785">
        <w:rPr>
          <w:sz w:val="26"/>
          <w:szCs w:val="26"/>
          <w:lang w:val="en-US"/>
        </w:rPr>
        <w:t xml:space="preserve"> theoretical contributions </w:t>
      </w:r>
      <w:r w:rsidR="00636098">
        <w:rPr>
          <w:sz w:val="26"/>
          <w:szCs w:val="26"/>
          <w:lang w:val="en-US"/>
        </w:rPr>
        <w:t>to</w:t>
      </w:r>
      <w:r w:rsidRPr="009A3785">
        <w:rPr>
          <w:sz w:val="26"/>
          <w:szCs w:val="26"/>
          <w:lang w:val="en-US"/>
        </w:rPr>
        <w:t xml:space="preserve"> complementing the conceptualization of Economic Growth (EG) as a construct that is i</w:t>
      </w:r>
      <w:r w:rsidR="00636098">
        <w:rPr>
          <w:sz w:val="26"/>
          <w:szCs w:val="26"/>
          <w:lang w:val="en-US"/>
        </w:rPr>
        <w:t>nfluenc</w:t>
      </w:r>
      <w:r w:rsidRPr="009A3785">
        <w:rPr>
          <w:sz w:val="26"/>
          <w:szCs w:val="26"/>
          <w:lang w:val="en-US"/>
        </w:rPr>
        <w:t xml:space="preserve">ed by strategic enablers and sustainability efforts </w:t>
      </w:r>
      <w:r w:rsidR="00636098">
        <w:rPr>
          <w:sz w:val="26"/>
          <w:szCs w:val="26"/>
          <w:lang w:val="en-US"/>
        </w:rPr>
        <w:t>from</w:t>
      </w:r>
      <w:r w:rsidRPr="009A3785">
        <w:rPr>
          <w:sz w:val="26"/>
          <w:szCs w:val="26"/>
          <w:lang w:val="en-US"/>
        </w:rPr>
        <w:t xml:space="preserve"> the perspective of circular supply chains. Modelling Circular Supply Chain Enablers (CSCE) and Environmental Sustainability Initiatives (ESI) as formative constructs, this paper makes progress toward the theoretical conceptualization of circularity as a multidimensional business force influencing microeconomic results. It </w:t>
      </w:r>
      <w:r w:rsidR="00636098">
        <w:rPr>
          <w:sz w:val="26"/>
          <w:szCs w:val="26"/>
          <w:lang w:val="en-US"/>
        </w:rPr>
        <w:t>emphasize</w:t>
      </w:r>
      <w:r w:rsidRPr="009A3785">
        <w:rPr>
          <w:sz w:val="26"/>
          <w:szCs w:val="26"/>
          <w:lang w:val="en-US"/>
        </w:rPr>
        <w:t xml:space="preserve">s that economic growth cannot be generated </w:t>
      </w:r>
      <w:r w:rsidR="00636098">
        <w:rPr>
          <w:sz w:val="26"/>
          <w:szCs w:val="26"/>
          <w:lang w:val="en-US"/>
        </w:rPr>
        <w:t>sole</w:t>
      </w:r>
      <w:r w:rsidRPr="009A3785">
        <w:rPr>
          <w:sz w:val="26"/>
          <w:szCs w:val="26"/>
          <w:lang w:val="en-US"/>
        </w:rPr>
        <w:t xml:space="preserve">ly by the conventions of economic inputs, but by correlating strategic capabilities and environmental operations. This understanding helps </w:t>
      </w:r>
      <w:r w:rsidR="00636098">
        <w:rPr>
          <w:sz w:val="26"/>
          <w:szCs w:val="26"/>
          <w:lang w:val="en-US"/>
        </w:rPr>
        <w:t xml:space="preserve">to inform </w:t>
      </w:r>
      <w:r w:rsidRPr="009A3785">
        <w:rPr>
          <w:sz w:val="26"/>
          <w:szCs w:val="26"/>
          <w:lang w:val="en-US"/>
        </w:rPr>
        <w:t xml:space="preserve">the </w:t>
      </w:r>
      <w:r w:rsidR="00636098">
        <w:rPr>
          <w:sz w:val="26"/>
          <w:szCs w:val="26"/>
          <w:lang w:val="en-US"/>
        </w:rPr>
        <w:t>growing body of</w:t>
      </w:r>
      <w:r w:rsidRPr="009A3785">
        <w:rPr>
          <w:sz w:val="26"/>
          <w:szCs w:val="26"/>
          <w:lang w:val="en-US"/>
        </w:rPr>
        <w:t xml:space="preserve"> literature that has associated circular supply chain strategy with </w:t>
      </w:r>
      <w:r w:rsidR="00636098">
        <w:rPr>
          <w:sz w:val="26"/>
          <w:szCs w:val="26"/>
          <w:lang w:val="en-US"/>
        </w:rPr>
        <w:t>broa</w:t>
      </w:r>
      <w:r w:rsidRPr="009A3785">
        <w:rPr>
          <w:sz w:val="26"/>
          <w:szCs w:val="26"/>
          <w:lang w:val="en-US"/>
        </w:rPr>
        <w:t>der economic development models.</w:t>
      </w:r>
    </w:p>
    <w:p w14:paraId="7EEF9198" w14:textId="77777777" w:rsidR="00CF7C39" w:rsidRPr="009A3785" w:rsidRDefault="00CF7C39" w:rsidP="00824E69">
      <w:pPr>
        <w:autoSpaceDE w:val="0"/>
        <w:autoSpaceDN w:val="0"/>
        <w:adjustRightInd w:val="0"/>
        <w:snapToGrid w:val="0"/>
        <w:spacing w:line="300" w:lineRule="auto"/>
        <w:ind w:firstLineChars="200" w:firstLine="520"/>
        <w:jc w:val="both"/>
        <w:rPr>
          <w:sz w:val="26"/>
          <w:szCs w:val="26"/>
          <w:lang w:val="en-US"/>
        </w:rPr>
      </w:pPr>
    </w:p>
    <w:p w14:paraId="1602F877" w14:textId="6834F0AB" w:rsidR="00F87695" w:rsidRPr="009A3785" w:rsidRDefault="00AA5699" w:rsidP="00824E69">
      <w:pPr>
        <w:autoSpaceDE w:val="0"/>
        <w:autoSpaceDN w:val="0"/>
        <w:adjustRightInd w:val="0"/>
        <w:snapToGrid w:val="0"/>
        <w:spacing w:line="300" w:lineRule="auto"/>
        <w:jc w:val="both"/>
        <w:rPr>
          <w:b/>
          <w:bCs/>
          <w:sz w:val="26"/>
          <w:szCs w:val="26"/>
          <w:lang w:val="en-US" w:eastAsia="en-AU"/>
        </w:rPr>
      </w:pPr>
      <w:bookmarkStart w:id="11" w:name="_Hlk205414903"/>
      <w:r w:rsidRPr="009A3785">
        <w:rPr>
          <w:b/>
          <w:bCs/>
          <w:sz w:val="26"/>
          <w:szCs w:val="26"/>
          <w:lang w:val="en-US" w:eastAsia="en-AU"/>
        </w:rPr>
        <w:t xml:space="preserve">Practical </w:t>
      </w:r>
      <w:r w:rsidR="00E17610" w:rsidRPr="009A3785">
        <w:rPr>
          <w:b/>
          <w:bCs/>
          <w:sz w:val="26"/>
          <w:szCs w:val="26"/>
          <w:lang w:val="en-US" w:eastAsia="en-AU"/>
        </w:rPr>
        <w:t>I</w:t>
      </w:r>
      <w:r w:rsidRPr="009A3785">
        <w:rPr>
          <w:b/>
          <w:bCs/>
          <w:sz w:val="26"/>
          <w:szCs w:val="26"/>
          <w:lang w:val="en-US" w:eastAsia="en-AU"/>
        </w:rPr>
        <w:t>mplications</w:t>
      </w:r>
    </w:p>
    <w:bookmarkEnd w:id="11"/>
    <w:p w14:paraId="00771EF0" w14:textId="35A66C4B" w:rsidR="00F87695" w:rsidRDefault="00D022DA"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 xml:space="preserve">The research has important practical implications for both managers and policymakers working in </w:t>
      </w:r>
      <w:r w:rsidR="00636098">
        <w:rPr>
          <w:sz w:val="26"/>
          <w:szCs w:val="26"/>
          <w:lang w:val="en-US"/>
        </w:rPr>
        <w:t xml:space="preserve">the </w:t>
      </w:r>
      <w:r w:rsidRPr="009A3785">
        <w:rPr>
          <w:sz w:val="26"/>
          <w:szCs w:val="26"/>
          <w:lang w:val="en-US"/>
        </w:rPr>
        <w:t>textile industr</w:t>
      </w:r>
      <w:r w:rsidR="00636098">
        <w:rPr>
          <w:sz w:val="26"/>
          <w:szCs w:val="26"/>
          <w:lang w:val="en-US"/>
        </w:rPr>
        <w:t>y</w:t>
      </w:r>
      <w:r w:rsidRPr="009A3785">
        <w:rPr>
          <w:sz w:val="26"/>
          <w:szCs w:val="26"/>
          <w:lang w:val="en-US"/>
        </w:rPr>
        <w:t xml:space="preserve"> who want to promote firm-level economic growth by engaging in sustainable activities. The findings </w:t>
      </w:r>
      <w:r w:rsidR="00636098">
        <w:rPr>
          <w:sz w:val="26"/>
          <w:szCs w:val="26"/>
          <w:lang w:val="en-US"/>
        </w:rPr>
        <w:t>highlight</w:t>
      </w:r>
      <w:r w:rsidRPr="009A3785">
        <w:rPr>
          <w:sz w:val="26"/>
          <w:szCs w:val="26"/>
          <w:lang w:val="en-US"/>
        </w:rPr>
        <w:t xml:space="preserve"> the </w:t>
      </w:r>
      <w:r w:rsidR="00636098">
        <w:rPr>
          <w:sz w:val="26"/>
          <w:szCs w:val="26"/>
          <w:lang w:val="en-US"/>
        </w:rPr>
        <w:t>import</w:t>
      </w:r>
      <w:r w:rsidRPr="009A3785">
        <w:rPr>
          <w:sz w:val="26"/>
          <w:szCs w:val="26"/>
          <w:lang w:val="en-US"/>
        </w:rPr>
        <w:t xml:space="preserve">ance of </w:t>
      </w:r>
      <w:r w:rsidR="00636098">
        <w:rPr>
          <w:sz w:val="26"/>
          <w:szCs w:val="26"/>
          <w:lang w:val="en-US"/>
        </w:rPr>
        <w:t>investing</w:t>
      </w:r>
      <w:r w:rsidRPr="009A3785">
        <w:rPr>
          <w:sz w:val="26"/>
          <w:szCs w:val="26"/>
          <w:lang w:val="en-US"/>
        </w:rPr>
        <w:t xml:space="preserve"> in circular supply chain enablers</w:t>
      </w:r>
      <w:r w:rsidR="00636098">
        <w:rPr>
          <w:sz w:val="26"/>
          <w:szCs w:val="26"/>
          <w:lang w:val="en-US"/>
        </w:rPr>
        <w:t>,</w:t>
      </w:r>
      <w:r w:rsidRPr="009A3785">
        <w:rPr>
          <w:sz w:val="26"/>
          <w:szCs w:val="26"/>
          <w:lang w:val="en-US"/>
        </w:rPr>
        <w:t xml:space="preserve"> </w:t>
      </w:r>
      <w:r w:rsidR="00636098">
        <w:rPr>
          <w:sz w:val="26"/>
          <w:szCs w:val="26"/>
          <w:lang w:val="en-US"/>
        </w:rPr>
        <w:t>such as c</w:t>
      </w:r>
      <w:r w:rsidRPr="009A3785">
        <w:rPr>
          <w:sz w:val="26"/>
          <w:szCs w:val="26"/>
          <w:lang w:val="en-US"/>
        </w:rPr>
        <w:t>ircular design and relationship management</w:t>
      </w:r>
      <w:r w:rsidR="00636098">
        <w:rPr>
          <w:sz w:val="26"/>
          <w:szCs w:val="26"/>
          <w:lang w:val="en-US"/>
        </w:rPr>
        <w:t>,</w:t>
      </w:r>
      <w:r w:rsidRPr="009A3785">
        <w:rPr>
          <w:sz w:val="26"/>
          <w:szCs w:val="26"/>
          <w:lang w:val="en-US"/>
        </w:rPr>
        <w:t xml:space="preserve"> to </w:t>
      </w:r>
      <w:r w:rsidR="00636098">
        <w:rPr>
          <w:sz w:val="26"/>
          <w:szCs w:val="26"/>
          <w:lang w:val="en-US"/>
        </w:rPr>
        <w:t>support</w:t>
      </w:r>
      <w:r w:rsidRPr="009A3785">
        <w:rPr>
          <w:sz w:val="26"/>
          <w:szCs w:val="26"/>
          <w:lang w:val="en-US"/>
        </w:rPr>
        <w:t xml:space="preserve"> the implementation of </w:t>
      </w:r>
      <w:r w:rsidR="00636098">
        <w:rPr>
          <w:sz w:val="26"/>
          <w:szCs w:val="26"/>
          <w:lang w:val="en-US"/>
        </w:rPr>
        <w:t>a</w:t>
      </w:r>
      <w:r w:rsidRPr="009A3785">
        <w:rPr>
          <w:sz w:val="26"/>
          <w:szCs w:val="26"/>
          <w:lang w:val="en-US"/>
        </w:rPr>
        <w:t xml:space="preserve"> circular supply chain. A</w:t>
      </w:r>
      <w:r w:rsidR="00636098">
        <w:rPr>
          <w:sz w:val="26"/>
          <w:szCs w:val="26"/>
          <w:lang w:val="en-US"/>
        </w:rPr>
        <w:t>dditionally</w:t>
      </w:r>
      <w:r w:rsidRPr="009A3785">
        <w:rPr>
          <w:sz w:val="26"/>
          <w:szCs w:val="26"/>
          <w:lang w:val="en-US"/>
        </w:rPr>
        <w:t xml:space="preserve">, focusing on environmental initiatives </w:t>
      </w:r>
      <w:r w:rsidR="00636098">
        <w:rPr>
          <w:sz w:val="26"/>
          <w:szCs w:val="26"/>
          <w:lang w:val="en-US"/>
        </w:rPr>
        <w:t>such as</w:t>
      </w:r>
      <w:r w:rsidRPr="009A3785">
        <w:rPr>
          <w:sz w:val="26"/>
          <w:szCs w:val="26"/>
          <w:lang w:val="en-US"/>
        </w:rPr>
        <w:t xml:space="preserve"> reducing gas emissions and minimizing waste can </w:t>
      </w:r>
      <w:r w:rsidR="00636098">
        <w:rPr>
          <w:sz w:val="26"/>
          <w:szCs w:val="26"/>
          <w:lang w:val="en-US"/>
        </w:rPr>
        <w:t>yield</w:t>
      </w:r>
      <w:r w:rsidRPr="009A3785">
        <w:rPr>
          <w:sz w:val="26"/>
          <w:szCs w:val="26"/>
          <w:lang w:val="en-US"/>
        </w:rPr>
        <w:t xml:space="preserve"> economic returns, which can be quantified. Such results stimulate companies to consider sustainability n</w:t>
      </w:r>
      <w:r w:rsidR="00636098">
        <w:rPr>
          <w:sz w:val="26"/>
          <w:szCs w:val="26"/>
          <w:lang w:val="en-US"/>
        </w:rPr>
        <w:t>ot only</w:t>
      </w:r>
      <w:r w:rsidRPr="009A3785">
        <w:rPr>
          <w:sz w:val="26"/>
          <w:szCs w:val="26"/>
          <w:lang w:val="en-US"/>
        </w:rPr>
        <w:t xml:space="preserve"> as an expense, but </w:t>
      </w:r>
      <w:r w:rsidR="00636098">
        <w:rPr>
          <w:sz w:val="26"/>
          <w:szCs w:val="26"/>
          <w:lang w:val="en-US"/>
        </w:rPr>
        <w:t xml:space="preserve">also </w:t>
      </w:r>
      <w:r w:rsidRPr="009A3785">
        <w:rPr>
          <w:sz w:val="26"/>
          <w:szCs w:val="26"/>
          <w:lang w:val="en-US"/>
        </w:rPr>
        <w:t xml:space="preserve">as a value-creating action plan that enhances </w:t>
      </w:r>
      <w:r w:rsidR="00E17610" w:rsidRPr="009A3785">
        <w:rPr>
          <w:sz w:val="26"/>
          <w:szCs w:val="26"/>
          <w:lang w:val="en-US"/>
        </w:rPr>
        <w:t>long</w:t>
      </w:r>
      <w:r w:rsidRPr="009A3785">
        <w:rPr>
          <w:sz w:val="26"/>
          <w:szCs w:val="26"/>
          <w:lang w:val="en-US"/>
        </w:rPr>
        <w:t>-</w:t>
      </w:r>
      <w:r w:rsidR="00636098">
        <w:rPr>
          <w:sz w:val="26"/>
          <w:szCs w:val="26"/>
          <w:lang w:val="en-US"/>
        </w:rPr>
        <w:t>term</w:t>
      </w:r>
      <w:r w:rsidRPr="009A3785">
        <w:rPr>
          <w:sz w:val="26"/>
          <w:szCs w:val="26"/>
          <w:lang w:val="en-US"/>
        </w:rPr>
        <w:t xml:space="preserve"> competitiveness and durability in dynamic markets.</w:t>
      </w:r>
    </w:p>
    <w:p w14:paraId="7B428235" w14:textId="77777777" w:rsidR="00CF7C39" w:rsidRPr="009A3785" w:rsidRDefault="00CF7C39" w:rsidP="00824E69">
      <w:pPr>
        <w:autoSpaceDE w:val="0"/>
        <w:autoSpaceDN w:val="0"/>
        <w:adjustRightInd w:val="0"/>
        <w:snapToGrid w:val="0"/>
        <w:spacing w:line="300" w:lineRule="auto"/>
        <w:ind w:firstLineChars="200" w:firstLine="520"/>
        <w:jc w:val="both"/>
        <w:rPr>
          <w:sz w:val="26"/>
          <w:szCs w:val="26"/>
          <w:lang w:val="en-US"/>
        </w:rPr>
      </w:pPr>
    </w:p>
    <w:p w14:paraId="233A9CA9" w14:textId="47961419" w:rsidR="00143917" w:rsidRPr="009A3785" w:rsidRDefault="00143917" w:rsidP="00824E69">
      <w:pPr>
        <w:autoSpaceDE w:val="0"/>
        <w:autoSpaceDN w:val="0"/>
        <w:adjustRightInd w:val="0"/>
        <w:snapToGrid w:val="0"/>
        <w:spacing w:line="300" w:lineRule="auto"/>
        <w:jc w:val="both"/>
        <w:rPr>
          <w:b/>
          <w:bCs/>
          <w:sz w:val="26"/>
          <w:szCs w:val="26"/>
          <w:lang w:val="en-US" w:eastAsia="en-AU"/>
        </w:rPr>
      </w:pPr>
      <w:r w:rsidRPr="009A3785">
        <w:rPr>
          <w:b/>
          <w:bCs/>
          <w:sz w:val="26"/>
          <w:szCs w:val="26"/>
          <w:lang w:val="en-US" w:eastAsia="en-AU"/>
        </w:rPr>
        <w:t xml:space="preserve">Future </w:t>
      </w:r>
      <w:r w:rsidR="00E17610" w:rsidRPr="009A3785">
        <w:rPr>
          <w:b/>
          <w:bCs/>
          <w:sz w:val="26"/>
          <w:szCs w:val="26"/>
          <w:lang w:val="en-US" w:eastAsia="en-AU"/>
        </w:rPr>
        <w:t>R</w:t>
      </w:r>
      <w:r w:rsidRPr="009A3785">
        <w:rPr>
          <w:b/>
          <w:bCs/>
          <w:sz w:val="26"/>
          <w:szCs w:val="26"/>
          <w:lang w:val="en-US" w:eastAsia="en-AU"/>
        </w:rPr>
        <w:t xml:space="preserve">esearch </w:t>
      </w:r>
      <w:r w:rsidR="00E17610" w:rsidRPr="009A3785">
        <w:rPr>
          <w:b/>
          <w:bCs/>
          <w:sz w:val="26"/>
          <w:szCs w:val="26"/>
          <w:lang w:val="en-US" w:eastAsia="en-AU"/>
        </w:rPr>
        <w:t>D</w:t>
      </w:r>
      <w:r w:rsidRPr="009A3785">
        <w:rPr>
          <w:b/>
          <w:bCs/>
          <w:sz w:val="26"/>
          <w:szCs w:val="26"/>
          <w:lang w:val="en-US" w:eastAsia="en-AU"/>
        </w:rPr>
        <w:t>irection</w:t>
      </w:r>
      <w:r w:rsidR="00067235" w:rsidRPr="009A3785">
        <w:rPr>
          <w:b/>
          <w:bCs/>
          <w:sz w:val="26"/>
          <w:szCs w:val="26"/>
          <w:lang w:val="en-US" w:eastAsia="en-AU"/>
        </w:rPr>
        <w:t>s</w:t>
      </w:r>
    </w:p>
    <w:p w14:paraId="63979421" w14:textId="0BA06FA1" w:rsidR="00F87695" w:rsidRPr="009A3785" w:rsidRDefault="008319BA" w:rsidP="00824E69">
      <w:pPr>
        <w:autoSpaceDE w:val="0"/>
        <w:autoSpaceDN w:val="0"/>
        <w:adjustRightInd w:val="0"/>
        <w:snapToGrid w:val="0"/>
        <w:spacing w:line="300" w:lineRule="auto"/>
        <w:ind w:firstLineChars="200" w:firstLine="520"/>
        <w:jc w:val="both"/>
        <w:rPr>
          <w:sz w:val="26"/>
          <w:szCs w:val="26"/>
          <w:lang w:val="en-US"/>
        </w:rPr>
      </w:pPr>
      <w:r w:rsidRPr="009A3785">
        <w:rPr>
          <w:sz w:val="26"/>
          <w:szCs w:val="26"/>
          <w:lang w:val="en-US"/>
        </w:rPr>
        <w:t xml:space="preserve">Future studies </w:t>
      </w:r>
      <w:r w:rsidR="00636098">
        <w:rPr>
          <w:sz w:val="26"/>
          <w:szCs w:val="26"/>
          <w:lang w:val="en-US"/>
        </w:rPr>
        <w:t>could</w:t>
      </w:r>
      <w:r w:rsidRPr="009A3785">
        <w:rPr>
          <w:sz w:val="26"/>
          <w:szCs w:val="26"/>
          <w:lang w:val="en-US"/>
        </w:rPr>
        <w:t xml:space="preserve"> further </w:t>
      </w:r>
      <w:r w:rsidR="00636098">
        <w:rPr>
          <w:sz w:val="26"/>
          <w:szCs w:val="26"/>
          <w:lang w:val="en-US"/>
        </w:rPr>
        <w:t>explore</w:t>
      </w:r>
      <w:r w:rsidRPr="009A3785">
        <w:rPr>
          <w:sz w:val="26"/>
          <w:szCs w:val="26"/>
          <w:lang w:val="en-US"/>
        </w:rPr>
        <w:t xml:space="preserve"> the dynamic connections between circular supply chain enablers and environmental sustainability initiatives</w:t>
      </w:r>
      <w:r w:rsidR="00636098">
        <w:rPr>
          <w:sz w:val="26"/>
          <w:szCs w:val="26"/>
          <w:lang w:val="en-US"/>
        </w:rPr>
        <w:t>,</w:t>
      </w:r>
      <w:r w:rsidRPr="009A3785">
        <w:rPr>
          <w:sz w:val="26"/>
          <w:szCs w:val="26"/>
          <w:lang w:val="en-US"/>
        </w:rPr>
        <w:t xml:space="preserve"> </w:t>
      </w:r>
      <w:r w:rsidR="00636098">
        <w:rPr>
          <w:sz w:val="26"/>
          <w:szCs w:val="26"/>
          <w:lang w:val="en-US"/>
        </w:rPr>
        <w:t>as well as their impact on</w:t>
      </w:r>
      <w:r w:rsidRPr="009A3785">
        <w:rPr>
          <w:sz w:val="26"/>
          <w:szCs w:val="26"/>
          <w:lang w:val="en-US"/>
        </w:rPr>
        <w:t xml:space="preserve"> economic growth in various industrial sectors </w:t>
      </w:r>
      <w:r w:rsidR="00636098">
        <w:rPr>
          <w:sz w:val="26"/>
          <w:szCs w:val="26"/>
          <w:lang w:val="en-US"/>
        </w:rPr>
        <w:t>and</w:t>
      </w:r>
      <w:r w:rsidRPr="009A3785">
        <w:rPr>
          <w:sz w:val="26"/>
          <w:szCs w:val="26"/>
          <w:lang w:val="en-US"/>
        </w:rPr>
        <w:t xml:space="preserve"> geographical locations. It is also possible that longitudinal studies are </w:t>
      </w:r>
      <w:r w:rsidR="00636098">
        <w:rPr>
          <w:sz w:val="26"/>
          <w:szCs w:val="26"/>
          <w:lang w:val="en-US"/>
        </w:rPr>
        <w:t>conducted</w:t>
      </w:r>
      <w:r w:rsidRPr="009A3785">
        <w:rPr>
          <w:sz w:val="26"/>
          <w:szCs w:val="26"/>
          <w:lang w:val="en-US"/>
        </w:rPr>
        <w:t xml:space="preserve"> to </w:t>
      </w:r>
      <w:r w:rsidR="00636098">
        <w:rPr>
          <w:sz w:val="26"/>
          <w:szCs w:val="26"/>
          <w:lang w:val="en-US"/>
        </w:rPr>
        <w:t>gather more</w:t>
      </w:r>
      <w:r w:rsidRPr="009A3785">
        <w:rPr>
          <w:sz w:val="26"/>
          <w:szCs w:val="26"/>
          <w:lang w:val="en-US"/>
        </w:rPr>
        <w:t xml:space="preserve"> observations of how these relationships </w:t>
      </w:r>
      <w:r w:rsidR="00636098">
        <w:rPr>
          <w:sz w:val="26"/>
          <w:szCs w:val="26"/>
          <w:lang w:val="en-US"/>
        </w:rPr>
        <w:t>evolve</w:t>
      </w:r>
      <w:r w:rsidRPr="009A3785">
        <w:rPr>
          <w:sz w:val="26"/>
          <w:szCs w:val="26"/>
          <w:lang w:val="en-US"/>
        </w:rPr>
        <w:t xml:space="preserve">. </w:t>
      </w:r>
      <w:r w:rsidR="00E17610" w:rsidRPr="009A3785">
        <w:rPr>
          <w:sz w:val="26"/>
          <w:szCs w:val="26"/>
          <w:lang w:val="en-US"/>
        </w:rPr>
        <w:t>Longitudinal</w:t>
      </w:r>
      <w:r w:rsidRPr="009A3785">
        <w:rPr>
          <w:sz w:val="26"/>
          <w:szCs w:val="26"/>
          <w:lang w:val="en-US"/>
        </w:rPr>
        <w:t xml:space="preserve"> studies can also help </w:t>
      </w:r>
      <w:r w:rsidR="00636098">
        <w:rPr>
          <w:sz w:val="26"/>
          <w:szCs w:val="26"/>
          <w:lang w:val="en-US"/>
        </w:rPr>
        <w:t>elucidate</w:t>
      </w:r>
      <w:r w:rsidRPr="009A3785">
        <w:rPr>
          <w:sz w:val="26"/>
          <w:szCs w:val="26"/>
          <w:lang w:val="en-US"/>
        </w:rPr>
        <w:t xml:space="preserve"> the evolutionary aspects of these relationships over time. Moreover, by using qualitative methods, </w:t>
      </w:r>
      <w:r w:rsidR="00636098">
        <w:rPr>
          <w:sz w:val="26"/>
          <w:szCs w:val="26"/>
          <w:lang w:val="en-US"/>
        </w:rPr>
        <w:t>such as</w:t>
      </w:r>
      <w:r w:rsidRPr="009A3785">
        <w:rPr>
          <w:sz w:val="26"/>
          <w:szCs w:val="26"/>
          <w:lang w:val="en-US"/>
        </w:rPr>
        <w:t xml:space="preserve"> case studies or interviews with experts, it is possible to </w:t>
      </w:r>
      <w:r w:rsidR="00636098">
        <w:rPr>
          <w:sz w:val="26"/>
          <w:szCs w:val="26"/>
          <w:lang w:val="en-US"/>
        </w:rPr>
        <w:t>gain deeper</w:t>
      </w:r>
      <w:r w:rsidRPr="009A3785">
        <w:rPr>
          <w:sz w:val="26"/>
          <w:szCs w:val="26"/>
          <w:lang w:val="en-US"/>
        </w:rPr>
        <w:t xml:space="preserve"> insight into locally specific aspects and implementation difficulties. The possibility </w:t>
      </w:r>
      <w:r w:rsidR="00636098">
        <w:rPr>
          <w:sz w:val="26"/>
          <w:szCs w:val="26"/>
          <w:lang w:val="en-US"/>
        </w:rPr>
        <w:t>of mediating</w:t>
      </w:r>
      <w:r w:rsidRPr="009A3785">
        <w:rPr>
          <w:sz w:val="26"/>
          <w:szCs w:val="26"/>
          <w:lang w:val="en-US"/>
        </w:rPr>
        <w:t xml:space="preserve"> or moderat</w:t>
      </w:r>
      <w:r w:rsidR="00636098">
        <w:rPr>
          <w:sz w:val="26"/>
          <w:szCs w:val="26"/>
          <w:lang w:val="en-US"/>
        </w:rPr>
        <w:t>ing</w:t>
      </w:r>
      <w:r w:rsidRPr="009A3785">
        <w:rPr>
          <w:sz w:val="26"/>
          <w:szCs w:val="26"/>
          <w:lang w:val="en-US"/>
        </w:rPr>
        <w:t xml:space="preserve"> variables to reveal underlying mechanisms affecting the efficacy of circular strategies could also be </w:t>
      </w:r>
      <w:r w:rsidR="00636098">
        <w:rPr>
          <w:sz w:val="26"/>
          <w:szCs w:val="26"/>
          <w:lang w:val="en-US"/>
        </w:rPr>
        <w:t>explor</w:t>
      </w:r>
      <w:r w:rsidRPr="009A3785">
        <w:rPr>
          <w:sz w:val="26"/>
          <w:szCs w:val="26"/>
          <w:lang w:val="en-US"/>
        </w:rPr>
        <w:t>ed in future work.</w:t>
      </w:r>
    </w:p>
    <w:p w14:paraId="16DDBDEC" w14:textId="452FE7C0" w:rsidR="00F651A4" w:rsidRDefault="00F651A4" w:rsidP="00824E69">
      <w:pPr>
        <w:snapToGrid w:val="0"/>
        <w:spacing w:line="300" w:lineRule="auto"/>
        <w:rPr>
          <w:sz w:val="26"/>
          <w:szCs w:val="26"/>
          <w:lang w:val="en-US"/>
        </w:rPr>
      </w:pPr>
    </w:p>
    <w:p w14:paraId="6EAFB816" w14:textId="614DC0F5" w:rsidR="00743E8D" w:rsidRPr="00611926" w:rsidRDefault="00743E8D" w:rsidP="00824E69">
      <w:pPr>
        <w:autoSpaceDE w:val="0"/>
        <w:autoSpaceDN w:val="0"/>
        <w:adjustRightInd w:val="0"/>
        <w:snapToGrid w:val="0"/>
        <w:spacing w:line="300" w:lineRule="auto"/>
        <w:rPr>
          <w:rFonts w:eastAsiaTheme="minorEastAsia"/>
          <w:b/>
          <w:bCs/>
          <w:sz w:val="26"/>
          <w:szCs w:val="26"/>
          <w:lang w:val="en-US"/>
        </w:rPr>
      </w:pPr>
      <w:r w:rsidRPr="00611926">
        <w:rPr>
          <w:rFonts w:eastAsiaTheme="minorEastAsia"/>
          <w:b/>
          <w:bCs/>
          <w:sz w:val="26"/>
          <w:szCs w:val="26"/>
          <w:lang w:val="en-US"/>
        </w:rPr>
        <w:t xml:space="preserve">Conflict of </w:t>
      </w:r>
      <w:r w:rsidR="009567FF" w:rsidRPr="00611926">
        <w:rPr>
          <w:rFonts w:eastAsiaTheme="minorEastAsia"/>
          <w:b/>
          <w:bCs/>
          <w:sz w:val="26"/>
          <w:szCs w:val="26"/>
          <w:lang w:val="en-US"/>
        </w:rPr>
        <w:t>Interests</w:t>
      </w:r>
    </w:p>
    <w:p w14:paraId="736D4CCC" w14:textId="4578433A" w:rsidR="009567FF" w:rsidRDefault="00743E8D" w:rsidP="00824E69">
      <w:pPr>
        <w:snapToGrid w:val="0"/>
        <w:spacing w:line="300" w:lineRule="auto"/>
        <w:rPr>
          <w:sz w:val="26"/>
          <w:szCs w:val="26"/>
          <w:lang w:val="en-US"/>
        </w:rPr>
      </w:pPr>
      <w:r w:rsidRPr="00743E8D">
        <w:rPr>
          <w:sz w:val="26"/>
          <w:szCs w:val="26"/>
        </w:rPr>
        <w:t>None</w:t>
      </w:r>
    </w:p>
    <w:p w14:paraId="1E7C2F32" w14:textId="3827CCCA" w:rsidR="009807BB" w:rsidRDefault="009807BB" w:rsidP="00824E69">
      <w:pPr>
        <w:autoSpaceDE w:val="0"/>
        <w:autoSpaceDN w:val="0"/>
        <w:adjustRightInd w:val="0"/>
        <w:snapToGrid w:val="0"/>
        <w:spacing w:line="300" w:lineRule="auto"/>
        <w:rPr>
          <w:rFonts w:eastAsiaTheme="minorEastAsia"/>
          <w:b/>
          <w:bCs/>
          <w:sz w:val="26"/>
          <w:szCs w:val="26"/>
          <w:lang w:val="en-US"/>
        </w:rPr>
      </w:pPr>
    </w:p>
    <w:p w14:paraId="69E838F9" w14:textId="3940F0FA" w:rsidR="00063FE2" w:rsidRDefault="00063FE2" w:rsidP="00063FE2">
      <w:pPr>
        <w:autoSpaceDE w:val="0"/>
        <w:autoSpaceDN w:val="0"/>
        <w:adjustRightInd w:val="0"/>
        <w:snapToGrid w:val="0"/>
        <w:spacing w:line="300" w:lineRule="auto"/>
        <w:jc w:val="center"/>
        <w:rPr>
          <w:rFonts w:eastAsiaTheme="minorEastAsia"/>
          <w:b/>
          <w:bCs/>
          <w:sz w:val="26"/>
          <w:szCs w:val="26"/>
          <w:lang w:val="en-US"/>
        </w:rPr>
      </w:pPr>
      <w:r>
        <w:rPr>
          <w:rFonts w:eastAsiaTheme="minorEastAsia"/>
          <w:b/>
          <w:bCs/>
          <w:sz w:val="26"/>
          <w:szCs w:val="26"/>
          <w:lang w:val="en-US" w:eastAsia="zh-TW"/>
        </w:rPr>
        <w:t>REFERENCE</w:t>
      </w:r>
    </w:p>
    <w:p w14:paraId="1D2B4E3C" w14:textId="77777777" w:rsidR="009807BB" w:rsidRPr="0064746E" w:rsidRDefault="009807BB" w:rsidP="00824E69">
      <w:pPr>
        <w:pStyle w:val="EndNoteBibliography"/>
        <w:snapToGrid w:val="0"/>
        <w:spacing w:line="300" w:lineRule="auto"/>
        <w:ind w:left="720" w:firstLineChars="0" w:hanging="720"/>
        <w:jc w:val="left"/>
        <w:rPr>
          <w:sz w:val="26"/>
          <w:szCs w:val="26"/>
        </w:rPr>
      </w:pPr>
      <w:proofErr w:type="spellStart"/>
      <w:r w:rsidRPr="0069172C">
        <w:rPr>
          <w:sz w:val="26"/>
          <w:szCs w:val="26"/>
        </w:rPr>
        <w:t>Abideen</w:t>
      </w:r>
      <w:proofErr w:type="spellEnd"/>
      <w:r w:rsidRPr="0069172C">
        <w:rPr>
          <w:sz w:val="26"/>
          <w:szCs w:val="26"/>
        </w:rPr>
        <w:t xml:space="preserve">, A. Z., Pyeman, J., Sundram, V. P. K., Tseng, M.-L., &amp; </w:t>
      </w:r>
      <w:proofErr w:type="spellStart"/>
      <w:r w:rsidRPr="0069172C">
        <w:rPr>
          <w:sz w:val="26"/>
          <w:szCs w:val="26"/>
        </w:rPr>
        <w:t>Sorooshian</w:t>
      </w:r>
      <w:proofErr w:type="spellEnd"/>
      <w:r w:rsidRPr="0069172C">
        <w:rPr>
          <w:sz w:val="26"/>
          <w:szCs w:val="26"/>
        </w:rPr>
        <w:t xml:space="preserve">, S. (2021). Leveraging capabilities of technology into a circular supply chain to build circular business models: A state-of-the-art systematic review. </w:t>
      </w:r>
      <w:r w:rsidRPr="0069172C">
        <w:rPr>
          <w:i/>
          <w:iCs/>
          <w:sz w:val="26"/>
          <w:szCs w:val="26"/>
        </w:rPr>
        <w:t>Sustainability, 13(16),</w:t>
      </w:r>
      <w:r w:rsidRPr="0069172C">
        <w:rPr>
          <w:sz w:val="26"/>
          <w:szCs w:val="26"/>
        </w:rPr>
        <w:t xml:space="preserve"> 8997. </w:t>
      </w:r>
      <w:hyperlink r:id="rId8" w:tgtFrame="_new" w:history="1">
        <w:r w:rsidRPr="0069172C">
          <w:rPr>
            <w:rStyle w:val="ae"/>
            <w:sz w:val="26"/>
            <w:szCs w:val="26"/>
          </w:rPr>
          <w:t>https://doi.org/10.3390/su13168997</w:t>
        </w:r>
      </w:hyperlink>
    </w:p>
    <w:p w14:paraId="216508B3" w14:textId="77777777" w:rsidR="009807BB" w:rsidRPr="0064746E" w:rsidRDefault="009807BB" w:rsidP="00824E69">
      <w:pPr>
        <w:pStyle w:val="EndNoteBibliography"/>
        <w:snapToGrid w:val="0"/>
        <w:spacing w:line="300" w:lineRule="auto"/>
        <w:ind w:left="720" w:firstLineChars="0" w:hanging="720"/>
        <w:jc w:val="left"/>
        <w:rPr>
          <w:sz w:val="26"/>
          <w:szCs w:val="26"/>
        </w:rPr>
      </w:pPr>
      <w:r w:rsidRPr="0069172C">
        <w:rPr>
          <w:sz w:val="26"/>
          <w:szCs w:val="26"/>
        </w:rPr>
        <w:t>Aguilar-Hernandez, G. A., Rodrigues, J. F. D., &amp; Tukker, A. (2020). Macroeconomic, social</w:t>
      </w:r>
      <w:r>
        <w:rPr>
          <w:sz w:val="26"/>
          <w:szCs w:val="26"/>
        </w:rPr>
        <w:t>,</w:t>
      </w:r>
      <w:r w:rsidRPr="0069172C">
        <w:rPr>
          <w:sz w:val="26"/>
          <w:szCs w:val="26"/>
        </w:rPr>
        <w:t xml:space="preserve"> and environmental impacts of a circular economy up to 2050: A meta-analysis of prospective studies. </w:t>
      </w:r>
      <w:r w:rsidRPr="0069172C">
        <w:rPr>
          <w:i/>
          <w:iCs/>
          <w:sz w:val="26"/>
          <w:szCs w:val="26"/>
        </w:rPr>
        <w:t>Journal of Cleaner Production, 278,</w:t>
      </w:r>
      <w:r w:rsidRPr="0069172C">
        <w:rPr>
          <w:sz w:val="26"/>
          <w:szCs w:val="26"/>
        </w:rPr>
        <w:t xml:space="preserve"> 123421. </w:t>
      </w:r>
      <w:hyperlink r:id="rId9" w:tgtFrame="_new" w:history="1">
        <w:r w:rsidRPr="0069172C">
          <w:rPr>
            <w:rStyle w:val="ae"/>
            <w:sz w:val="26"/>
            <w:szCs w:val="26"/>
          </w:rPr>
          <w:t>https://doi.org/10.1016/j.jclepro.2020.123421</w:t>
        </w:r>
      </w:hyperlink>
    </w:p>
    <w:p w14:paraId="3C0B77A5"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Anderson, J. C., &amp; Gerbing, D. W. (1988). Structural equation modeling in practice: A review and recommended two-step approach. </w:t>
      </w:r>
      <w:r w:rsidRPr="0069172C">
        <w:rPr>
          <w:i/>
          <w:iCs/>
          <w:sz w:val="26"/>
          <w:szCs w:val="26"/>
        </w:rPr>
        <w:t>Psychological Bulletin, 103(3),</w:t>
      </w:r>
      <w:r w:rsidRPr="0069172C">
        <w:rPr>
          <w:sz w:val="26"/>
          <w:szCs w:val="26"/>
        </w:rPr>
        <w:t xml:space="preserve"> 411–423. </w:t>
      </w:r>
      <w:hyperlink r:id="rId10" w:tgtFrame="_new" w:history="1">
        <w:r w:rsidRPr="0069172C">
          <w:rPr>
            <w:rStyle w:val="ae"/>
            <w:sz w:val="26"/>
            <w:szCs w:val="26"/>
          </w:rPr>
          <w:t>https://doi.org/10.1037/0033-2909.103.3.411</w:t>
        </w:r>
      </w:hyperlink>
    </w:p>
    <w:p w14:paraId="1EF9CCC2" w14:textId="77777777" w:rsidR="009807BB" w:rsidRPr="0069172C" w:rsidRDefault="009807BB" w:rsidP="00824E69">
      <w:pPr>
        <w:pStyle w:val="EndNoteBibliography"/>
        <w:snapToGrid w:val="0"/>
        <w:spacing w:line="300" w:lineRule="auto"/>
        <w:ind w:left="720" w:firstLineChars="0" w:hanging="720"/>
        <w:jc w:val="left"/>
        <w:rPr>
          <w:sz w:val="26"/>
          <w:szCs w:val="26"/>
        </w:rPr>
      </w:pPr>
      <w:proofErr w:type="spellStart"/>
      <w:r w:rsidRPr="0069172C">
        <w:rPr>
          <w:sz w:val="26"/>
          <w:szCs w:val="26"/>
        </w:rPr>
        <w:t>Antonioli</w:t>
      </w:r>
      <w:proofErr w:type="spellEnd"/>
      <w:r w:rsidRPr="0069172C">
        <w:rPr>
          <w:sz w:val="26"/>
          <w:szCs w:val="26"/>
        </w:rPr>
        <w:t xml:space="preserve">, D., Ghisetti, C., Mazzanti, M., &amp; Nicolli, F. (2022). Sustainable production: The economic returns of circular economy practices. </w:t>
      </w:r>
      <w:r w:rsidRPr="0069172C">
        <w:rPr>
          <w:i/>
          <w:iCs/>
          <w:sz w:val="26"/>
          <w:szCs w:val="26"/>
        </w:rPr>
        <w:t>Business Strategy and the Environment, 31(5),</w:t>
      </w:r>
      <w:r w:rsidRPr="0069172C">
        <w:rPr>
          <w:sz w:val="26"/>
          <w:szCs w:val="26"/>
        </w:rPr>
        <w:t xml:space="preserve"> 2603–2617. </w:t>
      </w:r>
      <w:hyperlink r:id="rId11" w:tgtFrame="_new" w:history="1">
        <w:r w:rsidRPr="0069172C">
          <w:rPr>
            <w:rStyle w:val="ae"/>
            <w:sz w:val="26"/>
            <w:szCs w:val="26"/>
          </w:rPr>
          <w:t>https://doi.org/10.1002/bse.3046</w:t>
        </w:r>
      </w:hyperlink>
    </w:p>
    <w:p w14:paraId="703103D1"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Bacon, L. D. (1997, January). Using Amos for structural equation modeling in market research (white paper). Lynd Bacon &amp; Associates, Ltd.; SPSS Inc. Retrieved from ResearchGate</w:t>
      </w:r>
    </w:p>
    <w:p w14:paraId="236C64DC"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Bakker, C. A., den Hollander, M. C., van Hinte, E., &amp; Zijlstra, Y. (2014). Products that last: Product design for circular business models. Delft University of Technology.</w:t>
      </w:r>
    </w:p>
    <w:p w14:paraId="1066102F" w14:textId="77777777" w:rsidR="009807BB" w:rsidRPr="0064746E" w:rsidRDefault="009807BB" w:rsidP="00824E69">
      <w:pPr>
        <w:pStyle w:val="EndNoteBibliography"/>
        <w:snapToGrid w:val="0"/>
        <w:spacing w:line="300" w:lineRule="auto"/>
        <w:ind w:left="720" w:firstLineChars="0" w:hanging="720"/>
        <w:jc w:val="left"/>
        <w:rPr>
          <w:sz w:val="26"/>
          <w:szCs w:val="26"/>
          <w:lang w:val="fr-FR"/>
        </w:rPr>
      </w:pPr>
      <w:proofErr w:type="spellStart"/>
      <w:r w:rsidRPr="0069172C">
        <w:rPr>
          <w:sz w:val="26"/>
          <w:szCs w:val="26"/>
        </w:rPr>
        <w:t>Bartelmus</w:t>
      </w:r>
      <w:proofErr w:type="spellEnd"/>
      <w:r w:rsidRPr="0069172C">
        <w:rPr>
          <w:sz w:val="26"/>
          <w:szCs w:val="26"/>
        </w:rPr>
        <w:t xml:space="preserve">, P. (2013). The future we want: Green growth or sustainable development? </w:t>
      </w:r>
      <w:r w:rsidRPr="0064746E">
        <w:rPr>
          <w:i/>
          <w:iCs/>
          <w:sz w:val="26"/>
          <w:szCs w:val="26"/>
          <w:lang w:val="fr-FR"/>
        </w:rPr>
        <w:t>Environmental Development, 7,</w:t>
      </w:r>
      <w:r w:rsidRPr="0064746E">
        <w:rPr>
          <w:sz w:val="26"/>
          <w:szCs w:val="26"/>
          <w:lang w:val="fr-FR"/>
        </w:rPr>
        <w:t xml:space="preserve"> 165–170. </w:t>
      </w:r>
      <w:hyperlink r:id="rId12" w:tgtFrame="_new" w:history="1">
        <w:r w:rsidRPr="0064746E">
          <w:rPr>
            <w:rStyle w:val="ae"/>
            <w:sz w:val="26"/>
            <w:szCs w:val="26"/>
            <w:lang w:val="fr-FR"/>
          </w:rPr>
          <w:t>https://doi.org/10.1016/j.envdev.2013.04.001</w:t>
        </w:r>
      </w:hyperlink>
    </w:p>
    <w:p w14:paraId="3687A0C2"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4746E">
        <w:rPr>
          <w:sz w:val="26"/>
          <w:szCs w:val="26"/>
          <w:lang w:val="fr-FR"/>
        </w:rPr>
        <w:t xml:space="preserve">Bassi, F., &amp; Dias, J. G. (2020). </w:t>
      </w:r>
      <w:r w:rsidRPr="0069172C">
        <w:rPr>
          <w:sz w:val="26"/>
          <w:szCs w:val="26"/>
        </w:rPr>
        <w:t xml:space="preserve">Sustainable development of small- and medium-sized enterprises in the European Union: A taxonomy of circular economy practices. </w:t>
      </w:r>
      <w:r w:rsidRPr="0069172C">
        <w:rPr>
          <w:i/>
          <w:iCs/>
          <w:sz w:val="26"/>
          <w:szCs w:val="26"/>
        </w:rPr>
        <w:t>Business Strategy and the Environment, 29(6),</w:t>
      </w:r>
      <w:r w:rsidRPr="0069172C">
        <w:rPr>
          <w:sz w:val="26"/>
          <w:szCs w:val="26"/>
        </w:rPr>
        <w:t xml:space="preserve"> 2528–2541. </w:t>
      </w:r>
      <w:hyperlink r:id="rId13" w:tgtFrame="_new" w:history="1">
        <w:r w:rsidRPr="0069172C">
          <w:rPr>
            <w:rStyle w:val="ae"/>
            <w:sz w:val="26"/>
            <w:szCs w:val="26"/>
          </w:rPr>
          <w:t>https://doi.org/10.1002/bse.2518</w:t>
        </w:r>
      </w:hyperlink>
    </w:p>
    <w:p w14:paraId="0C2F0979" w14:textId="77777777" w:rsidR="009807BB" w:rsidRPr="0069172C" w:rsidRDefault="009807BB" w:rsidP="00824E69">
      <w:pPr>
        <w:pStyle w:val="EndNoteBibliography"/>
        <w:snapToGrid w:val="0"/>
        <w:spacing w:line="300" w:lineRule="auto"/>
        <w:ind w:left="720" w:firstLineChars="0" w:hanging="720"/>
        <w:jc w:val="left"/>
        <w:rPr>
          <w:sz w:val="26"/>
          <w:szCs w:val="26"/>
        </w:rPr>
      </w:pPr>
      <w:proofErr w:type="spellStart"/>
      <w:r w:rsidRPr="0069172C">
        <w:rPr>
          <w:sz w:val="26"/>
          <w:szCs w:val="26"/>
        </w:rPr>
        <w:t>Behjati</w:t>
      </w:r>
      <w:proofErr w:type="spellEnd"/>
      <w:r w:rsidRPr="0069172C">
        <w:rPr>
          <w:sz w:val="26"/>
          <w:szCs w:val="26"/>
        </w:rPr>
        <w:t xml:space="preserve">, S., Pandya, S., &amp; Kumar, M. D. (2012). Application of structural equation modeling (SEM) to explain online purchasing intention – An extension of Theory of Planed </w:t>
      </w:r>
      <w:proofErr w:type="spellStart"/>
      <w:r w:rsidRPr="0069172C">
        <w:rPr>
          <w:sz w:val="26"/>
          <w:szCs w:val="26"/>
        </w:rPr>
        <w:t>Behaviour</w:t>
      </w:r>
      <w:proofErr w:type="spellEnd"/>
      <w:r w:rsidRPr="0069172C">
        <w:rPr>
          <w:sz w:val="26"/>
          <w:szCs w:val="26"/>
        </w:rPr>
        <w:t xml:space="preserve"> (TPB). </w:t>
      </w:r>
      <w:r w:rsidRPr="0069172C">
        <w:rPr>
          <w:i/>
          <w:iCs/>
          <w:sz w:val="26"/>
          <w:szCs w:val="26"/>
        </w:rPr>
        <w:t>Industrial Engineering Letters, 2(6),</w:t>
      </w:r>
      <w:r w:rsidRPr="0069172C">
        <w:rPr>
          <w:sz w:val="26"/>
          <w:szCs w:val="26"/>
        </w:rPr>
        <w:t xml:space="preserve"> 33–41. </w:t>
      </w:r>
      <w:hyperlink r:id="rId14" w:tgtFrame="_new" w:history="1">
        <w:r w:rsidRPr="0069172C">
          <w:rPr>
            <w:rStyle w:val="ae"/>
            <w:sz w:val="26"/>
            <w:szCs w:val="26"/>
          </w:rPr>
          <w:t>https://iiste.org/Journals/index.php/IEL/article/download/2240/2253</w:t>
        </w:r>
      </w:hyperlink>
    </w:p>
    <w:p w14:paraId="038B1604" w14:textId="77777777" w:rsidR="009807BB" w:rsidRPr="0064746E" w:rsidRDefault="009807BB" w:rsidP="00824E69">
      <w:pPr>
        <w:pStyle w:val="EndNoteBibliography"/>
        <w:snapToGrid w:val="0"/>
        <w:spacing w:line="300" w:lineRule="auto"/>
        <w:ind w:left="720" w:firstLineChars="0" w:hanging="720"/>
        <w:jc w:val="left"/>
        <w:rPr>
          <w:sz w:val="26"/>
          <w:szCs w:val="26"/>
          <w:lang w:val="fr-FR"/>
        </w:rPr>
      </w:pPr>
      <w:proofErr w:type="spellStart"/>
      <w:r w:rsidRPr="0069172C">
        <w:rPr>
          <w:sz w:val="26"/>
          <w:szCs w:val="26"/>
        </w:rPr>
        <w:t>Bilitewski</w:t>
      </w:r>
      <w:proofErr w:type="spellEnd"/>
      <w:r w:rsidRPr="0069172C">
        <w:rPr>
          <w:sz w:val="26"/>
          <w:szCs w:val="26"/>
        </w:rPr>
        <w:t xml:space="preserve">, B. (2011). The Circular Economy and its Risks. </w:t>
      </w:r>
      <w:r w:rsidRPr="0064746E">
        <w:rPr>
          <w:i/>
          <w:iCs/>
          <w:sz w:val="26"/>
          <w:szCs w:val="26"/>
          <w:lang w:val="fr-FR"/>
        </w:rPr>
        <w:t>Waste Management, 32(1),</w:t>
      </w:r>
      <w:r w:rsidRPr="0064746E">
        <w:rPr>
          <w:sz w:val="26"/>
          <w:szCs w:val="26"/>
          <w:lang w:val="fr-FR"/>
        </w:rPr>
        <w:t xml:space="preserve"> 1–2. </w:t>
      </w:r>
      <w:hyperlink r:id="rId15" w:tgtFrame="_new" w:history="1">
        <w:r w:rsidRPr="0064746E">
          <w:rPr>
            <w:rStyle w:val="ae"/>
            <w:sz w:val="26"/>
            <w:szCs w:val="26"/>
            <w:lang w:val="fr-FR"/>
          </w:rPr>
          <w:t>https://doi.org/10.1016/j.wasman.2011.10.004</w:t>
        </w:r>
      </w:hyperlink>
    </w:p>
    <w:p w14:paraId="09D84DA1" w14:textId="77777777" w:rsidR="009807BB" w:rsidRPr="0069172C" w:rsidRDefault="009807BB" w:rsidP="00824E69">
      <w:pPr>
        <w:pStyle w:val="EndNoteBibliography"/>
        <w:snapToGrid w:val="0"/>
        <w:spacing w:line="300" w:lineRule="auto"/>
        <w:ind w:left="720" w:firstLineChars="0" w:hanging="720"/>
        <w:jc w:val="left"/>
        <w:rPr>
          <w:sz w:val="26"/>
          <w:szCs w:val="26"/>
        </w:rPr>
      </w:pPr>
      <w:proofErr w:type="spellStart"/>
      <w:r w:rsidRPr="0069172C">
        <w:rPr>
          <w:sz w:val="26"/>
          <w:szCs w:val="26"/>
        </w:rPr>
        <w:t>Blomsma</w:t>
      </w:r>
      <w:proofErr w:type="spellEnd"/>
      <w:r w:rsidRPr="0069172C">
        <w:rPr>
          <w:sz w:val="26"/>
          <w:szCs w:val="26"/>
        </w:rPr>
        <w:t xml:space="preserve">, F., &amp; Brennan, G. (2017). The emergence of circular economy: A new framing around prolonging resource productivity. </w:t>
      </w:r>
      <w:r w:rsidRPr="0069172C">
        <w:rPr>
          <w:i/>
          <w:iCs/>
          <w:sz w:val="26"/>
          <w:szCs w:val="26"/>
        </w:rPr>
        <w:t>Journal of Industrial Ecology, 21(3),</w:t>
      </w:r>
      <w:r w:rsidRPr="0069172C">
        <w:rPr>
          <w:sz w:val="26"/>
          <w:szCs w:val="26"/>
        </w:rPr>
        <w:t xml:space="preserve"> 603–614. </w:t>
      </w:r>
      <w:hyperlink r:id="rId16" w:tgtFrame="_new" w:history="1">
        <w:r w:rsidRPr="0069172C">
          <w:rPr>
            <w:rStyle w:val="ae"/>
            <w:sz w:val="26"/>
            <w:szCs w:val="26"/>
          </w:rPr>
          <w:t>https://doi.org/10.1111/jiec.12603</w:t>
        </w:r>
      </w:hyperlink>
    </w:p>
    <w:p w14:paraId="4A26D97A"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Brown, P. J., &amp; Bajada, C. (2018). An economic model of circular supply network dynamics: Toward an understanding of performance measurement in the context of multiple stakeholders. </w:t>
      </w:r>
      <w:r w:rsidRPr="0069172C">
        <w:rPr>
          <w:i/>
          <w:iCs/>
          <w:sz w:val="26"/>
          <w:szCs w:val="26"/>
        </w:rPr>
        <w:t>Business Strategy and the Environment, 27(5),</w:t>
      </w:r>
      <w:r w:rsidRPr="0069172C">
        <w:rPr>
          <w:sz w:val="26"/>
          <w:szCs w:val="26"/>
        </w:rPr>
        <w:t xml:space="preserve"> 643–655. </w:t>
      </w:r>
      <w:hyperlink r:id="rId17" w:tgtFrame="_new" w:history="1">
        <w:r w:rsidRPr="0069172C">
          <w:rPr>
            <w:rStyle w:val="ae"/>
            <w:sz w:val="26"/>
            <w:szCs w:val="26"/>
          </w:rPr>
          <w:t>https://doi.org/10.1002/bse.2069</w:t>
        </w:r>
      </w:hyperlink>
    </w:p>
    <w:p w14:paraId="4F71FBCE"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Byrne, B. M. (2013). Structural Equation Modeling with </w:t>
      </w:r>
      <w:proofErr w:type="spellStart"/>
      <w:r w:rsidRPr="0069172C">
        <w:rPr>
          <w:sz w:val="26"/>
          <w:szCs w:val="26"/>
        </w:rPr>
        <w:t>Mplus</w:t>
      </w:r>
      <w:proofErr w:type="spellEnd"/>
      <w:r w:rsidRPr="0069172C">
        <w:rPr>
          <w:sz w:val="26"/>
          <w:szCs w:val="26"/>
        </w:rPr>
        <w:t xml:space="preserve">. In </w:t>
      </w:r>
      <w:r w:rsidRPr="0069172C">
        <w:rPr>
          <w:i/>
          <w:iCs/>
          <w:sz w:val="26"/>
          <w:szCs w:val="26"/>
        </w:rPr>
        <w:t>Routledge eBooks.</w:t>
      </w:r>
      <w:r w:rsidRPr="0069172C">
        <w:rPr>
          <w:sz w:val="26"/>
          <w:szCs w:val="26"/>
        </w:rPr>
        <w:t xml:space="preserve"> </w:t>
      </w:r>
      <w:hyperlink r:id="rId18" w:tgtFrame="_new" w:history="1">
        <w:r w:rsidRPr="0069172C">
          <w:rPr>
            <w:rStyle w:val="ae"/>
            <w:sz w:val="26"/>
            <w:szCs w:val="26"/>
          </w:rPr>
          <w:t>https://doi.org/10.4324/9780203807644</w:t>
        </w:r>
      </w:hyperlink>
    </w:p>
    <w:p w14:paraId="62D5E98C" w14:textId="77777777" w:rsidR="009807BB" w:rsidRPr="0064746E" w:rsidRDefault="009807BB" w:rsidP="00824E69">
      <w:pPr>
        <w:pStyle w:val="EndNoteBibliography"/>
        <w:snapToGrid w:val="0"/>
        <w:spacing w:line="300" w:lineRule="auto"/>
        <w:ind w:left="720" w:firstLineChars="0" w:hanging="720"/>
        <w:jc w:val="left"/>
        <w:rPr>
          <w:sz w:val="26"/>
          <w:szCs w:val="26"/>
          <w:lang w:val="fr-FR"/>
        </w:rPr>
      </w:pPr>
      <w:proofErr w:type="spellStart"/>
      <w:r w:rsidRPr="0069172C">
        <w:rPr>
          <w:sz w:val="26"/>
          <w:szCs w:val="26"/>
        </w:rPr>
        <w:t>Cenfetelli</w:t>
      </w:r>
      <w:proofErr w:type="spellEnd"/>
      <w:r w:rsidRPr="0069172C">
        <w:rPr>
          <w:sz w:val="26"/>
          <w:szCs w:val="26"/>
        </w:rPr>
        <w:t xml:space="preserve">, N., &amp; </w:t>
      </w:r>
      <w:proofErr w:type="spellStart"/>
      <w:r w:rsidRPr="0069172C">
        <w:rPr>
          <w:sz w:val="26"/>
          <w:szCs w:val="26"/>
        </w:rPr>
        <w:t>Bassellier</w:t>
      </w:r>
      <w:proofErr w:type="spellEnd"/>
      <w:r w:rsidRPr="0069172C">
        <w:rPr>
          <w:sz w:val="26"/>
          <w:szCs w:val="26"/>
        </w:rPr>
        <w:t xml:space="preserve">, N. (2009). Interpretation of formative measurement in information systems research. </w:t>
      </w:r>
      <w:r w:rsidRPr="0064746E">
        <w:rPr>
          <w:i/>
          <w:iCs/>
          <w:sz w:val="26"/>
          <w:szCs w:val="26"/>
          <w:lang w:val="fr-FR"/>
        </w:rPr>
        <w:t>MIS Quarterly, 33(4),</w:t>
      </w:r>
      <w:r w:rsidRPr="0064746E">
        <w:rPr>
          <w:sz w:val="26"/>
          <w:szCs w:val="26"/>
          <w:lang w:val="fr-FR"/>
        </w:rPr>
        <w:t xml:space="preserve"> 689. </w:t>
      </w:r>
      <w:hyperlink r:id="rId19" w:tgtFrame="_new" w:history="1">
        <w:r w:rsidRPr="0064746E">
          <w:rPr>
            <w:rStyle w:val="ae"/>
            <w:sz w:val="26"/>
            <w:szCs w:val="26"/>
            <w:lang w:val="fr-FR"/>
          </w:rPr>
          <w:t>https://doi.org/10.2307/20650323</w:t>
        </w:r>
      </w:hyperlink>
    </w:p>
    <w:p w14:paraId="436D8649"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4746E">
        <w:rPr>
          <w:sz w:val="26"/>
          <w:szCs w:val="26"/>
          <w:lang w:val="fr-FR"/>
        </w:rPr>
        <w:t xml:space="preserve">Chanchaichujit, J., Balasubramanian, S., &amp; Charmaine, N. S. M. (2020). </w:t>
      </w:r>
      <w:r w:rsidRPr="0069172C">
        <w:rPr>
          <w:sz w:val="26"/>
          <w:szCs w:val="26"/>
        </w:rPr>
        <w:t xml:space="preserve">A systematic literature review on the benefit-drivers of RFID implementation in supply chains and its impact on organizational competitive advantage. </w:t>
      </w:r>
      <w:r w:rsidRPr="0069172C">
        <w:rPr>
          <w:i/>
          <w:iCs/>
          <w:sz w:val="26"/>
          <w:szCs w:val="26"/>
        </w:rPr>
        <w:t>Cogent Business &amp; Management, 7(1),</w:t>
      </w:r>
      <w:r w:rsidRPr="0069172C">
        <w:rPr>
          <w:sz w:val="26"/>
          <w:szCs w:val="26"/>
        </w:rPr>
        <w:t xml:space="preserve"> 1818408. </w:t>
      </w:r>
      <w:hyperlink r:id="rId20" w:tgtFrame="_new" w:history="1">
        <w:r w:rsidRPr="0069172C">
          <w:rPr>
            <w:rStyle w:val="ae"/>
            <w:sz w:val="26"/>
            <w:szCs w:val="26"/>
          </w:rPr>
          <w:t>https://doi.org/10.1080/23311975.2020.1818408</w:t>
        </w:r>
      </w:hyperlink>
    </w:p>
    <w:p w14:paraId="5BC583F9" w14:textId="77777777" w:rsidR="009807BB" w:rsidRPr="0069172C" w:rsidRDefault="009807BB" w:rsidP="00824E69">
      <w:pPr>
        <w:pStyle w:val="EndNoteBibliography"/>
        <w:snapToGrid w:val="0"/>
        <w:spacing w:line="300" w:lineRule="auto"/>
        <w:ind w:left="720" w:firstLineChars="0" w:hanging="720"/>
        <w:jc w:val="left"/>
        <w:rPr>
          <w:sz w:val="26"/>
          <w:szCs w:val="26"/>
        </w:rPr>
      </w:pPr>
      <w:proofErr w:type="spellStart"/>
      <w:r w:rsidRPr="0069172C">
        <w:rPr>
          <w:sz w:val="26"/>
          <w:szCs w:val="26"/>
        </w:rPr>
        <w:t>Charonis</w:t>
      </w:r>
      <w:proofErr w:type="spellEnd"/>
      <w:r w:rsidRPr="0069172C">
        <w:rPr>
          <w:sz w:val="26"/>
          <w:szCs w:val="26"/>
        </w:rPr>
        <w:t xml:space="preserve">, G. (2021). Degrowth, steady state and circular economies: Alternative discourses to economic growth. </w:t>
      </w:r>
      <w:r w:rsidRPr="0069172C">
        <w:rPr>
          <w:i/>
          <w:iCs/>
          <w:sz w:val="26"/>
          <w:szCs w:val="26"/>
        </w:rPr>
        <w:t>Society Register, 5(3),</w:t>
      </w:r>
      <w:r w:rsidRPr="0069172C">
        <w:rPr>
          <w:sz w:val="26"/>
          <w:szCs w:val="26"/>
        </w:rPr>
        <w:t xml:space="preserve"> 75–94. </w:t>
      </w:r>
      <w:hyperlink r:id="rId21" w:tgtFrame="_new" w:history="1">
        <w:r w:rsidRPr="0069172C">
          <w:rPr>
            <w:rStyle w:val="ae"/>
            <w:sz w:val="26"/>
            <w:szCs w:val="26"/>
          </w:rPr>
          <w:t>https://doi.org/10.14746/sr.2021.5.3.05</w:t>
        </w:r>
      </w:hyperlink>
    </w:p>
    <w:p w14:paraId="4364BF0C"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Chen, Z., Chen, S., Liu, C., Nguyen, L. T., &amp; Hasan, A. (2020). The effects of circular economy on economic growth: A quasi-natural experiment in China. </w:t>
      </w:r>
      <w:r w:rsidRPr="0069172C">
        <w:rPr>
          <w:i/>
          <w:iCs/>
          <w:sz w:val="26"/>
          <w:szCs w:val="26"/>
        </w:rPr>
        <w:t>Journal of Cleaner Production, 271,</w:t>
      </w:r>
      <w:r w:rsidRPr="0069172C">
        <w:rPr>
          <w:sz w:val="26"/>
          <w:szCs w:val="26"/>
        </w:rPr>
        <w:t xml:space="preserve"> 122558. </w:t>
      </w:r>
      <w:hyperlink r:id="rId22" w:tgtFrame="_new" w:history="1">
        <w:r w:rsidRPr="0069172C">
          <w:rPr>
            <w:rStyle w:val="ae"/>
            <w:sz w:val="26"/>
            <w:szCs w:val="26"/>
          </w:rPr>
          <w:t>https://doi.org/10.1016/j.jclepro.2020.122558</w:t>
        </w:r>
      </w:hyperlink>
    </w:p>
    <w:p w14:paraId="0B02162A"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Davison, A. C., &amp; Hinkley, D. V. (1997). Bootstrap methods and their application. </w:t>
      </w:r>
      <w:hyperlink r:id="rId23" w:tgtFrame="_new" w:history="1">
        <w:r w:rsidRPr="0069172C">
          <w:rPr>
            <w:rStyle w:val="ae"/>
            <w:sz w:val="26"/>
            <w:szCs w:val="26"/>
          </w:rPr>
          <w:t>https://doi.org/10.1017/cbo9780511802843</w:t>
        </w:r>
      </w:hyperlink>
    </w:p>
    <w:p w14:paraId="6A1904D3"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De Giovanni, P. (2018). A feature fatigue supply chain game with cooperative programs and ad-hoc facilitators. </w:t>
      </w:r>
      <w:r w:rsidRPr="0069172C">
        <w:rPr>
          <w:i/>
          <w:iCs/>
          <w:sz w:val="26"/>
          <w:szCs w:val="26"/>
        </w:rPr>
        <w:t>International Journal of Production Research, 57(13),</w:t>
      </w:r>
      <w:r w:rsidRPr="0069172C">
        <w:rPr>
          <w:sz w:val="26"/>
          <w:szCs w:val="26"/>
        </w:rPr>
        <w:t xml:space="preserve"> 4166–4186. </w:t>
      </w:r>
      <w:hyperlink r:id="rId24" w:tgtFrame="_new" w:history="1">
        <w:r w:rsidRPr="0069172C">
          <w:rPr>
            <w:rStyle w:val="ae"/>
            <w:sz w:val="26"/>
            <w:szCs w:val="26"/>
          </w:rPr>
          <w:t>https://doi.org/10.1080/00207543.2018.1519264</w:t>
        </w:r>
      </w:hyperlink>
    </w:p>
    <w:p w14:paraId="5CDAFC00" w14:textId="77777777" w:rsidR="009807BB" w:rsidRPr="0069172C" w:rsidRDefault="009807BB" w:rsidP="00824E69">
      <w:pPr>
        <w:pStyle w:val="EndNoteBibliography"/>
        <w:snapToGrid w:val="0"/>
        <w:spacing w:line="300" w:lineRule="auto"/>
        <w:ind w:left="720" w:firstLineChars="0" w:hanging="720"/>
        <w:jc w:val="left"/>
        <w:rPr>
          <w:sz w:val="26"/>
          <w:szCs w:val="26"/>
        </w:rPr>
      </w:pPr>
      <w:proofErr w:type="spellStart"/>
      <w:r w:rsidRPr="0069172C">
        <w:rPr>
          <w:sz w:val="26"/>
          <w:szCs w:val="26"/>
        </w:rPr>
        <w:t>Demirel</w:t>
      </w:r>
      <w:proofErr w:type="spellEnd"/>
      <w:r w:rsidRPr="0069172C">
        <w:rPr>
          <w:sz w:val="26"/>
          <w:szCs w:val="26"/>
        </w:rPr>
        <w:t xml:space="preserve">, P., &amp; </w:t>
      </w:r>
      <w:proofErr w:type="spellStart"/>
      <w:r w:rsidRPr="0069172C">
        <w:rPr>
          <w:sz w:val="26"/>
          <w:szCs w:val="26"/>
        </w:rPr>
        <w:t>Danisman</w:t>
      </w:r>
      <w:proofErr w:type="spellEnd"/>
      <w:r w:rsidRPr="0069172C">
        <w:rPr>
          <w:sz w:val="26"/>
          <w:szCs w:val="26"/>
        </w:rPr>
        <w:t xml:space="preserve">, G. O. (2019). Eco-innovation and firm growth in the circular economy: Evidence from European small- and medium-sized enterprises. </w:t>
      </w:r>
      <w:r w:rsidRPr="0069172C">
        <w:rPr>
          <w:i/>
          <w:iCs/>
          <w:sz w:val="26"/>
          <w:szCs w:val="26"/>
        </w:rPr>
        <w:t>Business Strategy and the Environment, 28(8),</w:t>
      </w:r>
      <w:r w:rsidRPr="0069172C">
        <w:rPr>
          <w:sz w:val="26"/>
          <w:szCs w:val="26"/>
        </w:rPr>
        <w:t xml:space="preserve"> 1608–1618. </w:t>
      </w:r>
      <w:hyperlink r:id="rId25" w:tgtFrame="_new" w:history="1">
        <w:r w:rsidRPr="0069172C">
          <w:rPr>
            <w:rStyle w:val="ae"/>
            <w:sz w:val="26"/>
            <w:szCs w:val="26"/>
          </w:rPr>
          <w:t>https://doi.org/10.1002/bse.2336</w:t>
        </w:r>
      </w:hyperlink>
    </w:p>
    <w:p w14:paraId="580274AC"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Dev, N. K., Shankar, R., &amp; Qaiser, F. H. (2019). Industry 4.0 and circular economy: Operational excellence for sustainable reverse supply chain performance. </w:t>
      </w:r>
      <w:r w:rsidRPr="0069172C">
        <w:rPr>
          <w:i/>
          <w:iCs/>
          <w:sz w:val="26"/>
          <w:szCs w:val="26"/>
        </w:rPr>
        <w:t>Resources Conservation and Recycling, 153,</w:t>
      </w:r>
      <w:r w:rsidRPr="0069172C">
        <w:rPr>
          <w:sz w:val="26"/>
          <w:szCs w:val="26"/>
        </w:rPr>
        <w:t xml:space="preserve"> 104583. </w:t>
      </w:r>
      <w:hyperlink r:id="rId26" w:tgtFrame="_new" w:history="1">
        <w:r w:rsidRPr="0069172C">
          <w:rPr>
            <w:rStyle w:val="ae"/>
            <w:sz w:val="26"/>
            <w:szCs w:val="26"/>
          </w:rPr>
          <w:t>https://doi.org/10.1016/j.resconrec.2019.104583</w:t>
        </w:r>
      </w:hyperlink>
    </w:p>
    <w:p w14:paraId="7142E12B" w14:textId="77777777" w:rsidR="009807BB" w:rsidRPr="00570F51" w:rsidRDefault="009807BB" w:rsidP="00824E69">
      <w:pPr>
        <w:pStyle w:val="EndNoteBibliography"/>
        <w:snapToGrid w:val="0"/>
        <w:spacing w:line="300" w:lineRule="auto"/>
        <w:ind w:left="720" w:firstLineChars="0" w:hanging="720"/>
        <w:jc w:val="left"/>
        <w:rPr>
          <w:sz w:val="26"/>
          <w:szCs w:val="26"/>
          <w:lang w:val="es-ES"/>
        </w:rPr>
      </w:pPr>
      <w:proofErr w:type="spellStart"/>
      <w:r w:rsidRPr="0069172C">
        <w:rPr>
          <w:sz w:val="26"/>
          <w:szCs w:val="26"/>
        </w:rPr>
        <w:t>Dhakal</w:t>
      </w:r>
      <w:proofErr w:type="spellEnd"/>
      <w:r w:rsidRPr="0069172C">
        <w:rPr>
          <w:sz w:val="26"/>
          <w:szCs w:val="26"/>
        </w:rPr>
        <w:t xml:space="preserve">, M., Smith, M. H., &amp; Newbery, R. (2016). Secondary market: A significant aspect in reverse logistics and sustainability. </w:t>
      </w:r>
      <w:r w:rsidRPr="0069172C">
        <w:rPr>
          <w:i/>
          <w:iCs/>
          <w:sz w:val="26"/>
          <w:szCs w:val="26"/>
        </w:rPr>
        <w:t>The International Journal of Social Sustainability in Economic Social and Cultural Context, 12(1),</w:t>
      </w:r>
      <w:r w:rsidRPr="0069172C">
        <w:rPr>
          <w:sz w:val="26"/>
          <w:szCs w:val="26"/>
        </w:rPr>
        <w:t xml:space="preserve"> 25–35. </w:t>
      </w:r>
      <w:hyperlink r:id="rId27" w:tgtFrame="_new" w:history="1">
        <w:r w:rsidRPr="00570F51">
          <w:rPr>
            <w:rStyle w:val="ae"/>
            <w:sz w:val="26"/>
            <w:szCs w:val="26"/>
            <w:lang w:val="es-ES"/>
          </w:rPr>
          <w:t>https://doi.org/10.18848/2325-1115/cgp/v12i01/25-35</w:t>
        </w:r>
      </w:hyperlink>
    </w:p>
    <w:p w14:paraId="2DC52409"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570F51">
        <w:rPr>
          <w:sz w:val="26"/>
          <w:szCs w:val="26"/>
          <w:lang w:val="es-ES"/>
        </w:rPr>
        <w:t xml:space="preserve">Diamantopoulos, A., &amp; Siguaw, J. A. (2006). </w:t>
      </w:r>
      <w:r w:rsidRPr="0069172C">
        <w:rPr>
          <w:sz w:val="26"/>
          <w:szCs w:val="26"/>
        </w:rPr>
        <w:t xml:space="preserve">Formative versus reflective indicators in organizational measure development: A comparison and Empirical illustration. </w:t>
      </w:r>
      <w:r w:rsidRPr="0069172C">
        <w:rPr>
          <w:i/>
          <w:iCs/>
          <w:sz w:val="26"/>
          <w:szCs w:val="26"/>
        </w:rPr>
        <w:t>British Journal of Management, 17(4),</w:t>
      </w:r>
      <w:r w:rsidRPr="0069172C">
        <w:rPr>
          <w:sz w:val="26"/>
          <w:szCs w:val="26"/>
        </w:rPr>
        <w:t xml:space="preserve"> 263–282. </w:t>
      </w:r>
      <w:hyperlink r:id="rId28" w:tgtFrame="_new" w:history="1">
        <w:r w:rsidRPr="0069172C">
          <w:rPr>
            <w:rStyle w:val="ae"/>
            <w:sz w:val="26"/>
            <w:szCs w:val="26"/>
          </w:rPr>
          <w:t>https://doi.org/10.1111/j.1467-8551.2006.00500.x</w:t>
        </w:r>
      </w:hyperlink>
    </w:p>
    <w:p w14:paraId="7F043905"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Donaghy, K. P. (2021). Getting to a circular growth economy by harnessing circular and cumulative causation. In </w:t>
      </w:r>
      <w:r w:rsidRPr="0069172C">
        <w:rPr>
          <w:i/>
          <w:iCs/>
          <w:sz w:val="26"/>
          <w:szCs w:val="26"/>
        </w:rPr>
        <w:t>Edward Elgar Publishing eBooks.</w:t>
      </w:r>
      <w:r w:rsidRPr="0069172C">
        <w:rPr>
          <w:sz w:val="26"/>
          <w:szCs w:val="26"/>
        </w:rPr>
        <w:t xml:space="preserve"> </w:t>
      </w:r>
      <w:hyperlink r:id="rId29" w:tgtFrame="_new" w:history="1">
        <w:r w:rsidRPr="0069172C">
          <w:rPr>
            <w:rStyle w:val="ae"/>
            <w:sz w:val="26"/>
            <w:szCs w:val="26"/>
          </w:rPr>
          <w:t>https://doi.org/10.4337/9781839100598.00026</w:t>
        </w:r>
      </w:hyperlink>
    </w:p>
    <w:p w14:paraId="600C6728"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Duff, A. (2018). Intellectual capital disclosure: Evidence from UK accounting firms. </w:t>
      </w:r>
      <w:r w:rsidRPr="0069172C">
        <w:rPr>
          <w:i/>
          <w:iCs/>
          <w:sz w:val="26"/>
          <w:szCs w:val="26"/>
        </w:rPr>
        <w:t>Journal of Intellectual Capital, 19(4),</w:t>
      </w:r>
      <w:r w:rsidRPr="0069172C">
        <w:rPr>
          <w:sz w:val="26"/>
          <w:szCs w:val="26"/>
        </w:rPr>
        <w:t xml:space="preserve"> 768–786. </w:t>
      </w:r>
      <w:hyperlink r:id="rId30" w:tgtFrame="_new" w:history="1">
        <w:r w:rsidRPr="0069172C">
          <w:rPr>
            <w:rStyle w:val="ae"/>
            <w:sz w:val="26"/>
            <w:szCs w:val="26"/>
          </w:rPr>
          <w:t>https://doi.org/10.1108/jic-06-2017-0079</w:t>
        </w:r>
      </w:hyperlink>
    </w:p>
    <w:p w14:paraId="56DE4A90"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Esposito, M., Tse, T., &amp; </w:t>
      </w:r>
      <w:proofErr w:type="spellStart"/>
      <w:r w:rsidRPr="0069172C">
        <w:rPr>
          <w:sz w:val="26"/>
          <w:szCs w:val="26"/>
        </w:rPr>
        <w:t>Soufani</w:t>
      </w:r>
      <w:proofErr w:type="spellEnd"/>
      <w:r w:rsidRPr="0069172C">
        <w:rPr>
          <w:sz w:val="26"/>
          <w:szCs w:val="26"/>
        </w:rPr>
        <w:t xml:space="preserve">, K. (2015). Is the circular economy a new fast-expanding market? </w:t>
      </w:r>
      <w:r w:rsidRPr="0069172C">
        <w:rPr>
          <w:i/>
          <w:iCs/>
          <w:sz w:val="26"/>
          <w:szCs w:val="26"/>
        </w:rPr>
        <w:t>Thunderbird International Business Review, 59(1),</w:t>
      </w:r>
      <w:r w:rsidRPr="0069172C">
        <w:rPr>
          <w:sz w:val="26"/>
          <w:szCs w:val="26"/>
        </w:rPr>
        <w:t xml:space="preserve"> 9–14. </w:t>
      </w:r>
      <w:hyperlink r:id="rId31" w:tgtFrame="_new" w:history="1">
        <w:r w:rsidRPr="0069172C">
          <w:rPr>
            <w:rStyle w:val="ae"/>
            <w:sz w:val="26"/>
            <w:szCs w:val="26"/>
          </w:rPr>
          <w:t>https://doi.org/10.1002/tie.21764</w:t>
        </w:r>
      </w:hyperlink>
    </w:p>
    <w:p w14:paraId="28DF58C5" w14:textId="77777777" w:rsidR="009807BB" w:rsidRPr="0069172C" w:rsidRDefault="009807BB" w:rsidP="00824E69">
      <w:pPr>
        <w:pStyle w:val="EndNoteBibliography"/>
        <w:snapToGrid w:val="0"/>
        <w:spacing w:line="300" w:lineRule="auto"/>
        <w:ind w:left="720" w:firstLineChars="0" w:hanging="720"/>
        <w:jc w:val="left"/>
        <w:rPr>
          <w:sz w:val="26"/>
          <w:szCs w:val="26"/>
        </w:rPr>
      </w:pPr>
      <w:proofErr w:type="spellStart"/>
      <w:r w:rsidRPr="0069172C">
        <w:rPr>
          <w:sz w:val="26"/>
          <w:szCs w:val="26"/>
        </w:rPr>
        <w:t>Fatih</w:t>
      </w:r>
      <w:proofErr w:type="spellEnd"/>
      <w:r w:rsidRPr="0069172C">
        <w:rPr>
          <w:sz w:val="26"/>
          <w:szCs w:val="26"/>
        </w:rPr>
        <w:t xml:space="preserve">, F. Z., &amp; </w:t>
      </w:r>
      <w:proofErr w:type="spellStart"/>
      <w:r w:rsidRPr="0069172C">
        <w:rPr>
          <w:sz w:val="26"/>
          <w:szCs w:val="26"/>
        </w:rPr>
        <w:t>Hirawan</w:t>
      </w:r>
      <w:proofErr w:type="spellEnd"/>
      <w:r w:rsidRPr="0069172C">
        <w:rPr>
          <w:sz w:val="26"/>
          <w:szCs w:val="26"/>
        </w:rPr>
        <w:t xml:space="preserve">, F. B. (2024). Towards a closed-loop future: A systematic examination of circular supply chain literature. </w:t>
      </w:r>
      <w:r w:rsidRPr="0069172C">
        <w:rPr>
          <w:i/>
          <w:iCs/>
          <w:sz w:val="26"/>
          <w:szCs w:val="26"/>
        </w:rPr>
        <w:t>International Journal of Business Performance and Supply Chain Modelling, 15(1),</w:t>
      </w:r>
      <w:r w:rsidRPr="0069172C">
        <w:rPr>
          <w:sz w:val="26"/>
          <w:szCs w:val="26"/>
        </w:rPr>
        <w:t xml:space="preserve"> 47–62. </w:t>
      </w:r>
      <w:hyperlink r:id="rId32" w:tgtFrame="_new" w:history="1">
        <w:r w:rsidRPr="0069172C">
          <w:rPr>
            <w:rStyle w:val="ae"/>
            <w:sz w:val="26"/>
            <w:szCs w:val="26"/>
          </w:rPr>
          <w:t>https://doi.org/10.1504/ijbpscm.2024.140034</w:t>
        </w:r>
      </w:hyperlink>
    </w:p>
    <w:p w14:paraId="1B5D4AF8" w14:textId="77777777" w:rsidR="009807BB" w:rsidRPr="0069172C" w:rsidRDefault="009807BB" w:rsidP="00824E69">
      <w:pPr>
        <w:pStyle w:val="EndNoteBibliography"/>
        <w:snapToGrid w:val="0"/>
        <w:spacing w:line="300" w:lineRule="auto"/>
        <w:ind w:left="720" w:firstLineChars="0" w:hanging="720"/>
        <w:jc w:val="left"/>
        <w:rPr>
          <w:sz w:val="26"/>
          <w:szCs w:val="26"/>
        </w:rPr>
      </w:pPr>
      <w:proofErr w:type="spellStart"/>
      <w:r w:rsidRPr="0069172C">
        <w:rPr>
          <w:sz w:val="26"/>
          <w:szCs w:val="26"/>
        </w:rPr>
        <w:t>Flachenecker</w:t>
      </w:r>
      <w:proofErr w:type="spellEnd"/>
      <w:r w:rsidRPr="0069172C">
        <w:rPr>
          <w:sz w:val="26"/>
          <w:szCs w:val="26"/>
        </w:rPr>
        <w:t xml:space="preserve">, F., &amp; </w:t>
      </w:r>
      <w:proofErr w:type="spellStart"/>
      <w:r w:rsidRPr="0069172C">
        <w:rPr>
          <w:sz w:val="26"/>
          <w:szCs w:val="26"/>
        </w:rPr>
        <w:t>Kornejew</w:t>
      </w:r>
      <w:proofErr w:type="spellEnd"/>
      <w:r w:rsidRPr="0069172C">
        <w:rPr>
          <w:sz w:val="26"/>
          <w:szCs w:val="26"/>
        </w:rPr>
        <w:t xml:space="preserve">, M. (2018). The causal impact of material productivity on microeconomic competitiveness and environmental performance in the European Union. </w:t>
      </w:r>
      <w:r w:rsidRPr="0069172C">
        <w:rPr>
          <w:i/>
          <w:iCs/>
          <w:sz w:val="26"/>
          <w:szCs w:val="26"/>
        </w:rPr>
        <w:t>Environmental Economics and Policy Studies, 21(1),</w:t>
      </w:r>
      <w:r w:rsidRPr="0069172C">
        <w:rPr>
          <w:sz w:val="26"/>
          <w:szCs w:val="26"/>
        </w:rPr>
        <w:t xml:space="preserve"> 87–122. </w:t>
      </w:r>
      <w:hyperlink r:id="rId33" w:tgtFrame="_new" w:history="1">
        <w:r w:rsidRPr="0069172C">
          <w:rPr>
            <w:rStyle w:val="ae"/>
            <w:sz w:val="26"/>
            <w:szCs w:val="26"/>
          </w:rPr>
          <w:t>https://doi.org/10.1007/s10018-018-0223-z</w:t>
        </w:r>
      </w:hyperlink>
    </w:p>
    <w:p w14:paraId="6511D7EB"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570F51">
        <w:rPr>
          <w:sz w:val="26"/>
          <w:szCs w:val="26"/>
          <w:lang w:val="es-ES"/>
        </w:rPr>
        <w:t xml:space="preserve">Genovese, A., Acquaye, A. A., Figueroa, A., &amp; Koh, S. L. (2015). </w:t>
      </w:r>
      <w:r w:rsidRPr="0069172C">
        <w:rPr>
          <w:sz w:val="26"/>
          <w:szCs w:val="26"/>
        </w:rPr>
        <w:t xml:space="preserve">Sustainable supply chain management and the transition towards a circular economy: Evidence and some applications. </w:t>
      </w:r>
      <w:r w:rsidRPr="0069172C">
        <w:rPr>
          <w:i/>
          <w:iCs/>
          <w:sz w:val="26"/>
          <w:szCs w:val="26"/>
        </w:rPr>
        <w:t>Omega, 66,</w:t>
      </w:r>
      <w:r w:rsidRPr="0069172C">
        <w:rPr>
          <w:sz w:val="26"/>
          <w:szCs w:val="26"/>
        </w:rPr>
        <w:t xml:space="preserve"> 344–357. </w:t>
      </w:r>
      <w:hyperlink r:id="rId34" w:tgtFrame="_new" w:history="1">
        <w:r w:rsidRPr="0069172C">
          <w:rPr>
            <w:rStyle w:val="ae"/>
            <w:sz w:val="26"/>
            <w:szCs w:val="26"/>
          </w:rPr>
          <w:t>https://doi.org/10.1016/j.omega.2015.05.015</w:t>
        </w:r>
      </w:hyperlink>
    </w:p>
    <w:p w14:paraId="78954BAD"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George, D. A., Lin, B. C., &amp; Chen, Y. (2015). A circular economy model of economic growth. </w:t>
      </w:r>
      <w:r w:rsidRPr="0069172C">
        <w:rPr>
          <w:i/>
          <w:iCs/>
          <w:sz w:val="26"/>
          <w:szCs w:val="26"/>
        </w:rPr>
        <w:t>Environmental Modelling &amp; Software, 73,</w:t>
      </w:r>
      <w:r w:rsidRPr="0069172C">
        <w:rPr>
          <w:sz w:val="26"/>
          <w:szCs w:val="26"/>
        </w:rPr>
        <w:t xml:space="preserve"> 60–63. </w:t>
      </w:r>
      <w:hyperlink r:id="rId35" w:tgtFrame="_new" w:history="1">
        <w:r w:rsidRPr="0069172C">
          <w:rPr>
            <w:rStyle w:val="ae"/>
            <w:sz w:val="26"/>
            <w:szCs w:val="26"/>
          </w:rPr>
          <w:t>https://doi.org/10.1016/j.envsoft.2015.06.014</w:t>
        </w:r>
      </w:hyperlink>
    </w:p>
    <w:p w14:paraId="12852EFA" w14:textId="77777777" w:rsidR="009807BB" w:rsidRPr="0069172C" w:rsidRDefault="009807BB" w:rsidP="00824E69">
      <w:pPr>
        <w:pStyle w:val="EndNoteBibliography"/>
        <w:snapToGrid w:val="0"/>
        <w:spacing w:line="300" w:lineRule="auto"/>
        <w:ind w:left="720" w:firstLineChars="0" w:hanging="720"/>
        <w:jc w:val="left"/>
        <w:rPr>
          <w:sz w:val="26"/>
          <w:szCs w:val="26"/>
        </w:rPr>
      </w:pPr>
      <w:proofErr w:type="spellStart"/>
      <w:r w:rsidRPr="0069172C">
        <w:rPr>
          <w:sz w:val="26"/>
          <w:szCs w:val="26"/>
        </w:rPr>
        <w:t>Ghisellini</w:t>
      </w:r>
      <w:proofErr w:type="spellEnd"/>
      <w:r w:rsidRPr="0069172C">
        <w:rPr>
          <w:sz w:val="26"/>
          <w:szCs w:val="26"/>
        </w:rPr>
        <w:t xml:space="preserve">, P., Cialani, C., &amp; </w:t>
      </w:r>
      <w:proofErr w:type="spellStart"/>
      <w:r w:rsidRPr="0069172C">
        <w:rPr>
          <w:sz w:val="26"/>
          <w:szCs w:val="26"/>
        </w:rPr>
        <w:t>Ulgiati</w:t>
      </w:r>
      <w:proofErr w:type="spellEnd"/>
      <w:r w:rsidRPr="0069172C">
        <w:rPr>
          <w:sz w:val="26"/>
          <w:szCs w:val="26"/>
        </w:rPr>
        <w:t xml:space="preserve">, S. (2015). A review on circular economy: The expected transition to a balanced interplay of environmental and economic systems. </w:t>
      </w:r>
      <w:r w:rsidRPr="0069172C">
        <w:rPr>
          <w:i/>
          <w:iCs/>
          <w:sz w:val="26"/>
          <w:szCs w:val="26"/>
        </w:rPr>
        <w:t>Journal of Cleaner Production, 114,</w:t>
      </w:r>
      <w:r w:rsidRPr="0069172C">
        <w:rPr>
          <w:sz w:val="26"/>
          <w:szCs w:val="26"/>
        </w:rPr>
        <w:t xml:space="preserve"> 11–32. </w:t>
      </w:r>
      <w:hyperlink r:id="rId36" w:tgtFrame="_new" w:history="1">
        <w:r w:rsidRPr="0069172C">
          <w:rPr>
            <w:rStyle w:val="ae"/>
            <w:sz w:val="26"/>
            <w:szCs w:val="26"/>
          </w:rPr>
          <w:t>https://doi.org/10.1016/j.jclepro.2015.09.007</w:t>
        </w:r>
      </w:hyperlink>
    </w:p>
    <w:p w14:paraId="1A67DB81" w14:textId="77777777" w:rsidR="009807BB" w:rsidRPr="0069172C" w:rsidRDefault="009807BB" w:rsidP="00824E69">
      <w:pPr>
        <w:pStyle w:val="EndNoteBibliography"/>
        <w:snapToGrid w:val="0"/>
        <w:spacing w:line="300" w:lineRule="auto"/>
        <w:ind w:left="720" w:firstLineChars="0" w:hanging="720"/>
        <w:jc w:val="left"/>
        <w:rPr>
          <w:sz w:val="26"/>
          <w:szCs w:val="26"/>
        </w:rPr>
      </w:pPr>
      <w:proofErr w:type="spellStart"/>
      <w:r w:rsidRPr="0069172C">
        <w:rPr>
          <w:sz w:val="26"/>
          <w:szCs w:val="26"/>
        </w:rPr>
        <w:t>Glavič</w:t>
      </w:r>
      <w:proofErr w:type="spellEnd"/>
      <w:r w:rsidRPr="0069172C">
        <w:rPr>
          <w:sz w:val="26"/>
          <w:szCs w:val="26"/>
        </w:rPr>
        <w:t xml:space="preserve">, P., &amp; Lukman, R. (2007). Review of sustainability terms and their definitions. </w:t>
      </w:r>
      <w:r w:rsidRPr="0069172C">
        <w:rPr>
          <w:i/>
          <w:iCs/>
          <w:sz w:val="26"/>
          <w:szCs w:val="26"/>
        </w:rPr>
        <w:t>Journal of Cleaner Production, 15(18),</w:t>
      </w:r>
      <w:r w:rsidRPr="0069172C">
        <w:rPr>
          <w:sz w:val="26"/>
          <w:szCs w:val="26"/>
        </w:rPr>
        <w:t xml:space="preserve"> 1875–1885. </w:t>
      </w:r>
      <w:hyperlink r:id="rId37" w:tgtFrame="_new" w:history="1">
        <w:r w:rsidRPr="0069172C">
          <w:rPr>
            <w:rStyle w:val="ae"/>
            <w:sz w:val="26"/>
            <w:szCs w:val="26"/>
          </w:rPr>
          <w:t>https://doi.org/10.1016/j.jclepro.2006.12.006</w:t>
        </w:r>
      </w:hyperlink>
    </w:p>
    <w:p w14:paraId="1D5C9D8F"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570F51">
        <w:rPr>
          <w:sz w:val="26"/>
          <w:szCs w:val="26"/>
          <w:lang w:val="es-ES"/>
        </w:rPr>
        <w:t xml:space="preserve">González-Sánchez, R., Settembre-Blundo, D., Ferrari, A. M., &amp; García-Muiña, F. E. (2020). </w:t>
      </w:r>
      <w:r w:rsidRPr="0069172C">
        <w:rPr>
          <w:sz w:val="26"/>
          <w:szCs w:val="26"/>
        </w:rPr>
        <w:t xml:space="preserve">Main dimensions in the building of the circular Supply Chain: A literature review. </w:t>
      </w:r>
      <w:r w:rsidRPr="0069172C">
        <w:rPr>
          <w:i/>
          <w:iCs/>
          <w:sz w:val="26"/>
          <w:szCs w:val="26"/>
        </w:rPr>
        <w:t>Sustainability, 12(6),</w:t>
      </w:r>
      <w:r w:rsidRPr="0069172C">
        <w:rPr>
          <w:sz w:val="26"/>
          <w:szCs w:val="26"/>
        </w:rPr>
        <w:t xml:space="preserve"> 2459. </w:t>
      </w:r>
      <w:hyperlink r:id="rId38" w:tgtFrame="_new" w:history="1">
        <w:r w:rsidRPr="0069172C">
          <w:rPr>
            <w:rStyle w:val="ae"/>
            <w:sz w:val="26"/>
            <w:szCs w:val="26"/>
          </w:rPr>
          <w:t>https://doi.org/10.3390/su12062459</w:t>
        </w:r>
      </w:hyperlink>
    </w:p>
    <w:p w14:paraId="05154B8C"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Goodland, R. (1995). The concept of environmental sustainability. </w:t>
      </w:r>
      <w:r w:rsidRPr="0069172C">
        <w:rPr>
          <w:i/>
          <w:iCs/>
          <w:sz w:val="26"/>
          <w:szCs w:val="26"/>
        </w:rPr>
        <w:t>Annual Review of Ecology and Systematics, 26(1),</w:t>
      </w:r>
      <w:r w:rsidRPr="0069172C">
        <w:rPr>
          <w:sz w:val="26"/>
          <w:szCs w:val="26"/>
        </w:rPr>
        <w:t xml:space="preserve"> 1–24. </w:t>
      </w:r>
      <w:hyperlink r:id="rId39" w:tgtFrame="_new" w:history="1">
        <w:r w:rsidRPr="0069172C">
          <w:rPr>
            <w:rStyle w:val="ae"/>
            <w:sz w:val="26"/>
            <w:szCs w:val="26"/>
          </w:rPr>
          <w:t>https://doi.org/10.1146/annurev.es.26.110195.000245</w:t>
        </w:r>
      </w:hyperlink>
    </w:p>
    <w:p w14:paraId="1CFFF01C"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Goodwin, N. R., Harris, J. M., Nelson, J. A., Ackerman, F., &amp; Weisskopf, T. E. (2014). Microeconomics in Context (3rd ed.). M.E. Sharpe. </w:t>
      </w:r>
      <w:hyperlink r:id="rId40" w:tgtFrame="_new" w:history="1">
        <w:r w:rsidRPr="0069172C">
          <w:rPr>
            <w:rStyle w:val="ae"/>
            <w:sz w:val="26"/>
            <w:szCs w:val="26"/>
          </w:rPr>
          <w:t>https://doi.org/10.13140/2.1.4786.528</w:t>
        </w:r>
      </w:hyperlink>
    </w:p>
    <w:p w14:paraId="21AB2922"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Govindan, K., &amp; Soleimani, H. (2016). A review of reverse logistics and closed-loop supply chains: A journal of cleaner production focus. </w:t>
      </w:r>
      <w:r w:rsidRPr="0069172C">
        <w:rPr>
          <w:i/>
          <w:iCs/>
          <w:sz w:val="26"/>
          <w:szCs w:val="26"/>
        </w:rPr>
        <w:t>Journal of Cleaner Production, 142,</w:t>
      </w:r>
      <w:r w:rsidRPr="0069172C">
        <w:rPr>
          <w:sz w:val="26"/>
          <w:szCs w:val="26"/>
        </w:rPr>
        <w:t xml:space="preserve"> 371–384. </w:t>
      </w:r>
      <w:hyperlink r:id="rId41" w:tgtFrame="_new" w:history="1">
        <w:r w:rsidRPr="0069172C">
          <w:rPr>
            <w:rStyle w:val="ae"/>
            <w:sz w:val="26"/>
            <w:szCs w:val="26"/>
          </w:rPr>
          <w:t>https://doi.org/10.1016/j.jclepro.2016.03.126</w:t>
        </w:r>
      </w:hyperlink>
    </w:p>
    <w:p w14:paraId="3E55B15A"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Hair</w:t>
      </w:r>
      <w:r>
        <w:rPr>
          <w:sz w:val="26"/>
          <w:szCs w:val="26"/>
        </w:rPr>
        <w:t xml:space="preserve">, </w:t>
      </w:r>
      <w:r w:rsidRPr="0069172C">
        <w:rPr>
          <w:sz w:val="26"/>
          <w:szCs w:val="26"/>
        </w:rPr>
        <w:t xml:space="preserve">J. F., Babin, B. J., &amp; Krey, N. (2017). Covariance-based structural equation modeling in the </w:t>
      </w:r>
      <w:r w:rsidRPr="0069172C">
        <w:rPr>
          <w:i/>
          <w:iCs/>
          <w:sz w:val="26"/>
          <w:szCs w:val="26"/>
        </w:rPr>
        <w:t>journal of advertising</w:t>
      </w:r>
      <w:r w:rsidRPr="0069172C">
        <w:rPr>
          <w:sz w:val="26"/>
          <w:szCs w:val="26"/>
        </w:rPr>
        <w:t xml:space="preserve">: Review and recommendations. </w:t>
      </w:r>
      <w:r w:rsidRPr="0069172C">
        <w:rPr>
          <w:i/>
          <w:iCs/>
          <w:sz w:val="26"/>
          <w:szCs w:val="26"/>
        </w:rPr>
        <w:t>Journal of Advertising, 46(1),</w:t>
      </w:r>
      <w:r w:rsidRPr="0069172C">
        <w:rPr>
          <w:sz w:val="26"/>
          <w:szCs w:val="26"/>
        </w:rPr>
        <w:t xml:space="preserve"> 163–177. </w:t>
      </w:r>
      <w:hyperlink r:id="rId42" w:tgtFrame="_new" w:history="1">
        <w:r w:rsidRPr="0069172C">
          <w:rPr>
            <w:rStyle w:val="ae"/>
            <w:sz w:val="26"/>
            <w:szCs w:val="26"/>
          </w:rPr>
          <w:t>https://doi.org/10.1080/00913367.2017.1281777</w:t>
        </w:r>
      </w:hyperlink>
    </w:p>
    <w:p w14:paraId="7881A5C7"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Hair</w:t>
      </w:r>
      <w:r>
        <w:rPr>
          <w:sz w:val="26"/>
          <w:szCs w:val="26"/>
        </w:rPr>
        <w:t xml:space="preserve">, </w:t>
      </w:r>
      <w:r w:rsidRPr="0069172C">
        <w:rPr>
          <w:sz w:val="26"/>
          <w:szCs w:val="26"/>
        </w:rPr>
        <w:t xml:space="preserve">J. F., Hult, G. T. M., Ringle, C. M., Sarstedt, M., Danks, N. P., &amp; Ray, S. (2021). Evaluation of formative measurement models. In </w:t>
      </w:r>
      <w:r w:rsidRPr="0069172C">
        <w:rPr>
          <w:i/>
          <w:iCs/>
          <w:sz w:val="26"/>
          <w:szCs w:val="26"/>
        </w:rPr>
        <w:t>Classroom companion: business (pp. 91–113).</w:t>
      </w:r>
      <w:r w:rsidRPr="0069172C">
        <w:rPr>
          <w:sz w:val="26"/>
          <w:szCs w:val="26"/>
        </w:rPr>
        <w:t xml:space="preserve"> </w:t>
      </w:r>
      <w:hyperlink r:id="rId43" w:tgtFrame="_new" w:history="1">
        <w:r w:rsidRPr="0069172C">
          <w:rPr>
            <w:rStyle w:val="ae"/>
            <w:sz w:val="26"/>
            <w:szCs w:val="26"/>
          </w:rPr>
          <w:t>https://doi.org/10.1007/978-3-030-80519-7_5</w:t>
        </w:r>
      </w:hyperlink>
    </w:p>
    <w:p w14:paraId="20C1CC90"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Hair</w:t>
      </w:r>
      <w:r>
        <w:rPr>
          <w:sz w:val="26"/>
          <w:szCs w:val="26"/>
        </w:rPr>
        <w:t xml:space="preserve">, </w:t>
      </w:r>
      <w:r w:rsidRPr="0069172C">
        <w:rPr>
          <w:sz w:val="26"/>
          <w:szCs w:val="26"/>
        </w:rPr>
        <w:t>J.</w:t>
      </w:r>
      <w:r>
        <w:rPr>
          <w:sz w:val="26"/>
          <w:szCs w:val="26"/>
        </w:rPr>
        <w:t xml:space="preserve"> </w:t>
      </w:r>
      <w:r w:rsidRPr="0069172C">
        <w:rPr>
          <w:sz w:val="26"/>
          <w:szCs w:val="26"/>
        </w:rPr>
        <w:t xml:space="preserve">F., Jr., Sarstedt, M., Hopkins, L., &amp; </w:t>
      </w:r>
      <w:proofErr w:type="spellStart"/>
      <w:r w:rsidRPr="0069172C">
        <w:rPr>
          <w:sz w:val="26"/>
          <w:szCs w:val="26"/>
        </w:rPr>
        <w:t>Kuppelwieser</w:t>
      </w:r>
      <w:proofErr w:type="spellEnd"/>
      <w:r w:rsidRPr="0069172C">
        <w:rPr>
          <w:sz w:val="26"/>
          <w:szCs w:val="26"/>
        </w:rPr>
        <w:t xml:space="preserve">, V. G. (2014). Partial least squares structural equation modeling (PLS-SEM). </w:t>
      </w:r>
      <w:r w:rsidRPr="0069172C">
        <w:rPr>
          <w:i/>
          <w:iCs/>
          <w:sz w:val="26"/>
          <w:szCs w:val="26"/>
        </w:rPr>
        <w:t>European Business Review, 26(2),</w:t>
      </w:r>
      <w:r w:rsidRPr="0069172C">
        <w:rPr>
          <w:sz w:val="26"/>
          <w:szCs w:val="26"/>
        </w:rPr>
        <w:t xml:space="preserve"> 106–121. </w:t>
      </w:r>
      <w:hyperlink r:id="rId44" w:tgtFrame="_new" w:history="1">
        <w:r w:rsidRPr="0069172C">
          <w:rPr>
            <w:rStyle w:val="ae"/>
            <w:sz w:val="26"/>
            <w:szCs w:val="26"/>
          </w:rPr>
          <w:t>https://doi.org/10.1108/ebr-10-2013-0128</w:t>
        </w:r>
      </w:hyperlink>
    </w:p>
    <w:p w14:paraId="45D18129"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Hair</w:t>
      </w:r>
      <w:r>
        <w:rPr>
          <w:sz w:val="26"/>
          <w:szCs w:val="26"/>
        </w:rPr>
        <w:t xml:space="preserve">, </w:t>
      </w:r>
      <w:r w:rsidRPr="0069172C">
        <w:rPr>
          <w:sz w:val="26"/>
          <w:szCs w:val="26"/>
        </w:rPr>
        <w:t xml:space="preserve">J. F., Ringle, C. M., &amp; Sarstedt, M. (2011). PLS-SEM: </w:t>
      </w:r>
      <w:proofErr w:type="gramStart"/>
      <w:r w:rsidRPr="0069172C">
        <w:rPr>
          <w:sz w:val="26"/>
          <w:szCs w:val="26"/>
        </w:rPr>
        <w:t>Indeed</w:t>
      </w:r>
      <w:proofErr w:type="gramEnd"/>
      <w:r w:rsidRPr="0069172C">
        <w:rPr>
          <w:sz w:val="26"/>
          <w:szCs w:val="26"/>
        </w:rPr>
        <w:t xml:space="preserve"> a silver bullet. </w:t>
      </w:r>
      <w:r w:rsidRPr="0069172C">
        <w:rPr>
          <w:i/>
          <w:iCs/>
          <w:sz w:val="26"/>
          <w:szCs w:val="26"/>
        </w:rPr>
        <w:t>The Journal of Marketing Theory and Practice, 19(2),</w:t>
      </w:r>
      <w:r w:rsidRPr="0069172C">
        <w:rPr>
          <w:sz w:val="26"/>
          <w:szCs w:val="26"/>
        </w:rPr>
        <w:t xml:space="preserve"> 139–152. </w:t>
      </w:r>
      <w:hyperlink r:id="rId45" w:tgtFrame="_new" w:history="1">
        <w:r w:rsidRPr="0069172C">
          <w:rPr>
            <w:rStyle w:val="ae"/>
            <w:sz w:val="26"/>
            <w:szCs w:val="26"/>
          </w:rPr>
          <w:t>https://doi.org/10.2753/mtp1069-6679190202</w:t>
        </w:r>
      </w:hyperlink>
    </w:p>
    <w:p w14:paraId="1154DB5D"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Hair</w:t>
      </w:r>
      <w:r>
        <w:rPr>
          <w:sz w:val="26"/>
          <w:szCs w:val="26"/>
        </w:rPr>
        <w:t xml:space="preserve">, </w:t>
      </w:r>
      <w:r w:rsidRPr="0069172C">
        <w:rPr>
          <w:sz w:val="26"/>
          <w:szCs w:val="26"/>
        </w:rPr>
        <w:t xml:space="preserve">J., &amp; Alamer, A. (2022). Partial Least Squares Structural Equation Modeling (PLS-SEM) in second language and education research: Guidelines using an applied example. </w:t>
      </w:r>
      <w:r w:rsidRPr="0069172C">
        <w:rPr>
          <w:i/>
          <w:iCs/>
          <w:sz w:val="26"/>
          <w:szCs w:val="26"/>
        </w:rPr>
        <w:t>Research Methods in Applied Linguistics, 1(3),</w:t>
      </w:r>
      <w:r w:rsidRPr="0069172C">
        <w:rPr>
          <w:sz w:val="26"/>
          <w:szCs w:val="26"/>
        </w:rPr>
        <w:t xml:space="preserve"> 100027. </w:t>
      </w:r>
      <w:hyperlink r:id="rId46" w:tgtFrame="_new" w:history="1">
        <w:r w:rsidRPr="0069172C">
          <w:rPr>
            <w:rStyle w:val="ae"/>
            <w:sz w:val="26"/>
            <w:szCs w:val="26"/>
          </w:rPr>
          <w:t>https://doi.org/10.1016/j.rmal.2022.100027</w:t>
        </w:r>
      </w:hyperlink>
    </w:p>
    <w:p w14:paraId="7F702D9D"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Hickel, J., &amp; Kallis, G. (2019). Is green growth possible? </w:t>
      </w:r>
      <w:r w:rsidRPr="0069172C">
        <w:rPr>
          <w:i/>
          <w:iCs/>
          <w:sz w:val="26"/>
          <w:szCs w:val="26"/>
        </w:rPr>
        <w:t>New Political Economy, 25(4),</w:t>
      </w:r>
      <w:r w:rsidRPr="0069172C">
        <w:rPr>
          <w:sz w:val="26"/>
          <w:szCs w:val="26"/>
        </w:rPr>
        <w:t xml:space="preserve"> 469–486. </w:t>
      </w:r>
      <w:hyperlink r:id="rId47" w:tgtFrame="_new" w:history="1">
        <w:r w:rsidRPr="0069172C">
          <w:rPr>
            <w:rStyle w:val="ae"/>
            <w:sz w:val="26"/>
            <w:szCs w:val="26"/>
          </w:rPr>
          <w:t>https://doi.org/10.1080/13563467.2019.1598964</w:t>
        </w:r>
      </w:hyperlink>
    </w:p>
    <w:p w14:paraId="0D92CE09" w14:textId="77777777" w:rsidR="009807BB" w:rsidRPr="0069172C" w:rsidRDefault="009807BB" w:rsidP="00824E69">
      <w:pPr>
        <w:pStyle w:val="EndNoteBibliography"/>
        <w:snapToGrid w:val="0"/>
        <w:spacing w:line="300" w:lineRule="auto"/>
        <w:ind w:left="720" w:firstLineChars="0" w:hanging="720"/>
        <w:jc w:val="left"/>
        <w:rPr>
          <w:sz w:val="26"/>
          <w:szCs w:val="26"/>
        </w:rPr>
      </w:pPr>
      <w:proofErr w:type="spellStart"/>
      <w:r w:rsidRPr="0069172C">
        <w:rPr>
          <w:sz w:val="26"/>
          <w:szCs w:val="26"/>
        </w:rPr>
        <w:t>Horbach</w:t>
      </w:r>
      <w:proofErr w:type="spellEnd"/>
      <w:r w:rsidRPr="0069172C">
        <w:rPr>
          <w:sz w:val="26"/>
          <w:szCs w:val="26"/>
        </w:rPr>
        <w:t xml:space="preserve">, J., &amp; Rammer, C. (2019). Circular economy innovations, growth and employment at the firm level: Empirical evidence from Germany. </w:t>
      </w:r>
      <w:r w:rsidRPr="0069172C">
        <w:rPr>
          <w:i/>
          <w:iCs/>
          <w:sz w:val="26"/>
          <w:szCs w:val="26"/>
        </w:rPr>
        <w:t>Journal of Industrial Ecology, 24(3),</w:t>
      </w:r>
      <w:r w:rsidRPr="0069172C">
        <w:rPr>
          <w:sz w:val="26"/>
          <w:szCs w:val="26"/>
        </w:rPr>
        <w:t xml:space="preserve"> 615–625. </w:t>
      </w:r>
      <w:hyperlink r:id="rId48" w:tgtFrame="_new" w:history="1">
        <w:r w:rsidRPr="0069172C">
          <w:rPr>
            <w:rStyle w:val="ae"/>
            <w:sz w:val="26"/>
            <w:szCs w:val="26"/>
          </w:rPr>
          <w:t>https://doi.org/10.1111/jiec.12977</w:t>
        </w:r>
      </w:hyperlink>
    </w:p>
    <w:p w14:paraId="53F6D542" w14:textId="77777777" w:rsidR="009807BB" w:rsidRPr="0069172C" w:rsidRDefault="009807BB" w:rsidP="00824E69">
      <w:pPr>
        <w:pStyle w:val="EndNoteBibliography"/>
        <w:snapToGrid w:val="0"/>
        <w:spacing w:line="300" w:lineRule="auto"/>
        <w:ind w:left="720" w:firstLineChars="0" w:hanging="720"/>
        <w:jc w:val="left"/>
        <w:rPr>
          <w:sz w:val="26"/>
          <w:szCs w:val="26"/>
        </w:rPr>
      </w:pPr>
      <w:proofErr w:type="spellStart"/>
      <w:r w:rsidRPr="0069172C">
        <w:rPr>
          <w:sz w:val="26"/>
          <w:szCs w:val="26"/>
        </w:rPr>
        <w:t>Jabbour</w:t>
      </w:r>
      <w:proofErr w:type="spellEnd"/>
      <w:r w:rsidRPr="0069172C">
        <w:rPr>
          <w:sz w:val="26"/>
          <w:szCs w:val="26"/>
        </w:rPr>
        <w:t xml:space="preserve">, C. J. C., De Sousa Jabbour, A. B. L., Sarkis, J., &amp; Filho, M. G. (2017). Unlocking the circular economy through new business models based on large-scale data: An integrative framework and research agenda. </w:t>
      </w:r>
      <w:r w:rsidRPr="0069172C">
        <w:rPr>
          <w:i/>
          <w:iCs/>
          <w:sz w:val="26"/>
          <w:szCs w:val="26"/>
        </w:rPr>
        <w:t>Technological Forecasting and Social Change, 144,</w:t>
      </w:r>
      <w:r w:rsidRPr="0069172C">
        <w:rPr>
          <w:sz w:val="26"/>
          <w:szCs w:val="26"/>
        </w:rPr>
        <w:t xml:space="preserve"> 546–552. </w:t>
      </w:r>
      <w:hyperlink r:id="rId49" w:tgtFrame="_new" w:history="1">
        <w:r w:rsidRPr="0069172C">
          <w:rPr>
            <w:rStyle w:val="ae"/>
            <w:sz w:val="26"/>
            <w:szCs w:val="26"/>
          </w:rPr>
          <w:t>https://doi.org/10.1016/j.techfore.2017.09.010</w:t>
        </w:r>
      </w:hyperlink>
    </w:p>
    <w:p w14:paraId="3F602256"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Jain, S., Jain, N. K., &amp; Metri, B. (2018). Strategic framework towards measuring a circular supply chain management. </w:t>
      </w:r>
      <w:r w:rsidRPr="0069172C">
        <w:rPr>
          <w:i/>
          <w:iCs/>
          <w:sz w:val="26"/>
          <w:szCs w:val="26"/>
        </w:rPr>
        <w:t>Benchmarking an International Journal, 25(8),</w:t>
      </w:r>
      <w:r w:rsidRPr="0069172C">
        <w:rPr>
          <w:sz w:val="26"/>
          <w:szCs w:val="26"/>
        </w:rPr>
        <w:t xml:space="preserve"> 3238–3252. </w:t>
      </w:r>
      <w:hyperlink r:id="rId50" w:tgtFrame="_new" w:history="1">
        <w:r w:rsidRPr="0069172C">
          <w:rPr>
            <w:rStyle w:val="ae"/>
            <w:sz w:val="26"/>
            <w:szCs w:val="26"/>
          </w:rPr>
          <w:t>https://doi.org/10.1108/bij-11-2017-0304</w:t>
        </w:r>
      </w:hyperlink>
    </w:p>
    <w:p w14:paraId="66122384"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Jain, V. K., Singh, S., &amp; Sharma, P. (2025). Circular economy: Developing framework for circular supply chain implementation for energy efficient solution in industry 4.0. </w:t>
      </w:r>
      <w:r w:rsidRPr="0069172C">
        <w:rPr>
          <w:i/>
          <w:iCs/>
          <w:sz w:val="26"/>
          <w:szCs w:val="26"/>
        </w:rPr>
        <w:t>Circular Economy and Sustainability.</w:t>
      </w:r>
      <w:r w:rsidRPr="0069172C">
        <w:rPr>
          <w:sz w:val="26"/>
          <w:szCs w:val="26"/>
        </w:rPr>
        <w:t xml:space="preserve"> </w:t>
      </w:r>
      <w:hyperlink r:id="rId51" w:tgtFrame="_new" w:history="1">
        <w:r w:rsidRPr="0069172C">
          <w:rPr>
            <w:rStyle w:val="ae"/>
            <w:sz w:val="26"/>
            <w:szCs w:val="26"/>
          </w:rPr>
          <w:t>https://doi.org/10.1007/s43615-025-00511-9</w:t>
        </w:r>
      </w:hyperlink>
    </w:p>
    <w:p w14:paraId="60E97CD5"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James, K. L., Randall, N. P., &amp; Haddaway, N. R. (2018). Towards a better understanding of circular economy practices: A literature review. </w:t>
      </w:r>
      <w:r w:rsidRPr="0069172C">
        <w:rPr>
          <w:i/>
          <w:iCs/>
          <w:sz w:val="26"/>
          <w:szCs w:val="26"/>
        </w:rPr>
        <w:t>Sustainability, 10(6),</w:t>
      </w:r>
      <w:r w:rsidRPr="0069172C">
        <w:rPr>
          <w:sz w:val="26"/>
          <w:szCs w:val="26"/>
        </w:rPr>
        <w:t xml:space="preserve"> 2143.</w:t>
      </w:r>
    </w:p>
    <w:p w14:paraId="7866D736"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797DEF">
        <w:rPr>
          <w:sz w:val="26"/>
          <w:szCs w:val="26"/>
        </w:rPr>
        <w:t xml:space="preserve">Jorgenson, A. K., &amp; Dietz, T. (2014). </w:t>
      </w:r>
      <w:r w:rsidRPr="0069172C">
        <w:rPr>
          <w:sz w:val="26"/>
          <w:szCs w:val="26"/>
        </w:rPr>
        <w:t xml:space="preserve">Economic growth does not reduce the ecological intensity of human well-being. </w:t>
      </w:r>
      <w:r w:rsidRPr="0069172C">
        <w:rPr>
          <w:i/>
          <w:iCs/>
          <w:sz w:val="26"/>
          <w:szCs w:val="26"/>
        </w:rPr>
        <w:t>Sustainability Science, 10(1),</w:t>
      </w:r>
      <w:r w:rsidRPr="0069172C">
        <w:rPr>
          <w:sz w:val="26"/>
          <w:szCs w:val="26"/>
        </w:rPr>
        <w:t xml:space="preserve"> 149–156. </w:t>
      </w:r>
      <w:hyperlink r:id="rId52" w:tgtFrame="_new" w:history="1">
        <w:r w:rsidRPr="0069172C">
          <w:rPr>
            <w:rStyle w:val="ae"/>
            <w:sz w:val="26"/>
            <w:szCs w:val="26"/>
          </w:rPr>
          <w:t>https://doi.org/10.1007/s11625-014-0264-6</w:t>
        </w:r>
      </w:hyperlink>
    </w:p>
    <w:p w14:paraId="1C5B18AC"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Keeble, B. R. (1988). The Brundtland report: ‘Our common future.’ </w:t>
      </w:r>
      <w:r w:rsidRPr="0069172C">
        <w:rPr>
          <w:i/>
          <w:iCs/>
          <w:sz w:val="26"/>
          <w:szCs w:val="26"/>
        </w:rPr>
        <w:t>Medicine and War, 4(1),</w:t>
      </w:r>
      <w:r w:rsidRPr="0069172C">
        <w:rPr>
          <w:sz w:val="26"/>
          <w:szCs w:val="26"/>
        </w:rPr>
        <w:t xml:space="preserve"> 17–25. </w:t>
      </w:r>
      <w:hyperlink r:id="rId53" w:tgtFrame="_new" w:history="1">
        <w:r w:rsidRPr="0069172C">
          <w:rPr>
            <w:rStyle w:val="ae"/>
            <w:sz w:val="26"/>
            <w:szCs w:val="26"/>
          </w:rPr>
          <w:t>https://doi.org/10.1080/07488008808408783</w:t>
        </w:r>
      </w:hyperlink>
    </w:p>
    <w:p w14:paraId="6DCE413E"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Kennedy, O. R. (2011). Supply chain flexibility: Structural equation Modeling approach. </w:t>
      </w:r>
      <w:proofErr w:type="spellStart"/>
      <w:r w:rsidRPr="0069172C">
        <w:rPr>
          <w:i/>
          <w:iCs/>
          <w:sz w:val="26"/>
          <w:szCs w:val="26"/>
        </w:rPr>
        <w:t>iBusiness</w:t>
      </w:r>
      <w:proofErr w:type="spellEnd"/>
      <w:r w:rsidRPr="0069172C">
        <w:rPr>
          <w:i/>
          <w:iCs/>
          <w:sz w:val="26"/>
          <w:szCs w:val="26"/>
        </w:rPr>
        <w:t>, 03(04),</w:t>
      </w:r>
      <w:r w:rsidRPr="0069172C">
        <w:rPr>
          <w:sz w:val="26"/>
          <w:szCs w:val="26"/>
        </w:rPr>
        <w:t xml:space="preserve"> 390–399. </w:t>
      </w:r>
      <w:hyperlink r:id="rId54" w:tgtFrame="_new" w:history="1">
        <w:r w:rsidRPr="0069172C">
          <w:rPr>
            <w:rStyle w:val="ae"/>
            <w:sz w:val="26"/>
            <w:szCs w:val="26"/>
          </w:rPr>
          <w:t>https://doi.org/10.4236/ib.2011.34052</w:t>
        </w:r>
      </w:hyperlink>
    </w:p>
    <w:p w14:paraId="1CA9E1A9"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Ko, D., &amp; Stewart, W. P. (2002). A structural equation model of residents’ attitudes for tourism development. </w:t>
      </w:r>
      <w:r w:rsidRPr="0069172C">
        <w:rPr>
          <w:i/>
          <w:iCs/>
          <w:sz w:val="26"/>
          <w:szCs w:val="26"/>
        </w:rPr>
        <w:t>Tourism Management, 23(5),</w:t>
      </w:r>
      <w:r w:rsidRPr="0069172C">
        <w:rPr>
          <w:sz w:val="26"/>
          <w:szCs w:val="26"/>
        </w:rPr>
        <w:t xml:space="preserve"> 521–530. </w:t>
      </w:r>
      <w:hyperlink r:id="rId55" w:tgtFrame="_new" w:history="1">
        <w:r w:rsidRPr="0069172C">
          <w:rPr>
            <w:rStyle w:val="ae"/>
            <w:sz w:val="26"/>
            <w:szCs w:val="26"/>
          </w:rPr>
          <w:t>https://doi.org/10.1016/s0261-5177(02)00006-7</w:t>
        </w:r>
      </w:hyperlink>
    </w:p>
    <w:p w14:paraId="3C42C6DE"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Korhonen, J., </w:t>
      </w:r>
      <w:proofErr w:type="spellStart"/>
      <w:r w:rsidRPr="0069172C">
        <w:rPr>
          <w:sz w:val="26"/>
          <w:szCs w:val="26"/>
        </w:rPr>
        <w:t>Honkasalo</w:t>
      </w:r>
      <w:proofErr w:type="spellEnd"/>
      <w:r w:rsidRPr="0069172C">
        <w:rPr>
          <w:sz w:val="26"/>
          <w:szCs w:val="26"/>
        </w:rPr>
        <w:t xml:space="preserve">, A., &amp; Seppälä, J. (2017). Circular economy: The concept and its limitations. </w:t>
      </w:r>
      <w:r w:rsidRPr="0069172C">
        <w:rPr>
          <w:i/>
          <w:iCs/>
          <w:sz w:val="26"/>
          <w:szCs w:val="26"/>
        </w:rPr>
        <w:t>Ecological Economics, 143,</w:t>
      </w:r>
      <w:r w:rsidRPr="0069172C">
        <w:rPr>
          <w:sz w:val="26"/>
          <w:szCs w:val="26"/>
        </w:rPr>
        <w:t xml:space="preserve"> 37–46. </w:t>
      </w:r>
      <w:hyperlink r:id="rId56" w:tgtFrame="_new" w:history="1">
        <w:r w:rsidRPr="0069172C">
          <w:rPr>
            <w:rStyle w:val="ae"/>
            <w:sz w:val="26"/>
            <w:szCs w:val="26"/>
          </w:rPr>
          <w:t>https://doi.org/10.1016/j.ecolecon.2017.06.041</w:t>
        </w:r>
      </w:hyperlink>
    </w:p>
    <w:p w14:paraId="68D40E82" w14:textId="77777777" w:rsidR="009807BB" w:rsidRPr="0069172C" w:rsidRDefault="009807BB" w:rsidP="00824E69">
      <w:pPr>
        <w:pStyle w:val="EndNoteBibliography"/>
        <w:snapToGrid w:val="0"/>
        <w:spacing w:line="300" w:lineRule="auto"/>
        <w:ind w:left="720" w:firstLineChars="0" w:hanging="720"/>
        <w:jc w:val="left"/>
        <w:rPr>
          <w:sz w:val="26"/>
          <w:szCs w:val="26"/>
        </w:rPr>
      </w:pPr>
      <w:proofErr w:type="spellStart"/>
      <w:r w:rsidRPr="0069172C">
        <w:rPr>
          <w:sz w:val="26"/>
          <w:szCs w:val="26"/>
        </w:rPr>
        <w:t>Kosoy</w:t>
      </w:r>
      <w:proofErr w:type="spellEnd"/>
      <w:r w:rsidRPr="0069172C">
        <w:rPr>
          <w:sz w:val="26"/>
          <w:szCs w:val="26"/>
        </w:rPr>
        <w:t xml:space="preserve">, N., &amp; Corbera, E. (2009). Payments for ecosystem services as commodity fetishism. </w:t>
      </w:r>
      <w:r w:rsidRPr="0069172C">
        <w:rPr>
          <w:i/>
          <w:iCs/>
          <w:sz w:val="26"/>
          <w:szCs w:val="26"/>
        </w:rPr>
        <w:t>Ecological Economics, 69(6),</w:t>
      </w:r>
      <w:r w:rsidRPr="0069172C">
        <w:rPr>
          <w:sz w:val="26"/>
          <w:szCs w:val="26"/>
        </w:rPr>
        <w:t xml:space="preserve"> 1228–1236. </w:t>
      </w:r>
      <w:hyperlink r:id="rId57" w:tgtFrame="_new" w:history="1">
        <w:r w:rsidRPr="0069172C">
          <w:rPr>
            <w:rStyle w:val="ae"/>
            <w:sz w:val="26"/>
            <w:szCs w:val="26"/>
          </w:rPr>
          <w:t>https://doi.org/10.1016/j.ecolecon.2009.11.002</w:t>
        </w:r>
      </w:hyperlink>
    </w:p>
    <w:p w14:paraId="2A3D8598" w14:textId="77777777" w:rsidR="009807BB" w:rsidRPr="0069172C" w:rsidRDefault="009807BB" w:rsidP="00824E69">
      <w:pPr>
        <w:pStyle w:val="EndNoteBibliography"/>
        <w:snapToGrid w:val="0"/>
        <w:spacing w:line="300" w:lineRule="auto"/>
        <w:ind w:left="720" w:firstLineChars="0" w:hanging="720"/>
        <w:jc w:val="left"/>
        <w:rPr>
          <w:sz w:val="26"/>
          <w:szCs w:val="26"/>
        </w:rPr>
      </w:pPr>
      <w:proofErr w:type="spellStart"/>
      <w:r w:rsidRPr="0069172C">
        <w:rPr>
          <w:sz w:val="26"/>
          <w:szCs w:val="26"/>
        </w:rPr>
        <w:t>Krejcie</w:t>
      </w:r>
      <w:proofErr w:type="spellEnd"/>
      <w:r w:rsidRPr="0069172C">
        <w:rPr>
          <w:sz w:val="26"/>
          <w:szCs w:val="26"/>
        </w:rPr>
        <w:t xml:space="preserve">, R. V., &amp; Morgan, D. W. (1970). Determining sample size for research activities. </w:t>
      </w:r>
      <w:r w:rsidRPr="0069172C">
        <w:rPr>
          <w:i/>
          <w:iCs/>
          <w:sz w:val="26"/>
          <w:szCs w:val="26"/>
        </w:rPr>
        <w:t>Educational and Psychological Measurement, 30(3),</w:t>
      </w:r>
      <w:r w:rsidRPr="0069172C">
        <w:rPr>
          <w:sz w:val="26"/>
          <w:szCs w:val="26"/>
        </w:rPr>
        <w:t xml:space="preserve"> 607–610. </w:t>
      </w:r>
      <w:hyperlink r:id="rId58" w:tgtFrame="_new" w:history="1">
        <w:r w:rsidRPr="0069172C">
          <w:rPr>
            <w:rStyle w:val="ae"/>
            <w:sz w:val="26"/>
            <w:szCs w:val="26"/>
          </w:rPr>
          <w:t>https://doi.org/10.1177/001316447003000308</w:t>
        </w:r>
      </w:hyperlink>
    </w:p>
    <w:p w14:paraId="153ACF12"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Lei, P., &amp; Wu, Q. (2007). Introduction to Structural equation modeling: Issues and practical considerations. </w:t>
      </w:r>
      <w:r w:rsidRPr="0069172C">
        <w:rPr>
          <w:i/>
          <w:iCs/>
          <w:sz w:val="26"/>
          <w:szCs w:val="26"/>
        </w:rPr>
        <w:t>Educational Measurement Issues and Practice, 26(3),</w:t>
      </w:r>
      <w:r w:rsidRPr="0069172C">
        <w:rPr>
          <w:sz w:val="26"/>
          <w:szCs w:val="26"/>
        </w:rPr>
        <w:t xml:space="preserve"> 33–43. </w:t>
      </w:r>
      <w:hyperlink r:id="rId59" w:tgtFrame="_new" w:history="1">
        <w:r w:rsidRPr="0069172C">
          <w:rPr>
            <w:rStyle w:val="ae"/>
            <w:sz w:val="26"/>
            <w:szCs w:val="26"/>
          </w:rPr>
          <w:t>https://doi.org/10.1111/j.1745-3992.2007.00099.x</w:t>
        </w:r>
      </w:hyperlink>
    </w:p>
    <w:p w14:paraId="0C269785"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Lieder, M., &amp; Rashid, A. (2015). Towards circular economy implementation: a comprehensive review in context of manufacturing industry. </w:t>
      </w:r>
      <w:r w:rsidRPr="0069172C">
        <w:rPr>
          <w:i/>
          <w:iCs/>
          <w:sz w:val="26"/>
          <w:szCs w:val="26"/>
        </w:rPr>
        <w:t>Journal of Cleaner Production, 115,</w:t>
      </w:r>
      <w:r w:rsidRPr="0069172C">
        <w:rPr>
          <w:sz w:val="26"/>
          <w:szCs w:val="26"/>
        </w:rPr>
        <w:t xml:space="preserve"> 36–51. </w:t>
      </w:r>
      <w:hyperlink r:id="rId60" w:tgtFrame="_new" w:history="1">
        <w:r w:rsidRPr="0069172C">
          <w:rPr>
            <w:rStyle w:val="ae"/>
            <w:sz w:val="26"/>
            <w:szCs w:val="26"/>
          </w:rPr>
          <w:t>https://doi.org/10.1016/j.jclepro.2015.12.042</w:t>
        </w:r>
      </w:hyperlink>
    </w:p>
    <w:p w14:paraId="3F8F82B6"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Malhotra, M. K., &amp; Grover, V. (1998). An assessment of survey research in POM: from constructs to theory. </w:t>
      </w:r>
      <w:r w:rsidRPr="0069172C">
        <w:rPr>
          <w:i/>
          <w:iCs/>
          <w:sz w:val="26"/>
          <w:szCs w:val="26"/>
        </w:rPr>
        <w:t>Journal of Operations Management, 16(4),</w:t>
      </w:r>
      <w:r w:rsidRPr="0069172C">
        <w:rPr>
          <w:sz w:val="26"/>
          <w:szCs w:val="26"/>
        </w:rPr>
        <w:t xml:space="preserve"> 407–425. </w:t>
      </w:r>
      <w:hyperlink r:id="rId61" w:tgtFrame="_new" w:history="1">
        <w:r w:rsidRPr="0069172C">
          <w:rPr>
            <w:rStyle w:val="ae"/>
            <w:sz w:val="26"/>
            <w:szCs w:val="26"/>
          </w:rPr>
          <w:t>https://doi.org/10.1016/s0272-6963(98)00021-7</w:t>
        </w:r>
      </w:hyperlink>
    </w:p>
    <w:p w14:paraId="7F965F33"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Mitchell, P., &amp; James, K. (2015). Economic growth potential of more circular economies [Conference paper, ISWA World Congress, Antwerp, 7–9 September 2015]. </w:t>
      </w:r>
      <w:hyperlink r:id="rId62" w:tgtFrame="_new" w:history="1">
        <w:r w:rsidRPr="0069172C">
          <w:rPr>
            <w:rStyle w:val="ae"/>
            <w:sz w:val="26"/>
            <w:szCs w:val="26"/>
          </w:rPr>
          <w:t>https://doi.org/10.13140/RG.2.1.3516.8725</w:t>
        </w:r>
      </w:hyperlink>
    </w:p>
    <w:p w14:paraId="46CF149F"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Montag, L. (2022). Circular economy and supply chains: Definitions, conceptualizations, and research agenda of the circular supply chain framework. </w:t>
      </w:r>
      <w:r w:rsidRPr="0069172C">
        <w:rPr>
          <w:i/>
          <w:iCs/>
          <w:sz w:val="26"/>
          <w:szCs w:val="26"/>
        </w:rPr>
        <w:t>Circular Economy and Sustainability, 3(1),</w:t>
      </w:r>
      <w:r w:rsidRPr="0069172C">
        <w:rPr>
          <w:sz w:val="26"/>
          <w:szCs w:val="26"/>
        </w:rPr>
        <w:t xml:space="preserve"> 35–75. </w:t>
      </w:r>
      <w:hyperlink r:id="rId63" w:tgtFrame="_new" w:history="1">
        <w:r w:rsidRPr="0069172C">
          <w:rPr>
            <w:rStyle w:val="ae"/>
            <w:sz w:val="26"/>
            <w:szCs w:val="26"/>
          </w:rPr>
          <w:t>https://doi.org/10.1007/s43615-022-00172-y</w:t>
        </w:r>
      </w:hyperlink>
    </w:p>
    <w:p w14:paraId="11570396"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Morelli, J. (2011). Environmental sustainability: A definition for environmental professionals. </w:t>
      </w:r>
      <w:r w:rsidRPr="0069172C">
        <w:rPr>
          <w:i/>
          <w:iCs/>
          <w:sz w:val="26"/>
          <w:szCs w:val="26"/>
        </w:rPr>
        <w:t>Journal of Environmental Sustainability, 1(1),</w:t>
      </w:r>
      <w:r w:rsidRPr="0069172C">
        <w:rPr>
          <w:sz w:val="26"/>
          <w:szCs w:val="26"/>
        </w:rPr>
        <w:t xml:space="preserve"> 1–10. </w:t>
      </w:r>
      <w:hyperlink r:id="rId64" w:tgtFrame="_new" w:history="1">
        <w:r w:rsidRPr="0069172C">
          <w:rPr>
            <w:rStyle w:val="ae"/>
            <w:sz w:val="26"/>
            <w:szCs w:val="26"/>
          </w:rPr>
          <w:t>https://doi.org/10.14448/jes.01.0002</w:t>
        </w:r>
      </w:hyperlink>
    </w:p>
    <w:p w14:paraId="52315394"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Nag, U., Sharma, S. K., &amp; Govindan, K. (2021). Investigating drivers of circular supply chain with product-service system in automotive firms of an emerging economy. </w:t>
      </w:r>
      <w:r w:rsidRPr="0069172C">
        <w:rPr>
          <w:i/>
          <w:iCs/>
          <w:sz w:val="26"/>
          <w:szCs w:val="26"/>
        </w:rPr>
        <w:t>Journal of Cleaner Production, 319,</w:t>
      </w:r>
      <w:r w:rsidRPr="0069172C">
        <w:rPr>
          <w:sz w:val="26"/>
          <w:szCs w:val="26"/>
        </w:rPr>
        <w:t xml:space="preserve"> 128629. </w:t>
      </w:r>
      <w:hyperlink r:id="rId65" w:tgtFrame="_new" w:history="1">
        <w:r w:rsidRPr="0069172C">
          <w:rPr>
            <w:rStyle w:val="ae"/>
            <w:sz w:val="26"/>
            <w:szCs w:val="26"/>
          </w:rPr>
          <w:t>https://doi.org/10.1016/j.jclepro.2021.128629</w:t>
        </w:r>
      </w:hyperlink>
    </w:p>
    <w:p w14:paraId="4960368C" w14:textId="77777777" w:rsidR="009807BB" w:rsidRPr="0069172C" w:rsidRDefault="009807BB" w:rsidP="00824E69">
      <w:pPr>
        <w:pStyle w:val="EndNoteBibliography"/>
        <w:snapToGrid w:val="0"/>
        <w:spacing w:line="300" w:lineRule="auto"/>
        <w:ind w:left="720" w:firstLineChars="0" w:hanging="720"/>
        <w:jc w:val="left"/>
        <w:rPr>
          <w:sz w:val="26"/>
          <w:szCs w:val="26"/>
        </w:rPr>
      </w:pPr>
      <w:proofErr w:type="spellStart"/>
      <w:r w:rsidRPr="00781025">
        <w:rPr>
          <w:sz w:val="26"/>
          <w:szCs w:val="26"/>
        </w:rPr>
        <w:t>Nejati</w:t>
      </w:r>
      <w:proofErr w:type="spellEnd"/>
      <w:r w:rsidRPr="00781025">
        <w:rPr>
          <w:sz w:val="26"/>
          <w:szCs w:val="26"/>
        </w:rPr>
        <w:t xml:space="preserve">, M., </w:t>
      </w:r>
      <w:proofErr w:type="spellStart"/>
      <w:r w:rsidRPr="00781025">
        <w:rPr>
          <w:sz w:val="26"/>
          <w:szCs w:val="26"/>
        </w:rPr>
        <w:t>Rabiei</w:t>
      </w:r>
      <w:proofErr w:type="spellEnd"/>
      <w:r w:rsidRPr="00781025">
        <w:rPr>
          <w:sz w:val="26"/>
          <w:szCs w:val="26"/>
        </w:rPr>
        <w:t xml:space="preserve">, S., &amp; Jabbour, C. J. C. (2017). </w:t>
      </w:r>
      <w:r w:rsidRPr="0069172C">
        <w:rPr>
          <w:sz w:val="26"/>
          <w:szCs w:val="26"/>
        </w:rPr>
        <w:t xml:space="preserve">Envisioning the invisible: Understanding the synergy between green human resource management and green supply chain management in manufacturing firms in Iran </w:t>
      </w:r>
      <w:proofErr w:type="gramStart"/>
      <w:r w:rsidRPr="0069172C">
        <w:rPr>
          <w:sz w:val="26"/>
          <w:szCs w:val="26"/>
        </w:rPr>
        <w:t>in light of</w:t>
      </w:r>
      <w:proofErr w:type="gramEnd"/>
      <w:r w:rsidRPr="0069172C">
        <w:rPr>
          <w:sz w:val="26"/>
          <w:szCs w:val="26"/>
        </w:rPr>
        <w:t xml:space="preserve"> the moderating effect of employees’ resistance to change. </w:t>
      </w:r>
      <w:r w:rsidRPr="0069172C">
        <w:rPr>
          <w:i/>
          <w:iCs/>
          <w:sz w:val="26"/>
          <w:szCs w:val="26"/>
        </w:rPr>
        <w:t>Journal of Cleaner Production, 168,</w:t>
      </w:r>
      <w:r w:rsidRPr="0069172C">
        <w:rPr>
          <w:sz w:val="26"/>
          <w:szCs w:val="26"/>
        </w:rPr>
        <w:t xml:space="preserve"> 163–172. </w:t>
      </w:r>
      <w:hyperlink r:id="rId66" w:tgtFrame="_new" w:history="1">
        <w:r w:rsidRPr="0069172C">
          <w:rPr>
            <w:rStyle w:val="ae"/>
            <w:sz w:val="26"/>
            <w:szCs w:val="26"/>
          </w:rPr>
          <w:t>https://doi.org/10.1016/j.jclepro.2017.08.213</w:t>
        </w:r>
      </w:hyperlink>
    </w:p>
    <w:p w14:paraId="0B197447"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570F51">
        <w:rPr>
          <w:sz w:val="26"/>
          <w:szCs w:val="26"/>
          <w:lang w:val="es-ES"/>
        </w:rPr>
        <w:t xml:space="preserve">Pagoropoulos, A., Pigosso, D. C., &amp; McAloone, T. C. (2017). </w:t>
      </w:r>
      <w:r w:rsidRPr="0069172C">
        <w:rPr>
          <w:sz w:val="26"/>
          <w:szCs w:val="26"/>
        </w:rPr>
        <w:t xml:space="preserve">The emergent role of digital technologies in the circular economy: A review. </w:t>
      </w:r>
      <w:r w:rsidRPr="0069172C">
        <w:rPr>
          <w:i/>
          <w:iCs/>
          <w:sz w:val="26"/>
          <w:szCs w:val="26"/>
        </w:rPr>
        <w:t>Procedia CIRP, 64,</w:t>
      </w:r>
      <w:r w:rsidRPr="0069172C">
        <w:rPr>
          <w:sz w:val="26"/>
          <w:szCs w:val="26"/>
        </w:rPr>
        <w:t xml:space="preserve"> 19–24. </w:t>
      </w:r>
      <w:hyperlink r:id="rId67" w:tgtFrame="_new" w:history="1">
        <w:r w:rsidRPr="0069172C">
          <w:rPr>
            <w:rStyle w:val="ae"/>
            <w:sz w:val="26"/>
            <w:szCs w:val="26"/>
          </w:rPr>
          <w:t>https://doi.org/10.1016/j.procir.2017.02.047</w:t>
        </w:r>
      </w:hyperlink>
    </w:p>
    <w:p w14:paraId="6A8E6BFB" w14:textId="77777777" w:rsidR="009807BB" w:rsidRPr="00E94F33" w:rsidRDefault="009807BB" w:rsidP="00824E69">
      <w:pPr>
        <w:pStyle w:val="EndNoteBibliography"/>
        <w:snapToGrid w:val="0"/>
        <w:spacing w:line="300" w:lineRule="auto"/>
        <w:ind w:left="720" w:firstLine="520"/>
        <w:jc w:val="left"/>
        <w:rPr>
          <w:sz w:val="26"/>
          <w:szCs w:val="26"/>
        </w:rPr>
      </w:pPr>
      <w:r w:rsidRPr="0069172C">
        <w:rPr>
          <w:sz w:val="26"/>
          <w:szCs w:val="26"/>
        </w:rPr>
        <w:t xml:space="preserve">Parvin, F., Islam, S., </w:t>
      </w:r>
      <w:proofErr w:type="spellStart"/>
      <w:r w:rsidRPr="0069172C">
        <w:rPr>
          <w:sz w:val="26"/>
          <w:szCs w:val="26"/>
        </w:rPr>
        <w:t>Akm</w:t>
      </w:r>
      <w:proofErr w:type="spellEnd"/>
      <w:r w:rsidRPr="0069172C">
        <w:rPr>
          <w:sz w:val="26"/>
          <w:szCs w:val="26"/>
        </w:rPr>
        <w:t xml:space="preserve">, S. I., </w:t>
      </w:r>
      <w:proofErr w:type="spellStart"/>
      <w:r w:rsidRPr="0069172C">
        <w:rPr>
          <w:sz w:val="26"/>
          <w:szCs w:val="26"/>
        </w:rPr>
        <w:t>Urmy</w:t>
      </w:r>
      <w:proofErr w:type="spellEnd"/>
      <w:r w:rsidRPr="0069172C">
        <w:rPr>
          <w:sz w:val="26"/>
          <w:szCs w:val="26"/>
        </w:rPr>
        <w:t xml:space="preserve">, Z., &amp; Ahmed, S. (2020). A study on the solutions of environment pollutions and worker’s health problems caused by textile </w:t>
      </w:r>
      <w:r w:rsidRPr="00E94F33">
        <w:rPr>
          <w:sz w:val="26"/>
          <w:szCs w:val="26"/>
        </w:rPr>
        <w:t xml:space="preserve">Rahman, F. A., Aziz, M. M. A., </w:t>
      </w:r>
      <w:proofErr w:type="spellStart"/>
      <w:r w:rsidRPr="00E94F33">
        <w:rPr>
          <w:sz w:val="26"/>
          <w:szCs w:val="26"/>
        </w:rPr>
        <w:t>Saidur</w:t>
      </w:r>
      <w:proofErr w:type="spellEnd"/>
      <w:r w:rsidRPr="00E94F33">
        <w:rPr>
          <w:sz w:val="26"/>
          <w:szCs w:val="26"/>
        </w:rPr>
        <w:t xml:space="preserve">, R., Bakar, W. A. W. A., </w:t>
      </w:r>
      <w:proofErr w:type="spellStart"/>
      <w:r w:rsidRPr="00E94F33">
        <w:rPr>
          <w:sz w:val="26"/>
          <w:szCs w:val="26"/>
        </w:rPr>
        <w:t>Hainin</w:t>
      </w:r>
      <w:proofErr w:type="spellEnd"/>
      <w:r w:rsidRPr="00E94F33">
        <w:rPr>
          <w:sz w:val="26"/>
          <w:szCs w:val="26"/>
        </w:rPr>
        <w:t>, M. R., &amp; Hassan, N. A. (2017).</w:t>
      </w:r>
    </w:p>
    <w:p w14:paraId="74D1721E"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570F51">
        <w:rPr>
          <w:sz w:val="26"/>
          <w:szCs w:val="26"/>
          <w:lang w:val="es-ES"/>
        </w:rPr>
        <w:t xml:space="preserve">Patricio, J., Axelsson, L., Blomé, S., &amp; Rosado, L. (2018). </w:t>
      </w:r>
      <w:r w:rsidRPr="0069172C">
        <w:rPr>
          <w:sz w:val="26"/>
          <w:szCs w:val="26"/>
        </w:rPr>
        <w:t xml:space="preserve">Enabling industrial symbiosis collaborations between SMEs from a regional perspective. </w:t>
      </w:r>
      <w:r w:rsidRPr="0069172C">
        <w:rPr>
          <w:i/>
          <w:iCs/>
          <w:sz w:val="26"/>
          <w:szCs w:val="26"/>
        </w:rPr>
        <w:t>Journal of Cleaner Production, 202,</w:t>
      </w:r>
      <w:r w:rsidRPr="0069172C">
        <w:rPr>
          <w:sz w:val="26"/>
          <w:szCs w:val="26"/>
        </w:rPr>
        <w:t xml:space="preserve"> 1120–1130. </w:t>
      </w:r>
      <w:hyperlink r:id="rId68" w:tgtFrame="_new" w:history="1">
        <w:r w:rsidRPr="0069172C">
          <w:rPr>
            <w:rStyle w:val="ae"/>
            <w:sz w:val="26"/>
            <w:szCs w:val="26"/>
          </w:rPr>
          <w:t>https://doi.org/10.1016/j.jclepro.2018.07.230</w:t>
        </w:r>
      </w:hyperlink>
    </w:p>
    <w:p w14:paraId="2213E55B" w14:textId="77777777" w:rsidR="009807BB" w:rsidRPr="00570F51" w:rsidRDefault="009807BB" w:rsidP="00824E69">
      <w:pPr>
        <w:pStyle w:val="EndNoteBibliography"/>
        <w:snapToGrid w:val="0"/>
        <w:spacing w:line="300" w:lineRule="auto"/>
        <w:ind w:left="720" w:firstLineChars="0" w:hanging="720"/>
        <w:jc w:val="left"/>
        <w:rPr>
          <w:sz w:val="26"/>
          <w:szCs w:val="26"/>
          <w:lang w:val="es-ES"/>
        </w:rPr>
      </w:pPr>
      <w:r w:rsidRPr="00570F51">
        <w:rPr>
          <w:sz w:val="26"/>
          <w:szCs w:val="26"/>
          <w:lang w:val="es-ES"/>
        </w:rPr>
        <w:t xml:space="preserve">Prencipe, M. P., Vishkaei, B. M., &amp; De Giovanni, P. (2021). </w:t>
      </w:r>
      <w:r w:rsidRPr="0069172C">
        <w:rPr>
          <w:sz w:val="26"/>
          <w:szCs w:val="26"/>
        </w:rPr>
        <w:t xml:space="preserve">Blockchain adoption in the winery industry. In </w:t>
      </w:r>
      <w:r w:rsidRPr="0069172C">
        <w:rPr>
          <w:i/>
          <w:iCs/>
          <w:sz w:val="26"/>
          <w:szCs w:val="26"/>
        </w:rPr>
        <w:t>Advances in data mining and database management book series (pp. 43–72).</w:t>
      </w:r>
      <w:r w:rsidRPr="0069172C">
        <w:rPr>
          <w:sz w:val="26"/>
          <w:szCs w:val="26"/>
        </w:rPr>
        <w:t xml:space="preserve"> </w:t>
      </w:r>
      <w:hyperlink r:id="rId69" w:tgtFrame="_new" w:history="1">
        <w:r w:rsidRPr="00570F51">
          <w:rPr>
            <w:rStyle w:val="ae"/>
            <w:sz w:val="26"/>
            <w:szCs w:val="26"/>
            <w:lang w:val="es-ES"/>
          </w:rPr>
          <w:t>https://doi.org/10.4018/978-1-7998-8014-1.ch003</w:t>
        </w:r>
      </w:hyperlink>
    </w:p>
    <w:p w14:paraId="7052A2A8"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570F51">
        <w:rPr>
          <w:sz w:val="26"/>
          <w:szCs w:val="26"/>
          <w:lang w:val="es-ES"/>
        </w:rPr>
        <w:t xml:space="preserve">Radivojević, V., Rađenović, T., &amp; Dimovski, J. (2024). </w:t>
      </w:r>
      <w:r w:rsidRPr="0069172C">
        <w:rPr>
          <w:sz w:val="26"/>
          <w:szCs w:val="26"/>
        </w:rPr>
        <w:t xml:space="preserve">The role of circular economy in driving economic growth: Evidence from EU countries. </w:t>
      </w:r>
      <w:r w:rsidRPr="0069172C">
        <w:rPr>
          <w:i/>
          <w:iCs/>
          <w:sz w:val="26"/>
          <w:szCs w:val="26"/>
        </w:rPr>
        <w:t>SAGE Open, 14(4).</w:t>
      </w:r>
      <w:r w:rsidRPr="0069172C">
        <w:rPr>
          <w:sz w:val="26"/>
          <w:szCs w:val="26"/>
        </w:rPr>
        <w:t xml:space="preserve"> </w:t>
      </w:r>
      <w:hyperlink r:id="rId70" w:tgtFrame="_new" w:history="1">
        <w:r w:rsidRPr="0069172C">
          <w:rPr>
            <w:rStyle w:val="ae"/>
            <w:sz w:val="26"/>
            <w:szCs w:val="26"/>
          </w:rPr>
          <w:t>https://doi.org/10.1177/21582440241240624</w:t>
        </w:r>
      </w:hyperlink>
    </w:p>
    <w:p w14:paraId="2D36F5A0" w14:textId="77777777" w:rsidR="009807BB" w:rsidRDefault="009807BB" w:rsidP="00824E69">
      <w:pPr>
        <w:pStyle w:val="EndNoteBibliography"/>
        <w:snapToGrid w:val="0"/>
        <w:spacing w:line="300" w:lineRule="auto"/>
        <w:ind w:left="720" w:firstLineChars="0" w:hanging="720"/>
        <w:jc w:val="left"/>
        <w:rPr>
          <w:sz w:val="26"/>
          <w:szCs w:val="26"/>
        </w:rPr>
      </w:pPr>
      <w:r w:rsidRPr="00E94F33">
        <w:rPr>
          <w:sz w:val="26"/>
          <w:szCs w:val="26"/>
        </w:rPr>
        <w:t xml:space="preserve">Rahman, F. A., Aziz, M. M. A., </w:t>
      </w:r>
      <w:proofErr w:type="spellStart"/>
      <w:r w:rsidRPr="00E94F33">
        <w:rPr>
          <w:sz w:val="26"/>
          <w:szCs w:val="26"/>
        </w:rPr>
        <w:t>Saidur</w:t>
      </w:r>
      <w:proofErr w:type="spellEnd"/>
      <w:r w:rsidRPr="00E94F33">
        <w:rPr>
          <w:sz w:val="26"/>
          <w:szCs w:val="26"/>
        </w:rPr>
        <w:t xml:space="preserve">, R., Bakar, W. A. W. A., </w:t>
      </w:r>
      <w:proofErr w:type="spellStart"/>
      <w:r w:rsidRPr="00E94F33">
        <w:rPr>
          <w:sz w:val="26"/>
          <w:szCs w:val="26"/>
        </w:rPr>
        <w:t>Hainin</w:t>
      </w:r>
      <w:proofErr w:type="spellEnd"/>
      <w:r w:rsidRPr="00E94F33">
        <w:rPr>
          <w:sz w:val="26"/>
          <w:szCs w:val="26"/>
        </w:rPr>
        <w:t>, M. R., &amp; Hassan, N. A. (2017).</w:t>
      </w:r>
      <w:r>
        <w:rPr>
          <w:sz w:val="26"/>
          <w:szCs w:val="26"/>
        </w:rPr>
        <w:t xml:space="preserve"> </w:t>
      </w:r>
      <w:r w:rsidRPr="00E94F33">
        <w:rPr>
          <w:sz w:val="26"/>
          <w:szCs w:val="26"/>
        </w:rPr>
        <w:t>Pollution to solution: Capture and sequestration of carbon dioxide (CO₂) and its utilization as a renewable energy source for a sustainable future. Renewable and Sustainable Energy Reviews, 71, 112–126.</w:t>
      </w:r>
      <w:r>
        <w:rPr>
          <w:sz w:val="26"/>
          <w:szCs w:val="26"/>
        </w:rPr>
        <w:t xml:space="preserve"> </w:t>
      </w:r>
      <w:hyperlink r:id="rId71" w:history="1">
        <w:r w:rsidRPr="00894D4D">
          <w:rPr>
            <w:rStyle w:val="ae"/>
            <w:sz w:val="26"/>
            <w:szCs w:val="26"/>
          </w:rPr>
          <w:t>https://doi.org/10.1016/j.rser.2017.01.011</w:t>
        </w:r>
      </w:hyperlink>
      <w:r>
        <w:rPr>
          <w:sz w:val="26"/>
          <w:szCs w:val="26"/>
        </w:rPr>
        <w:t xml:space="preserve"> </w:t>
      </w:r>
    </w:p>
    <w:p w14:paraId="4D8152AD"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570F51">
        <w:rPr>
          <w:sz w:val="26"/>
          <w:szCs w:val="26"/>
          <w:lang w:val="es-ES"/>
        </w:rPr>
        <w:t xml:space="preserve">Ripanti, E. F., &amp; Tjahjono, B. (2019). </w:t>
      </w:r>
      <w:r w:rsidRPr="0069172C">
        <w:rPr>
          <w:sz w:val="26"/>
          <w:szCs w:val="26"/>
        </w:rPr>
        <w:t xml:space="preserve">Unveiling the potentials of circular economy values in logistics and supply chain management. </w:t>
      </w:r>
      <w:r w:rsidRPr="0069172C">
        <w:rPr>
          <w:i/>
          <w:iCs/>
          <w:sz w:val="26"/>
          <w:szCs w:val="26"/>
        </w:rPr>
        <w:t>The International Journal of Logistics Management, 30(3),</w:t>
      </w:r>
      <w:r w:rsidRPr="0069172C">
        <w:rPr>
          <w:sz w:val="26"/>
          <w:szCs w:val="26"/>
        </w:rPr>
        <w:t xml:space="preserve"> 723–742. </w:t>
      </w:r>
      <w:hyperlink r:id="rId72" w:tgtFrame="_new" w:history="1">
        <w:r w:rsidRPr="0069172C">
          <w:rPr>
            <w:rStyle w:val="ae"/>
            <w:sz w:val="26"/>
            <w:szCs w:val="26"/>
          </w:rPr>
          <w:t>https://doi.org/10.1108/ijlm-04-2018-0109</w:t>
        </w:r>
      </w:hyperlink>
    </w:p>
    <w:p w14:paraId="754DA01E" w14:textId="77777777" w:rsidR="009807BB" w:rsidRPr="00FB2B97" w:rsidRDefault="009807BB" w:rsidP="00824E69">
      <w:pPr>
        <w:pStyle w:val="EndNoteBibliography"/>
        <w:snapToGrid w:val="0"/>
        <w:spacing w:line="300" w:lineRule="auto"/>
        <w:ind w:left="720" w:firstLineChars="0" w:hanging="720"/>
        <w:jc w:val="left"/>
        <w:rPr>
          <w:sz w:val="26"/>
          <w:szCs w:val="26"/>
        </w:rPr>
      </w:pPr>
      <w:r w:rsidRPr="0064746E">
        <w:rPr>
          <w:sz w:val="26"/>
          <w:szCs w:val="26"/>
          <w:lang w:val="fr-FR"/>
        </w:rPr>
        <w:t xml:space="preserve">Romagnoli, S., Tarabu, C., Vishkaei, B. M., &amp; De Giovanni, P. (2023). </w:t>
      </w:r>
      <w:r w:rsidRPr="0069172C">
        <w:rPr>
          <w:sz w:val="26"/>
          <w:szCs w:val="26"/>
        </w:rPr>
        <w:t xml:space="preserve">The impact of digital technologies and sustainable practices on circular supply chain management. </w:t>
      </w:r>
      <w:r w:rsidRPr="00FB2B97">
        <w:rPr>
          <w:i/>
          <w:iCs/>
          <w:sz w:val="26"/>
          <w:szCs w:val="26"/>
        </w:rPr>
        <w:t>Logistics, 7(1),</w:t>
      </w:r>
      <w:r w:rsidRPr="00FB2B97">
        <w:rPr>
          <w:sz w:val="26"/>
          <w:szCs w:val="26"/>
        </w:rPr>
        <w:t xml:space="preserve"> 1. </w:t>
      </w:r>
      <w:hyperlink r:id="rId73" w:tgtFrame="_new" w:history="1">
        <w:r w:rsidRPr="00FB2B97">
          <w:rPr>
            <w:rStyle w:val="ae"/>
            <w:sz w:val="26"/>
            <w:szCs w:val="26"/>
          </w:rPr>
          <w:t>https://doi.org/10.3390/logistics7010001</w:t>
        </w:r>
      </w:hyperlink>
    </w:p>
    <w:p w14:paraId="3E04A6F8" w14:textId="77777777" w:rsidR="009807BB" w:rsidRPr="0064746E" w:rsidRDefault="009807BB" w:rsidP="00824E69">
      <w:pPr>
        <w:pStyle w:val="EndNoteBibliography"/>
        <w:snapToGrid w:val="0"/>
        <w:spacing w:line="300" w:lineRule="auto"/>
        <w:ind w:left="720" w:firstLineChars="0" w:hanging="720"/>
        <w:jc w:val="left"/>
        <w:rPr>
          <w:sz w:val="26"/>
          <w:szCs w:val="26"/>
          <w:lang w:val="fr-FR"/>
        </w:rPr>
      </w:pPr>
      <w:r w:rsidRPr="0069172C">
        <w:rPr>
          <w:sz w:val="26"/>
          <w:szCs w:val="26"/>
        </w:rPr>
        <w:t xml:space="preserve">Sauvé, S., Bernard, S., &amp; Sloan, P. (2015). Environmental sciences, sustainable development and circular economy: Alternative concepts for trans-disciplinary research. </w:t>
      </w:r>
      <w:r w:rsidRPr="0064746E">
        <w:rPr>
          <w:i/>
          <w:iCs/>
          <w:sz w:val="26"/>
          <w:szCs w:val="26"/>
          <w:lang w:val="fr-FR"/>
        </w:rPr>
        <w:t>Environmental Development, 17,</w:t>
      </w:r>
      <w:r w:rsidRPr="0064746E">
        <w:rPr>
          <w:sz w:val="26"/>
          <w:szCs w:val="26"/>
          <w:lang w:val="fr-FR"/>
        </w:rPr>
        <w:t xml:space="preserve"> 48–56. </w:t>
      </w:r>
      <w:hyperlink r:id="rId74" w:tgtFrame="_new" w:history="1">
        <w:r w:rsidRPr="0064746E">
          <w:rPr>
            <w:rStyle w:val="ae"/>
            <w:sz w:val="26"/>
            <w:szCs w:val="26"/>
            <w:lang w:val="fr-FR"/>
          </w:rPr>
          <w:t>https://doi.org/10.1016/j.envdev.2015.09.002</w:t>
        </w:r>
      </w:hyperlink>
    </w:p>
    <w:p w14:paraId="53864C89"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4746E">
        <w:rPr>
          <w:sz w:val="26"/>
          <w:szCs w:val="26"/>
          <w:lang w:val="fr-FR"/>
        </w:rPr>
        <w:t xml:space="preserve">Scavarda, A., Daú, G. L., Scavarda, L. F., &amp; Korzenowski, A. L. (2018). </w:t>
      </w:r>
      <w:r w:rsidRPr="0069172C">
        <w:rPr>
          <w:sz w:val="26"/>
          <w:szCs w:val="26"/>
        </w:rPr>
        <w:t xml:space="preserve">A proposed healthcare supply chain management framework in the emerging economies with the sustainable lenses: The theory, the practice, and the policy. </w:t>
      </w:r>
      <w:r w:rsidRPr="0069172C">
        <w:rPr>
          <w:i/>
          <w:iCs/>
          <w:sz w:val="26"/>
          <w:szCs w:val="26"/>
        </w:rPr>
        <w:t>Resources Conservation and Recycling, 141,</w:t>
      </w:r>
      <w:r w:rsidRPr="0069172C">
        <w:rPr>
          <w:sz w:val="26"/>
          <w:szCs w:val="26"/>
        </w:rPr>
        <w:t xml:space="preserve"> 418–430. </w:t>
      </w:r>
      <w:hyperlink r:id="rId75" w:tgtFrame="_new" w:history="1">
        <w:r w:rsidRPr="0069172C">
          <w:rPr>
            <w:rStyle w:val="ae"/>
            <w:sz w:val="26"/>
            <w:szCs w:val="26"/>
          </w:rPr>
          <w:t>https://doi.org/10.1016/j.resconrec.2018.10.027</w:t>
        </w:r>
      </w:hyperlink>
    </w:p>
    <w:p w14:paraId="623318CE"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Setiawan, P., &amp; </w:t>
      </w:r>
      <w:proofErr w:type="spellStart"/>
      <w:r w:rsidRPr="0069172C">
        <w:rPr>
          <w:sz w:val="26"/>
          <w:szCs w:val="26"/>
        </w:rPr>
        <w:t>Iswati</w:t>
      </w:r>
      <w:proofErr w:type="spellEnd"/>
      <w:r w:rsidRPr="0069172C">
        <w:rPr>
          <w:sz w:val="26"/>
          <w:szCs w:val="26"/>
        </w:rPr>
        <w:t xml:space="preserve">, S. (2019). Carbon emissions disclosure, Environmental management system, and environmental performance: Evidence from the plantation industries in Indonesia. </w:t>
      </w:r>
      <w:r w:rsidRPr="0069172C">
        <w:rPr>
          <w:i/>
          <w:iCs/>
          <w:sz w:val="26"/>
          <w:szCs w:val="26"/>
        </w:rPr>
        <w:t>Indonesian Journal of Sustainability Accounting and Management, 3(2),</w:t>
      </w:r>
      <w:r w:rsidRPr="0069172C">
        <w:rPr>
          <w:sz w:val="26"/>
          <w:szCs w:val="26"/>
        </w:rPr>
        <w:t xml:space="preserve"> 215. </w:t>
      </w:r>
      <w:hyperlink r:id="rId76" w:tgtFrame="_new" w:history="1">
        <w:r w:rsidRPr="0069172C">
          <w:rPr>
            <w:rStyle w:val="ae"/>
            <w:sz w:val="26"/>
            <w:szCs w:val="26"/>
          </w:rPr>
          <w:t>https://doi.org/10.28992/ijsam.v3i2.99</w:t>
        </w:r>
      </w:hyperlink>
    </w:p>
    <w:p w14:paraId="5D4B8C66" w14:textId="77777777" w:rsidR="009807BB" w:rsidRPr="002365E0" w:rsidRDefault="009807BB" w:rsidP="00824E69">
      <w:pPr>
        <w:pStyle w:val="EndNoteBibliography"/>
        <w:snapToGrid w:val="0"/>
        <w:spacing w:line="300" w:lineRule="auto"/>
        <w:ind w:left="720" w:firstLineChars="0" w:hanging="720"/>
        <w:jc w:val="left"/>
        <w:rPr>
          <w:sz w:val="26"/>
          <w:szCs w:val="26"/>
          <w:lang w:val="fr-FR"/>
        </w:rPr>
      </w:pPr>
      <w:r w:rsidRPr="0069172C">
        <w:rPr>
          <w:sz w:val="26"/>
          <w:szCs w:val="26"/>
        </w:rPr>
        <w:t xml:space="preserve">Sharma, S. K., &amp; Bhat, A. (2016). Risk mitigation in automotive supply chain: An Empirical Exploration of enablers to implement supply chain risk </w:t>
      </w:r>
      <w:proofErr w:type="spellStart"/>
      <w:r w:rsidRPr="0069172C">
        <w:rPr>
          <w:sz w:val="26"/>
          <w:szCs w:val="26"/>
        </w:rPr>
        <w:t>management.</w:t>
      </w:r>
      <w:r>
        <w:rPr>
          <w:sz w:val="26"/>
          <w:szCs w:val="26"/>
        </w:rPr>
        <w:t>fff</w:t>
      </w:r>
      <w:proofErr w:type="spellEnd"/>
      <w:r w:rsidRPr="0069172C">
        <w:rPr>
          <w:sz w:val="26"/>
          <w:szCs w:val="26"/>
        </w:rPr>
        <w:t xml:space="preserve"> </w:t>
      </w:r>
      <w:r w:rsidRPr="0069172C">
        <w:rPr>
          <w:i/>
          <w:iCs/>
          <w:sz w:val="26"/>
          <w:szCs w:val="26"/>
        </w:rPr>
        <w:t>Global Business Review, 17(4),</w:t>
      </w:r>
      <w:r w:rsidRPr="0069172C">
        <w:rPr>
          <w:sz w:val="26"/>
          <w:szCs w:val="26"/>
        </w:rPr>
        <w:t xml:space="preserve"> 790–805. </w:t>
      </w:r>
      <w:hyperlink r:id="rId77" w:tgtFrame="_new" w:history="1">
        <w:r w:rsidRPr="002365E0">
          <w:rPr>
            <w:rStyle w:val="ae"/>
            <w:sz w:val="26"/>
            <w:szCs w:val="26"/>
            <w:lang w:val="fr-FR"/>
          </w:rPr>
          <w:t>https://doi.org/10.1177/0972150916645678</w:t>
        </w:r>
      </w:hyperlink>
    </w:p>
    <w:p w14:paraId="3655FEAB"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12816">
        <w:rPr>
          <w:sz w:val="26"/>
          <w:szCs w:val="26"/>
          <w:lang w:val="fr-FR"/>
        </w:rPr>
        <w:t xml:space="preserve">Shashi, N., Centobelli, P., Cerchione, R., &amp; Singh, R. (2019). </w:t>
      </w:r>
      <w:r w:rsidRPr="0069172C">
        <w:rPr>
          <w:sz w:val="26"/>
          <w:szCs w:val="26"/>
        </w:rPr>
        <w:t xml:space="preserve">The impact of leanness and innovativeness on environmental and financial performance: Insights from Indian SMEs. </w:t>
      </w:r>
      <w:r w:rsidRPr="0069172C">
        <w:rPr>
          <w:i/>
          <w:iCs/>
          <w:sz w:val="26"/>
          <w:szCs w:val="26"/>
        </w:rPr>
        <w:t>International Journal of Production Economics, 212,</w:t>
      </w:r>
      <w:r w:rsidRPr="0069172C">
        <w:rPr>
          <w:sz w:val="26"/>
          <w:szCs w:val="26"/>
        </w:rPr>
        <w:t xml:space="preserve"> 111–124. </w:t>
      </w:r>
      <w:hyperlink r:id="rId78" w:tgtFrame="_new" w:history="1">
        <w:r w:rsidRPr="0069172C">
          <w:rPr>
            <w:rStyle w:val="ae"/>
            <w:sz w:val="26"/>
            <w:szCs w:val="26"/>
          </w:rPr>
          <w:t>https://doi.org/10.1016/j.ijpe.2019.02.011</w:t>
        </w:r>
      </w:hyperlink>
    </w:p>
    <w:p w14:paraId="1C17C941"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12816">
        <w:rPr>
          <w:sz w:val="26"/>
          <w:szCs w:val="26"/>
        </w:rPr>
        <w:t xml:space="preserve">Shaw, S., Grant, D. B., &amp; Mangan, J. (2010). </w:t>
      </w:r>
      <w:r w:rsidRPr="0069172C">
        <w:rPr>
          <w:sz w:val="26"/>
          <w:szCs w:val="26"/>
        </w:rPr>
        <w:t xml:space="preserve">Developing environmental supply chain performance measures. </w:t>
      </w:r>
      <w:r w:rsidRPr="0069172C">
        <w:rPr>
          <w:i/>
          <w:iCs/>
          <w:sz w:val="26"/>
          <w:szCs w:val="26"/>
        </w:rPr>
        <w:t>Benchmarking an International Journal, 17(3),</w:t>
      </w:r>
      <w:r w:rsidRPr="0069172C">
        <w:rPr>
          <w:sz w:val="26"/>
          <w:szCs w:val="26"/>
        </w:rPr>
        <w:t xml:space="preserve"> 320–339. </w:t>
      </w:r>
      <w:hyperlink r:id="rId79" w:tgtFrame="_new" w:history="1">
        <w:r w:rsidRPr="0069172C">
          <w:rPr>
            <w:rStyle w:val="ae"/>
            <w:sz w:val="26"/>
            <w:szCs w:val="26"/>
          </w:rPr>
          <w:t>https://doi.org/10.1108/14635771011049326</w:t>
        </w:r>
      </w:hyperlink>
    </w:p>
    <w:p w14:paraId="57908200"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Sousa-Zomer, T. T., Magalhães, L., </w:t>
      </w:r>
      <w:proofErr w:type="spellStart"/>
      <w:r w:rsidRPr="0069172C">
        <w:rPr>
          <w:sz w:val="26"/>
          <w:szCs w:val="26"/>
        </w:rPr>
        <w:t>Zancul</w:t>
      </w:r>
      <w:proofErr w:type="spellEnd"/>
      <w:r w:rsidRPr="0069172C">
        <w:rPr>
          <w:sz w:val="26"/>
          <w:szCs w:val="26"/>
        </w:rPr>
        <w:t xml:space="preserve">, E., &amp; </w:t>
      </w:r>
      <w:proofErr w:type="spellStart"/>
      <w:r w:rsidRPr="0069172C">
        <w:rPr>
          <w:sz w:val="26"/>
          <w:szCs w:val="26"/>
        </w:rPr>
        <w:t>Cauchick</w:t>
      </w:r>
      <w:proofErr w:type="spellEnd"/>
      <w:r w:rsidRPr="0069172C">
        <w:rPr>
          <w:sz w:val="26"/>
          <w:szCs w:val="26"/>
        </w:rPr>
        <w:t xml:space="preserve">-Miguel, P. A. (2017). Exploring the challenges for circular business implementation in manufacturing companies: An empirical investigation of a pay-per-use service provider. </w:t>
      </w:r>
      <w:r w:rsidRPr="0069172C">
        <w:rPr>
          <w:i/>
          <w:iCs/>
          <w:sz w:val="26"/>
          <w:szCs w:val="26"/>
        </w:rPr>
        <w:t>Resources Conservation and Recycling, 135,</w:t>
      </w:r>
      <w:r w:rsidRPr="0069172C">
        <w:rPr>
          <w:sz w:val="26"/>
          <w:szCs w:val="26"/>
        </w:rPr>
        <w:t xml:space="preserve"> 3–13. </w:t>
      </w:r>
      <w:hyperlink r:id="rId80" w:tgtFrame="_new" w:history="1">
        <w:r w:rsidRPr="0069172C">
          <w:rPr>
            <w:rStyle w:val="ae"/>
            <w:sz w:val="26"/>
            <w:szCs w:val="26"/>
          </w:rPr>
          <w:t>https://doi.org/10.1016/j.resconrec.2017.10.033</w:t>
        </w:r>
      </w:hyperlink>
    </w:p>
    <w:p w14:paraId="5DD82D77" w14:textId="77777777" w:rsidR="009807BB" w:rsidRPr="0069172C" w:rsidRDefault="009807BB" w:rsidP="00824E69">
      <w:pPr>
        <w:pStyle w:val="EndNoteBibliography"/>
        <w:snapToGrid w:val="0"/>
        <w:spacing w:line="300" w:lineRule="auto"/>
        <w:ind w:left="720" w:firstLineChars="0" w:hanging="720"/>
        <w:jc w:val="left"/>
        <w:rPr>
          <w:sz w:val="26"/>
          <w:szCs w:val="26"/>
        </w:rPr>
      </w:pPr>
      <w:proofErr w:type="spellStart"/>
      <w:r w:rsidRPr="0069172C">
        <w:rPr>
          <w:sz w:val="26"/>
          <w:szCs w:val="26"/>
        </w:rPr>
        <w:t>Spash</w:t>
      </w:r>
      <w:proofErr w:type="spellEnd"/>
      <w:r w:rsidRPr="0069172C">
        <w:rPr>
          <w:sz w:val="26"/>
          <w:szCs w:val="26"/>
        </w:rPr>
        <w:t xml:space="preserve">, C. L. (2013). The shallow or the deep ecological economics movement? </w:t>
      </w:r>
      <w:r w:rsidRPr="0069172C">
        <w:rPr>
          <w:i/>
          <w:iCs/>
          <w:sz w:val="26"/>
          <w:szCs w:val="26"/>
        </w:rPr>
        <w:t>Ecological Economics, 93,</w:t>
      </w:r>
      <w:r w:rsidRPr="0069172C">
        <w:rPr>
          <w:sz w:val="26"/>
          <w:szCs w:val="26"/>
        </w:rPr>
        <w:t xml:space="preserve"> 351–362. </w:t>
      </w:r>
      <w:hyperlink r:id="rId81" w:tgtFrame="_new" w:history="1">
        <w:r w:rsidRPr="0069172C">
          <w:rPr>
            <w:rStyle w:val="ae"/>
            <w:sz w:val="26"/>
            <w:szCs w:val="26"/>
          </w:rPr>
          <w:t>https://doi.org/10.1016/j.ecolecon.2013.05.016</w:t>
        </w:r>
      </w:hyperlink>
    </w:p>
    <w:p w14:paraId="4955048C"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Stahel, W. R. (2016). The circular economy. </w:t>
      </w:r>
      <w:r w:rsidRPr="0069172C">
        <w:rPr>
          <w:i/>
          <w:iCs/>
          <w:sz w:val="26"/>
          <w:szCs w:val="26"/>
        </w:rPr>
        <w:t>Nature, 531(7595),</w:t>
      </w:r>
      <w:r w:rsidRPr="0069172C">
        <w:rPr>
          <w:sz w:val="26"/>
          <w:szCs w:val="26"/>
        </w:rPr>
        <w:t xml:space="preserve"> 435–438. </w:t>
      </w:r>
      <w:hyperlink r:id="rId82" w:tgtFrame="_new" w:history="1">
        <w:r w:rsidRPr="0069172C">
          <w:rPr>
            <w:rStyle w:val="ae"/>
            <w:sz w:val="26"/>
            <w:szCs w:val="26"/>
          </w:rPr>
          <w:t>https://doi.org/10.1038/531435a</w:t>
        </w:r>
      </w:hyperlink>
    </w:p>
    <w:p w14:paraId="5D9C524A"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Stewart, R., &amp; </w:t>
      </w:r>
      <w:proofErr w:type="spellStart"/>
      <w:r w:rsidRPr="0069172C">
        <w:rPr>
          <w:sz w:val="26"/>
          <w:szCs w:val="26"/>
        </w:rPr>
        <w:t>Niero</w:t>
      </w:r>
      <w:proofErr w:type="spellEnd"/>
      <w:r w:rsidRPr="0069172C">
        <w:rPr>
          <w:sz w:val="26"/>
          <w:szCs w:val="26"/>
        </w:rPr>
        <w:t xml:space="preserve">, M. (2018). Circular economy in corporate sustainability strategies: A review of corporate sustainability reports in the fast-moving consumer goods sector. </w:t>
      </w:r>
      <w:r w:rsidRPr="0069172C">
        <w:rPr>
          <w:i/>
          <w:iCs/>
          <w:sz w:val="26"/>
          <w:szCs w:val="26"/>
        </w:rPr>
        <w:t>Business Strategy and the Environment, 27(7),</w:t>
      </w:r>
      <w:r w:rsidRPr="0069172C">
        <w:rPr>
          <w:sz w:val="26"/>
          <w:szCs w:val="26"/>
        </w:rPr>
        <w:t xml:space="preserve"> 1005–1022. </w:t>
      </w:r>
      <w:hyperlink r:id="rId83" w:tgtFrame="_new" w:history="1">
        <w:r w:rsidRPr="0069172C">
          <w:rPr>
            <w:rStyle w:val="ae"/>
            <w:sz w:val="26"/>
            <w:szCs w:val="26"/>
          </w:rPr>
          <w:t>https://doi.org/10.1002/bse.2048</w:t>
        </w:r>
      </w:hyperlink>
    </w:p>
    <w:p w14:paraId="510DBC25"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570F51">
        <w:rPr>
          <w:sz w:val="26"/>
          <w:szCs w:val="26"/>
          <w:lang w:val="es-ES"/>
        </w:rPr>
        <w:t xml:space="preserve">Teixeira, A. A., Jabbour, C. J. C., De Sousa Jabbour, A. B. L., Latan, H., &amp; De Oliveira, J. H. C. (2015). </w:t>
      </w:r>
      <w:r w:rsidRPr="0069172C">
        <w:rPr>
          <w:sz w:val="26"/>
          <w:szCs w:val="26"/>
        </w:rPr>
        <w:t xml:space="preserve">Green training and green supply chain management: evidence from Brazilian firms. </w:t>
      </w:r>
      <w:r w:rsidRPr="0069172C">
        <w:rPr>
          <w:i/>
          <w:iCs/>
          <w:sz w:val="26"/>
          <w:szCs w:val="26"/>
        </w:rPr>
        <w:t>Journal of Cleaner Production, 116,</w:t>
      </w:r>
      <w:r w:rsidRPr="0069172C">
        <w:rPr>
          <w:sz w:val="26"/>
          <w:szCs w:val="26"/>
        </w:rPr>
        <w:t xml:space="preserve"> 170–176. </w:t>
      </w:r>
      <w:hyperlink r:id="rId84" w:tgtFrame="_new" w:history="1">
        <w:r w:rsidRPr="0069172C">
          <w:rPr>
            <w:rStyle w:val="ae"/>
            <w:sz w:val="26"/>
            <w:szCs w:val="26"/>
          </w:rPr>
          <w:t>https://doi.org/10.1016/j.jclepro.2015.12.061</w:t>
        </w:r>
      </w:hyperlink>
    </w:p>
    <w:p w14:paraId="16F7BA6D"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570F51">
        <w:rPr>
          <w:sz w:val="26"/>
          <w:szCs w:val="26"/>
          <w:lang w:val="es-ES"/>
        </w:rPr>
        <w:t xml:space="preserve">Veleva, V., Bodkin, G., &amp; Todorova, S. (2017). </w:t>
      </w:r>
      <w:r w:rsidRPr="0069172C">
        <w:rPr>
          <w:sz w:val="26"/>
          <w:szCs w:val="26"/>
        </w:rPr>
        <w:t xml:space="preserve">The need for better measurement and employee engagement to advance a circular economy: Lessons from Biogen’s “zero waste” journey. </w:t>
      </w:r>
      <w:r w:rsidRPr="0069172C">
        <w:rPr>
          <w:i/>
          <w:iCs/>
          <w:sz w:val="26"/>
          <w:szCs w:val="26"/>
        </w:rPr>
        <w:t>Journal of Cleaner Production, 154,</w:t>
      </w:r>
      <w:r w:rsidRPr="0069172C">
        <w:rPr>
          <w:sz w:val="26"/>
          <w:szCs w:val="26"/>
        </w:rPr>
        <w:t xml:space="preserve"> 517–529. </w:t>
      </w:r>
      <w:hyperlink r:id="rId85" w:tgtFrame="_new" w:history="1">
        <w:r w:rsidRPr="0069172C">
          <w:rPr>
            <w:rStyle w:val="ae"/>
            <w:sz w:val="26"/>
            <w:szCs w:val="26"/>
          </w:rPr>
          <w:t>https://doi.org/10.1016/j.jclepro.2017.03.177</w:t>
        </w:r>
      </w:hyperlink>
    </w:p>
    <w:p w14:paraId="38B7990D"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Wang, N., Lee, J. C. K., Zhang, J., Chen, H., &amp; Li, H. (2018). Evaluation of Urban circular economy development: An empirical research of 40 cities in China. </w:t>
      </w:r>
      <w:r w:rsidRPr="0069172C">
        <w:rPr>
          <w:i/>
          <w:iCs/>
          <w:sz w:val="26"/>
          <w:szCs w:val="26"/>
        </w:rPr>
        <w:t>Journal of Cleaner Production, 180,</w:t>
      </w:r>
      <w:r w:rsidRPr="0069172C">
        <w:rPr>
          <w:sz w:val="26"/>
          <w:szCs w:val="26"/>
        </w:rPr>
        <w:t xml:space="preserve"> 876–887. </w:t>
      </w:r>
      <w:hyperlink r:id="rId86" w:tgtFrame="_new" w:history="1">
        <w:r w:rsidRPr="0069172C">
          <w:rPr>
            <w:rStyle w:val="ae"/>
            <w:sz w:val="26"/>
            <w:szCs w:val="26"/>
          </w:rPr>
          <w:t>https://doi.org/10.1016/j.jclepro.2018.01.089</w:t>
        </w:r>
      </w:hyperlink>
    </w:p>
    <w:p w14:paraId="76775D10" w14:textId="77777777" w:rsidR="009807BB" w:rsidRPr="0069172C" w:rsidRDefault="009807BB" w:rsidP="00824E69">
      <w:pPr>
        <w:pStyle w:val="EndNoteBibliography"/>
        <w:snapToGrid w:val="0"/>
        <w:spacing w:line="300" w:lineRule="auto"/>
        <w:ind w:left="720" w:firstLineChars="0" w:hanging="720"/>
        <w:jc w:val="left"/>
        <w:rPr>
          <w:sz w:val="26"/>
          <w:szCs w:val="26"/>
        </w:rPr>
      </w:pPr>
      <w:r w:rsidRPr="0069172C">
        <w:rPr>
          <w:sz w:val="26"/>
          <w:szCs w:val="26"/>
        </w:rPr>
        <w:t xml:space="preserve">Zhang, A., Wang, J. X., Farooque, M., Wang, Y., &amp; Choi, T. (2021). Multi-dimensional circular supply chain management: A comparative review of the state-of-the-art practices and research. </w:t>
      </w:r>
      <w:r w:rsidRPr="0069172C">
        <w:rPr>
          <w:i/>
          <w:iCs/>
          <w:sz w:val="26"/>
          <w:szCs w:val="26"/>
        </w:rPr>
        <w:t>Transportation Research Part E Logistics and Transportation Review, 155,</w:t>
      </w:r>
      <w:r w:rsidRPr="0069172C">
        <w:rPr>
          <w:sz w:val="26"/>
          <w:szCs w:val="26"/>
        </w:rPr>
        <w:t xml:space="preserve"> 102509. </w:t>
      </w:r>
      <w:hyperlink r:id="rId87" w:tgtFrame="_new" w:history="1">
        <w:r w:rsidRPr="0069172C">
          <w:rPr>
            <w:rStyle w:val="ae"/>
            <w:sz w:val="26"/>
            <w:szCs w:val="26"/>
          </w:rPr>
          <w:t>https://doi.org/10.1016/j.tre.2021.102509</w:t>
        </w:r>
      </w:hyperlink>
    </w:p>
    <w:p w14:paraId="317A297C" w14:textId="3577A9A0" w:rsidR="000D6A8D" w:rsidRDefault="000D6A8D" w:rsidP="00824E69">
      <w:pPr>
        <w:pStyle w:val="EndNoteBibliography"/>
        <w:snapToGrid w:val="0"/>
        <w:spacing w:line="300" w:lineRule="auto"/>
        <w:ind w:left="198" w:firstLineChars="0" w:firstLine="0"/>
        <w:jc w:val="left"/>
        <w:rPr>
          <w:rFonts w:eastAsia="Times New Roman"/>
          <w:b/>
          <w:bCs/>
          <w:kern w:val="0"/>
          <w:sz w:val="26"/>
          <w:szCs w:val="26"/>
          <w:lang w:val="en-AU" w:eastAsia="en-US"/>
        </w:rPr>
      </w:pPr>
    </w:p>
    <w:p w14:paraId="4AB33571" w14:textId="77777777" w:rsidR="000D6A8D" w:rsidRPr="0064746E" w:rsidRDefault="000D6A8D" w:rsidP="00570F51">
      <w:pPr>
        <w:pStyle w:val="EndNoteBibliography"/>
        <w:ind w:left="198" w:firstLineChars="0" w:firstLine="0"/>
        <w:jc w:val="left"/>
        <w:rPr>
          <w:b/>
          <w:bCs/>
          <w:sz w:val="26"/>
          <w:szCs w:val="26"/>
        </w:rPr>
      </w:pPr>
    </w:p>
    <w:p w14:paraId="34F1F196" w14:textId="687387B9" w:rsidR="006840A2" w:rsidRPr="004C0180" w:rsidRDefault="006840A2" w:rsidP="004C0180">
      <w:pPr>
        <w:snapToGrid w:val="0"/>
        <w:spacing w:line="300" w:lineRule="auto"/>
        <w:jc w:val="both"/>
        <w:rPr>
          <w:rFonts w:eastAsia="新細明體"/>
          <w:lang w:val="en-US" w:eastAsia="zh-TW"/>
        </w:rPr>
      </w:pPr>
      <w:r>
        <w:rPr>
          <w:rFonts w:eastAsia="新細明體"/>
          <w:b/>
          <w:bCs/>
          <w:lang w:val="en-US" w:eastAsia="zh-TW"/>
        </w:rPr>
        <w:t xml:space="preserve">Ms. </w:t>
      </w:r>
      <w:r w:rsidRPr="006840A2">
        <w:rPr>
          <w:rFonts w:eastAsia="新細明體"/>
          <w:b/>
          <w:bCs/>
          <w:lang w:val="en-US" w:eastAsia="zh-TW"/>
        </w:rPr>
        <w:t xml:space="preserve">Fatima Zahra Fatih </w:t>
      </w:r>
      <w:r>
        <w:rPr>
          <w:rFonts w:eastAsia="新細明體"/>
          <w:b/>
          <w:bCs/>
          <w:lang w:val="en-US" w:eastAsia="zh-TW"/>
        </w:rPr>
        <w:t>(</w:t>
      </w:r>
      <w:r w:rsidR="004C0180">
        <w:rPr>
          <w:rFonts w:eastAsia="新細明體"/>
          <w:b/>
          <w:bCs/>
          <w:lang w:val="en-US" w:eastAsia="zh-TW"/>
        </w:rPr>
        <w:t xml:space="preserve">Corresponding </w:t>
      </w:r>
      <w:r>
        <w:rPr>
          <w:rFonts w:eastAsia="新細明體"/>
          <w:b/>
          <w:bCs/>
          <w:lang w:val="en-US" w:eastAsia="zh-TW"/>
        </w:rPr>
        <w:t xml:space="preserve">author) </w:t>
      </w:r>
      <w:r w:rsidR="00733A26" w:rsidRPr="00733A26">
        <w:rPr>
          <w:rFonts w:eastAsia="新細明體"/>
          <w:lang w:val="en-US" w:eastAsia="zh-TW"/>
        </w:rPr>
        <w:t xml:space="preserve">is a PhD scholar in economics whose research focuses on economic analysis, supply chain management, and sustainable development, particularly green and circular economy practices. She holds an MBA from Beijing Technology and Business University, where she received the Best Master’s Thesis Award, and a bachelor’s degree in </w:t>
      </w:r>
      <w:r w:rsidR="00733A26" w:rsidRPr="00733A26">
        <w:rPr>
          <w:rFonts w:eastAsia="新細明體"/>
          <w:lang w:val="en-US" w:eastAsia="zh-TW"/>
        </w:rPr>
        <w:t>organization</w:t>
      </w:r>
      <w:r w:rsidR="00733A26" w:rsidRPr="00733A26">
        <w:rPr>
          <w:rFonts w:eastAsia="新細明體"/>
          <w:lang w:val="en-US" w:eastAsia="zh-TW"/>
        </w:rPr>
        <w:t xml:space="preserve"> management. Her work integrates multi-criteria decision analysis, statistical modeling, and system dynamics to study </w:t>
      </w:r>
      <w:r w:rsidR="00733A26" w:rsidRPr="00733A26">
        <w:rPr>
          <w:rFonts w:eastAsia="新細明體"/>
          <w:lang w:val="en-US" w:eastAsia="zh-TW"/>
        </w:rPr>
        <w:t xml:space="preserve">the drivers of </w:t>
      </w:r>
      <w:r w:rsidR="00733A26" w:rsidRPr="00733A26">
        <w:rPr>
          <w:rFonts w:eastAsia="新細明體"/>
          <w:lang w:val="en-US" w:eastAsia="zh-TW"/>
        </w:rPr>
        <w:t>sustainability and circular supply chain transitions. She has earned multiple academic scholarships, presented at international conferences, and published research in Web of Science and Scopus-indexed journals.</w:t>
      </w:r>
    </w:p>
    <w:p w14:paraId="7BABC1E7" w14:textId="77777777" w:rsidR="00DD3BCE" w:rsidRPr="00DD3BCE" w:rsidRDefault="00DD3BCE" w:rsidP="00DD3BCE">
      <w:pPr>
        <w:snapToGrid w:val="0"/>
        <w:spacing w:line="300" w:lineRule="auto"/>
        <w:rPr>
          <w:rFonts w:eastAsia="新細明體"/>
          <w:lang w:val="en-US" w:eastAsia="zh-TW"/>
        </w:rPr>
      </w:pPr>
    </w:p>
    <w:p w14:paraId="3CC564A0" w14:textId="05A44FD8" w:rsidR="009F4CE7" w:rsidRDefault="00DD3BCE" w:rsidP="00DD3BCE">
      <w:pPr>
        <w:snapToGrid w:val="0"/>
        <w:spacing w:line="300" w:lineRule="auto"/>
        <w:jc w:val="both"/>
        <w:rPr>
          <w:lang w:val="en-US" w:eastAsia="en-AU"/>
        </w:rPr>
      </w:pPr>
      <w:r w:rsidRPr="00DD3BCE">
        <w:rPr>
          <w:b/>
          <w:bCs/>
          <w:lang w:val="en-US" w:eastAsia="en-AU"/>
        </w:rPr>
        <w:t>M</w:t>
      </w:r>
      <w:r>
        <w:rPr>
          <w:rFonts w:ascii="新細明體" w:eastAsia="新細明體" w:hAnsi="新細明體" w:cs="新細明體" w:hint="eastAsia"/>
          <w:b/>
          <w:bCs/>
          <w:lang w:val="en-US" w:eastAsia="zh-TW"/>
        </w:rPr>
        <w:t>s</w:t>
      </w:r>
      <w:r w:rsidRPr="00DD3BCE">
        <w:rPr>
          <w:b/>
          <w:bCs/>
          <w:lang w:val="en-US" w:eastAsia="en-AU"/>
        </w:rPr>
        <w:t xml:space="preserve">. Sadia </w:t>
      </w:r>
      <w:proofErr w:type="spellStart"/>
      <w:r w:rsidRPr="00DD3BCE">
        <w:rPr>
          <w:b/>
          <w:bCs/>
          <w:lang w:val="en-US" w:eastAsia="en-AU"/>
        </w:rPr>
        <w:t>Abbassy</w:t>
      </w:r>
      <w:proofErr w:type="spellEnd"/>
      <w:r w:rsidRPr="00DD3BCE">
        <w:rPr>
          <w:lang w:val="en-US" w:eastAsia="en-AU"/>
        </w:rPr>
        <w:t xml:space="preserve"> is an economist specializing in cross-border trade, regional integration, and women’s economic empowerment across Asia. She holds a Master of Arts in Economics from Universitas Islam International Indonesia, where her research focused on economic diplomacy and regional trade among ASEAN, China, and India. Her work spans policy analysis, international cooperation, and sustainable development, with publications and conference contributions in economic integration and socioeconomic policy. She has professional experience in research, education policy projects, and senior leadership roles in Afghanistan's private sector.</w:t>
      </w:r>
    </w:p>
    <w:p w14:paraId="0B97D3C9" w14:textId="77777777" w:rsidR="00D920D5" w:rsidRPr="00DD3BCE" w:rsidRDefault="00D920D5" w:rsidP="00DD3BCE">
      <w:pPr>
        <w:snapToGrid w:val="0"/>
        <w:spacing w:line="300" w:lineRule="auto"/>
        <w:jc w:val="both"/>
        <w:rPr>
          <w:lang w:val="en-US" w:eastAsia="en-AU"/>
        </w:rPr>
      </w:pPr>
    </w:p>
    <w:p w14:paraId="1E40F365" w14:textId="10EB3437" w:rsidR="00DD3BCE" w:rsidRDefault="00DD3BCE" w:rsidP="006840A2">
      <w:pPr>
        <w:snapToGrid w:val="0"/>
        <w:spacing w:line="300" w:lineRule="auto"/>
        <w:jc w:val="both"/>
        <w:rPr>
          <w:lang w:val="en-US" w:eastAsia="en-AU"/>
        </w:rPr>
      </w:pPr>
      <w:r w:rsidRPr="00DD3BCE">
        <w:rPr>
          <w:b/>
          <w:bCs/>
          <w:lang w:val="en-US" w:eastAsia="en-AU"/>
        </w:rPr>
        <w:t xml:space="preserve">Dr. </w:t>
      </w:r>
      <w:proofErr w:type="spellStart"/>
      <w:r w:rsidRPr="00DD3BCE">
        <w:rPr>
          <w:b/>
          <w:bCs/>
          <w:lang w:val="en-US" w:eastAsia="en-AU"/>
        </w:rPr>
        <w:t>Fajar</w:t>
      </w:r>
      <w:proofErr w:type="spellEnd"/>
      <w:r w:rsidRPr="00DD3BCE">
        <w:rPr>
          <w:b/>
          <w:bCs/>
          <w:lang w:val="en-US" w:eastAsia="en-AU"/>
        </w:rPr>
        <w:t xml:space="preserve"> Bambang </w:t>
      </w:r>
      <w:proofErr w:type="spellStart"/>
      <w:r w:rsidRPr="00DD3BCE">
        <w:rPr>
          <w:b/>
          <w:bCs/>
          <w:lang w:val="en-US" w:eastAsia="en-AU"/>
        </w:rPr>
        <w:t>Hirawan</w:t>
      </w:r>
      <w:proofErr w:type="spellEnd"/>
      <w:r w:rsidRPr="00DD3BCE">
        <w:rPr>
          <w:lang w:val="en-US" w:eastAsia="en-AU"/>
        </w:rPr>
        <w:t xml:space="preserve"> is an Assistant Professor at the Faculty of Economics and Business, Universitas Islam Internasional Indonesia (UIII) since May 2021. </w:t>
      </w:r>
      <w:r w:rsidR="006840A2" w:rsidRPr="006840A2">
        <w:rPr>
          <w:lang w:val="en-US" w:eastAsia="en-AU"/>
        </w:rPr>
        <w:t xml:space="preserve">He offers </w:t>
      </w:r>
      <w:r w:rsidRPr="00DD3BCE">
        <w:rPr>
          <w:lang w:val="en-US" w:eastAsia="en-AU"/>
        </w:rPr>
        <w:t xml:space="preserve">courses in microeconomics, mathematical economics, </w:t>
      </w:r>
      <w:r w:rsidR="006840A2">
        <w:rPr>
          <w:lang w:val="en-US" w:eastAsia="en-AU"/>
        </w:rPr>
        <w:t xml:space="preserve">and </w:t>
      </w:r>
      <w:r w:rsidRPr="00DD3BCE">
        <w:rPr>
          <w:lang w:val="en-US" w:eastAsia="en-AU"/>
        </w:rPr>
        <w:t>development economics. Before joining UIII, he spent over 15 years (2006-2023) at the Centre for Strategic and International Studies (CSIS), serv</w:t>
      </w:r>
      <w:r w:rsidR="006840A2">
        <w:rPr>
          <w:lang w:val="en-US" w:eastAsia="en-AU"/>
        </w:rPr>
        <w:t>ing</w:t>
      </w:r>
      <w:r w:rsidRPr="00DD3BCE">
        <w:rPr>
          <w:lang w:val="en-US" w:eastAsia="en-AU"/>
        </w:rPr>
        <w:t xml:space="preserve"> as Head of the Economics Department (2022-2023). His research </w:t>
      </w:r>
      <w:r w:rsidR="006840A2" w:rsidRPr="006840A2">
        <w:rPr>
          <w:lang w:val="en-US" w:eastAsia="en-AU"/>
        </w:rPr>
        <w:t>focuses on food security, international trade, the digital economy, SMEs, poverty, and broader development issues. He</w:t>
      </w:r>
      <w:r w:rsidRPr="00DD3BCE">
        <w:rPr>
          <w:lang w:val="en-US" w:eastAsia="en-AU"/>
        </w:rPr>
        <w:t xml:space="preserve"> holds a Bachelor's degree in Economics from the University of Indonesia, a Master's in Development Studies from the University of Rome "La Sapienza," and a Ph.D. in Economics from the University of Sydney.</w:t>
      </w:r>
    </w:p>
    <w:p w14:paraId="254D432A" w14:textId="77777777" w:rsidR="004C0180" w:rsidRDefault="004C0180" w:rsidP="006840A2">
      <w:pPr>
        <w:snapToGrid w:val="0"/>
        <w:spacing w:line="300" w:lineRule="auto"/>
        <w:jc w:val="both"/>
        <w:rPr>
          <w:lang w:val="en-US" w:eastAsia="en-AU"/>
        </w:rPr>
      </w:pPr>
    </w:p>
    <w:p w14:paraId="6D6F5576" w14:textId="40CEA0CB" w:rsidR="009F4CE7" w:rsidRPr="009A3785" w:rsidRDefault="0053189D" w:rsidP="0053189D">
      <w:pPr>
        <w:spacing w:line="360" w:lineRule="exact"/>
        <w:ind w:left="521" w:hangingChars="200" w:hanging="521"/>
        <w:jc w:val="center"/>
        <w:rPr>
          <w:b/>
          <w:bCs/>
          <w:sz w:val="26"/>
          <w:szCs w:val="26"/>
          <w:lang w:val="fr-FR" w:eastAsia="en-AU"/>
        </w:rPr>
      </w:pPr>
      <w:r>
        <w:rPr>
          <w:b/>
          <w:bCs/>
          <w:sz w:val="26"/>
          <w:szCs w:val="26"/>
          <w:lang w:val="fr-FR" w:eastAsia="en-AU"/>
        </w:rPr>
        <w:t>APPENDIX 1</w:t>
      </w:r>
      <w:r w:rsidR="009F4CE7" w:rsidRPr="009A3785">
        <w:rPr>
          <w:b/>
          <w:bCs/>
          <w:sz w:val="26"/>
          <w:szCs w:val="26"/>
          <w:lang w:val="fr-FR" w:eastAsia="en-AU"/>
        </w:rPr>
        <w:t xml:space="preserve">: </w:t>
      </w:r>
      <w:r>
        <w:rPr>
          <w:b/>
          <w:bCs/>
          <w:sz w:val="26"/>
          <w:szCs w:val="26"/>
          <w:lang w:val="fr-FR" w:eastAsia="en-AU"/>
        </w:rPr>
        <w:t>QUESTIONNAIRE ITEMS</w:t>
      </w:r>
    </w:p>
    <w:tbl>
      <w:tblPr>
        <w:tblStyle w:val="afff6"/>
        <w:tblW w:w="0" w:type="auto"/>
        <w:jc w:val="center"/>
        <w:tblLook w:val="04A0" w:firstRow="1" w:lastRow="0" w:firstColumn="1" w:lastColumn="0" w:noHBand="0" w:noVBand="1"/>
      </w:tblPr>
      <w:tblGrid>
        <w:gridCol w:w="1726"/>
        <w:gridCol w:w="7290"/>
      </w:tblGrid>
      <w:tr w:rsidR="009F4CE7" w:rsidRPr="009A3785" w14:paraId="25E01377" w14:textId="77777777" w:rsidTr="000D6A8D">
        <w:trPr>
          <w:cantSplit/>
          <w:jc w:val="center"/>
        </w:trPr>
        <w:tc>
          <w:tcPr>
            <w:tcW w:w="9016" w:type="dxa"/>
            <w:gridSpan w:val="2"/>
          </w:tcPr>
          <w:p w14:paraId="06953879" w14:textId="77777777" w:rsidR="009F4CE7" w:rsidRPr="009A3785" w:rsidRDefault="009F4CE7" w:rsidP="008A110A">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Circular Supply Chain Enablers (CSCE)</w:t>
            </w:r>
          </w:p>
          <w:p w14:paraId="25A429B0" w14:textId="77777777" w:rsidR="009F4CE7" w:rsidRPr="009A3785" w:rsidRDefault="009F4CE7" w:rsidP="008A110A">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Please provide your rate from (1) strongly disagree to (5) strongly agree.</w:t>
            </w:r>
          </w:p>
        </w:tc>
      </w:tr>
      <w:tr w:rsidR="000D6A8D" w:rsidRPr="009A3785" w14:paraId="4B4BCC59" w14:textId="77777777" w:rsidTr="000D6A8D">
        <w:trPr>
          <w:jc w:val="center"/>
        </w:trPr>
        <w:tc>
          <w:tcPr>
            <w:tcW w:w="1726" w:type="dxa"/>
          </w:tcPr>
          <w:p w14:paraId="3A463846" w14:textId="37522E3F"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CSCE 1</w:t>
            </w:r>
          </w:p>
        </w:tc>
        <w:tc>
          <w:tcPr>
            <w:tcW w:w="7290" w:type="dxa"/>
          </w:tcPr>
          <w:p w14:paraId="32E9B830" w14:textId="66C4F70F"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To what extent does your company implement circular supply chain design?</w:t>
            </w:r>
          </w:p>
        </w:tc>
      </w:tr>
      <w:tr w:rsidR="000D6A8D" w:rsidRPr="009A3785" w14:paraId="6FDD625B" w14:textId="77777777" w:rsidTr="000D6A8D">
        <w:trPr>
          <w:jc w:val="center"/>
        </w:trPr>
        <w:tc>
          <w:tcPr>
            <w:tcW w:w="1726" w:type="dxa"/>
          </w:tcPr>
          <w:p w14:paraId="34307772"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CSCE 2</w:t>
            </w:r>
          </w:p>
        </w:tc>
        <w:tc>
          <w:tcPr>
            <w:tcW w:w="7290" w:type="dxa"/>
          </w:tcPr>
          <w:p w14:paraId="4263205D"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How effectively does your company integrate cleaner production practices into its manufacturing processes?</w:t>
            </w:r>
          </w:p>
        </w:tc>
      </w:tr>
      <w:tr w:rsidR="000D6A8D" w:rsidRPr="009A3785" w14:paraId="4EFDC7ED" w14:textId="77777777" w:rsidTr="000D6A8D">
        <w:trPr>
          <w:jc w:val="center"/>
        </w:trPr>
        <w:tc>
          <w:tcPr>
            <w:tcW w:w="1726" w:type="dxa"/>
          </w:tcPr>
          <w:p w14:paraId="1B131D58"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CSCE 3</w:t>
            </w:r>
          </w:p>
        </w:tc>
        <w:tc>
          <w:tcPr>
            <w:tcW w:w="7290" w:type="dxa"/>
          </w:tcPr>
          <w:p w14:paraId="47597C2E"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To what extent is the reverse logistics infrastructure in your company geared towards supporting circularity?</w:t>
            </w:r>
          </w:p>
        </w:tc>
      </w:tr>
      <w:tr w:rsidR="000D6A8D" w:rsidRPr="009A3785" w14:paraId="42286168" w14:textId="77777777" w:rsidTr="000D6A8D">
        <w:trPr>
          <w:jc w:val="center"/>
        </w:trPr>
        <w:tc>
          <w:tcPr>
            <w:tcW w:w="1726" w:type="dxa"/>
          </w:tcPr>
          <w:p w14:paraId="78EBB96B"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CSCE 4</w:t>
            </w:r>
          </w:p>
        </w:tc>
        <w:tc>
          <w:tcPr>
            <w:tcW w:w="7290" w:type="dxa"/>
          </w:tcPr>
          <w:p w14:paraId="06353469"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To what extent does your company manage relationships with stakeholders in alignment with circular economy principles?</w:t>
            </w:r>
          </w:p>
        </w:tc>
      </w:tr>
      <w:tr w:rsidR="000D6A8D" w:rsidRPr="009A3785" w14:paraId="6131BB03" w14:textId="77777777" w:rsidTr="000D6A8D">
        <w:trPr>
          <w:jc w:val="center"/>
        </w:trPr>
        <w:tc>
          <w:tcPr>
            <w:tcW w:w="1726" w:type="dxa"/>
          </w:tcPr>
          <w:p w14:paraId="222DB4A4"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CSCE 5</w:t>
            </w:r>
          </w:p>
        </w:tc>
        <w:tc>
          <w:tcPr>
            <w:tcW w:w="7290" w:type="dxa"/>
          </w:tcPr>
          <w:p w14:paraId="4E77B398"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How well does your company integrate circular economy principles into its human resources management practices?</w:t>
            </w:r>
          </w:p>
        </w:tc>
      </w:tr>
      <w:tr w:rsidR="000D6A8D" w:rsidRPr="009A3785" w14:paraId="02397F32" w14:textId="77777777" w:rsidTr="000D6A8D">
        <w:trPr>
          <w:jc w:val="center"/>
        </w:trPr>
        <w:tc>
          <w:tcPr>
            <w:tcW w:w="1726" w:type="dxa"/>
          </w:tcPr>
          <w:p w14:paraId="4BE05867"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CSCE 6</w:t>
            </w:r>
          </w:p>
        </w:tc>
        <w:tc>
          <w:tcPr>
            <w:tcW w:w="7290" w:type="dxa"/>
          </w:tcPr>
          <w:p w14:paraId="78AC39FC"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How actively does your company integrate technological sustainability into its operations?</w:t>
            </w:r>
          </w:p>
        </w:tc>
      </w:tr>
      <w:tr w:rsidR="000D6A8D" w:rsidRPr="009A3785" w14:paraId="57CC09C1" w14:textId="77777777" w:rsidTr="000D6A8D">
        <w:trPr>
          <w:jc w:val="center"/>
        </w:trPr>
        <w:tc>
          <w:tcPr>
            <w:tcW w:w="9016" w:type="dxa"/>
            <w:gridSpan w:val="2"/>
          </w:tcPr>
          <w:p w14:paraId="72D1645F"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Environmental Sustainability Initiatives (ESI)</w:t>
            </w:r>
          </w:p>
          <w:p w14:paraId="66048E18"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Please provide your rate from (1) strongly             disagree to (5) strongly agree.</w:t>
            </w:r>
          </w:p>
        </w:tc>
      </w:tr>
      <w:tr w:rsidR="000D6A8D" w:rsidRPr="009A3785" w14:paraId="6A7B21A3" w14:textId="77777777" w:rsidTr="000D6A8D">
        <w:trPr>
          <w:jc w:val="center"/>
        </w:trPr>
        <w:tc>
          <w:tcPr>
            <w:tcW w:w="1726" w:type="dxa"/>
          </w:tcPr>
          <w:p w14:paraId="499F258D"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ESI 1</w:t>
            </w:r>
          </w:p>
        </w:tc>
        <w:tc>
          <w:tcPr>
            <w:tcW w:w="7290" w:type="dxa"/>
          </w:tcPr>
          <w:p w14:paraId="79707666" w14:textId="7739DA76"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How actively does your company work towards reducing gas emissions?</w:t>
            </w:r>
          </w:p>
        </w:tc>
      </w:tr>
      <w:tr w:rsidR="000D6A8D" w:rsidRPr="009A3785" w14:paraId="1D4B10AF" w14:textId="77777777" w:rsidTr="000D6A8D">
        <w:trPr>
          <w:jc w:val="center"/>
        </w:trPr>
        <w:tc>
          <w:tcPr>
            <w:tcW w:w="1726" w:type="dxa"/>
          </w:tcPr>
          <w:p w14:paraId="10C64A5A"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ESI 2</w:t>
            </w:r>
          </w:p>
        </w:tc>
        <w:tc>
          <w:tcPr>
            <w:tcW w:w="7290" w:type="dxa"/>
          </w:tcPr>
          <w:p w14:paraId="221F13E6"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To what extent does your company minimize waste generation in its processes?</w:t>
            </w:r>
          </w:p>
        </w:tc>
      </w:tr>
      <w:tr w:rsidR="000D6A8D" w:rsidRPr="009A3785" w14:paraId="0FF5321C" w14:textId="77777777" w:rsidTr="000D6A8D">
        <w:trPr>
          <w:jc w:val="center"/>
        </w:trPr>
        <w:tc>
          <w:tcPr>
            <w:tcW w:w="1726" w:type="dxa"/>
          </w:tcPr>
          <w:p w14:paraId="63CBD0E7"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ESI 3</w:t>
            </w:r>
          </w:p>
        </w:tc>
        <w:tc>
          <w:tcPr>
            <w:tcW w:w="7290" w:type="dxa"/>
          </w:tcPr>
          <w:p w14:paraId="1D1A2B20"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How committed is your company to minimizing the use of virgin input materials in its operations?</w:t>
            </w:r>
          </w:p>
        </w:tc>
      </w:tr>
      <w:tr w:rsidR="000D6A8D" w:rsidRPr="009A3785" w14:paraId="1D80C840" w14:textId="77777777" w:rsidTr="000D6A8D">
        <w:trPr>
          <w:jc w:val="center"/>
        </w:trPr>
        <w:tc>
          <w:tcPr>
            <w:tcW w:w="1726" w:type="dxa"/>
          </w:tcPr>
          <w:p w14:paraId="4C901A96"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ESI 4</w:t>
            </w:r>
          </w:p>
        </w:tc>
        <w:tc>
          <w:tcPr>
            <w:tcW w:w="7290" w:type="dxa"/>
          </w:tcPr>
          <w:p w14:paraId="4F58D218"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To what extent does your company actively work towards reducing the usage of hazardous/toxic materials in its processes?</w:t>
            </w:r>
          </w:p>
        </w:tc>
      </w:tr>
      <w:tr w:rsidR="000D6A8D" w:rsidRPr="009A3785" w14:paraId="1D5E821A" w14:textId="77777777" w:rsidTr="000D6A8D">
        <w:trPr>
          <w:jc w:val="center"/>
        </w:trPr>
        <w:tc>
          <w:tcPr>
            <w:tcW w:w="9016" w:type="dxa"/>
            <w:gridSpan w:val="2"/>
          </w:tcPr>
          <w:p w14:paraId="708EF772"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Economic Growth (EG)</w:t>
            </w:r>
          </w:p>
          <w:p w14:paraId="37B7B318"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Please provide your rate from (1) strongly disagree to (5) strongly agree.</w:t>
            </w:r>
          </w:p>
        </w:tc>
      </w:tr>
      <w:tr w:rsidR="000D6A8D" w:rsidRPr="009A3785" w14:paraId="14D60A83" w14:textId="77777777" w:rsidTr="000D6A8D">
        <w:trPr>
          <w:jc w:val="center"/>
        </w:trPr>
        <w:tc>
          <w:tcPr>
            <w:tcW w:w="1726" w:type="dxa"/>
          </w:tcPr>
          <w:p w14:paraId="4DB1E5E1"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EG 1</w:t>
            </w:r>
          </w:p>
        </w:tc>
        <w:tc>
          <w:tcPr>
            <w:tcW w:w="7290" w:type="dxa"/>
          </w:tcPr>
          <w:p w14:paraId="3CCCB8B0"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To what extent does your company contribute to employment growth?</w:t>
            </w:r>
          </w:p>
        </w:tc>
      </w:tr>
      <w:tr w:rsidR="000D6A8D" w:rsidRPr="009A3785" w14:paraId="3759A8D2" w14:textId="77777777" w:rsidTr="000D6A8D">
        <w:trPr>
          <w:jc w:val="center"/>
        </w:trPr>
        <w:tc>
          <w:tcPr>
            <w:tcW w:w="1726" w:type="dxa"/>
          </w:tcPr>
          <w:p w14:paraId="725DFD82" w14:textId="66E041A0"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EG 2</w:t>
            </w:r>
          </w:p>
        </w:tc>
        <w:tc>
          <w:tcPr>
            <w:tcW w:w="7290" w:type="dxa"/>
          </w:tcPr>
          <w:p w14:paraId="1AD34DBA"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How significantly does your company invest in research and development?</w:t>
            </w:r>
          </w:p>
        </w:tc>
      </w:tr>
      <w:tr w:rsidR="000D6A8D" w:rsidRPr="009A3785" w14:paraId="50B2A5B2" w14:textId="77777777" w:rsidTr="000D6A8D">
        <w:trPr>
          <w:jc w:val="center"/>
        </w:trPr>
        <w:tc>
          <w:tcPr>
            <w:tcW w:w="1726" w:type="dxa"/>
          </w:tcPr>
          <w:p w14:paraId="05AE4860" w14:textId="452DD74E"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EG 3</w:t>
            </w:r>
          </w:p>
        </w:tc>
        <w:tc>
          <w:tcPr>
            <w:tcW w:w="7290" w:type="dxa"/>
          </w:tcPr>
          <w:p w14:paraId="0A1B3450"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To what extent does your company experience consistent sales growth?</w:t>
            </w:r>
          </w:p>
        </w:tc>
      </w:tr>
      <w:tr w:rsidR="000D6A8D" w:rsidRPr="009A3785" w14:paraId="46B7B0E1" w14:textId="77777777" w:rsidTr="000D6A8D">
        <w:trPr>
          <w:jc w:val="center"/>
        </w:trPr>
        <w:tc>
          <w:tcPr>
            <w:tcW w:w="1726" w:type="dxa"/>
          </w:tcPr>
          <w:p w14:paraId="708B8630" w14:textId="2ACD8E8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EG 4</w:t>
            </w:r>
          </w:p>
        </w:tc>
        <w:tc>
          <w:tcPr>
            <w:tcW w:w="7290" w:type="dxa"/>
          </w:tcPr>
          <w:p w14:paraId="33A7C830"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How actively does your company pursue market expansion opportunities?</w:t>
            </w:r>
          </w:p>
        </w:tc>
      </w:tr>
      <w:tr w:rsidR="000D6A8D" w:rsidRPr="009A3785" w14:paraId="69CE2D7F" w14:textId="77777777" w:rsidTr="000D6A8D">
        <w:trPr>
          <w:jc w:val="center"/>
        </w:trPr>
        <w:tc>
          <w:tcPr>
            <w:tcW w:w="1726" w:type="dxa"/>
          </w:tcPr>
          <w:p w14:paraId="1009809B" w14:textId="2C406A7A"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EG 5</w:t>
            </w:r>
          </w:p>
        </w:tc>
        <w:tc>
          <w:tcPr>
            <w:tcW w:w="7290" w:type="dxa"/>
          </w:tcPr>
          <w:p w14:paraId="57977E1E" w14:textId="77777777" w:rsidR="000D6A8D" w:rsidRPr="009A3785" w:rsidRDefault="000D6A8D" w:rsidP="000D6A8D">
            <w:pPr>
              <w:snapToGrid w:val="0"/>
              <w:spacing w:line="300" w:lineRule="exact"/>
              <w:jc w:val="both"/>
              <w:rPr>
                <w:rFonts w:eastAsia="新細明體"/>
                <w:sz w:val="26"/>
                <w:szCs w:val="26"/>
                <w:lang w:val="en-US" w:eastAsia="zh-TW"/>
              </w:rPr>
            </w:pPr>
            <w:r w:rsidRPr="009A3785">
              <w:rPr>
                <w:rFonts w:eastAsia="新細明體"/>
                <w:sz w:val="26"/>
                <w:szCs w:val="26"/>
                <w:lang w:val="en-US" w:eastAsia="zh-TW"/>
              </w:rPr>
              <w:t>To what extent does your company believe its activities positively contribute to the growth and development of the textile industry and by extension, the national economy?</w:t>
            </w:r>
          </w:p>
        </w:tc>
      </w:tr>
    </w:tbl>
    <w:p w14:paraId="055F329B" w14:textId="77777777" w:rsidR="009F4CE7" w:rsidRPr="009A3785" w:rsidRDefault="009F4CE7" w:rsidP="008A110A">
      <w:pPr>
        <w:snapToGrid w:val="0"/>
        <w:spacing w:line="300" w:lineRule="exact"/>
        <w:jc w:val="both"/>
        <w:rPr>
          <w:rFonts w:eastAsia="新細明體"/>
          <w:sz w:val="26"/>
          <w:szCs w:val="26"/>
          <w:lang w:val="en-US" w:eastAsia="zh-TW"/>
        </w:rPr>
      </w:pPr>
    </w:p>
    <w:sectPr w:rsidR="009F4CE7" w:rsidRPr="009A3785" w:rsidSect="00703F00">
      <w:headerReference w:type="even" r:id="rId88"/>
      <w:headerReference w:type="default" r:id="rId89"/>
      <w:footerReference w:type="default" r:id="rId90"/>
      <w:headerReference w:type="first" r:id="rId91"/>
      <w:pgSz w:w="11906" w:h="16838"/>
      <w:pgMar w:top="1276" w:right="1440" w:bottom="1440" w:left="1440" w:header="709" w:footer="709" w:gutter="0"/>
      <w:lnNumType w:countBy="1" w:restart="continuous"/>
      <w:pgNumType w:start="9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E6B26" w14:textId="77777777" w:rsidR="00E026E5" w:rsidRDefault="00E026E5" w:rsidP="00312B51">
      <w:r>
        <w:separator/>
      </w:r>
    </w:p>
  </w:endnote>
  <w:endnote w:type="continuationSeparator" w:id="0">
    <w:p w14:paraId="48A1FC15" w14:textId="77777777" w:rsidR="00E026E5" w:rsidRDefault="00E026E5" w:rsidP="0031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variable"/>
    <w:sig w:usb0="00000003" w:usb1="00000000" w:usb2="00000000" w:usb3="00000000" w:csb0="00000001" w:csb1="00000000"/>
  </w:font>
  <w:font w:name="Sabon">
    <w:altName w:val="Times New Roman"/>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CCE9" w14:textId="58ED5251" w:rsidR="00510C57" w:rsidRDefault="00510C57">
    <w:pPr>
      <w:pStyle w:val="a7"/>
      <w:jc w:val="center"/>
    </w:pPr>
  </w:p>
  <w:p w14:paraId="1770D925" w14:textId="77777777" w:rsidR="00510C57" w:rsidRDefault="00510C5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A6232" w14:textId="77777777" w:rsidR="00E026E5" w:rsidRDefault="00E026E5" w:rsidP="00312B51">
      <w:r>
        <w:separator/>
      </w:r>
    </w:p>
  </w:footnote>
  <w:footnote w:type="continuationSeparator" w:id="0">
    <w:p w14:paraId="7EEBF0A1" w14:textId="77777777" w:rsidR="00E026E5" w:rsidRDefault="00E026E5" w:rsidP="00312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4AF38" w14:textId="419064E8" w:rsidR="00E80A64" w:rsidRPr="00E80A64" w:rsidRDefault="00E80A64" w:rsidP="00E80A64">
    <w:pPr>
      <w:widowControl w:val="0"/>
      <w:tabs>
        <w:tab w:val="center" w:pos="4513"/>
        <w:tab w:val="right" w:pos="9026"/>
      </w:tabs>
      <w:snapToGrid w:val="0"/>
      <w:rPr>
        <w:kern w:val="2"/>
        <w:lang w:eastAsia="en-GB"/>
      </w:rPr>
    </w:pPr>
    <w:r w:rsidRPr="00332E9D">
      <w:rPr>
        <w:kern w:val="2"/>
        <w:lang w:eastAsia="en-GB"/>
      </w:rPr>
      <w:fldChar w:fldCharType="begin"/>
    </w:r>
    <w:r w:rsidRPr="00332E9D">
      <w:rPr>
        <w:kern w:val="2"/>
        <w:lang w:eastAsia="en-GB"/>
      </w:rPr>
      <w:instrText>PAGE   \* MERGEFORMAT</w:instrText>
    </w:r>
    <w:r w:rsidRPr="00332E9D">
      <w:rPr>
        <w:kern w:val="2"/>
        <w:lang w:eastAsia="en-GB"/>
      </w:rPr>
      <w:fldChar w:fldCharType="separate"/>
    </w:r>
    <w:r>
      <w:rPr>
        <w:kern w:val="2"/>
        <w:lang w:eastAsia="en-GB"/>
      </w:rPr>
      <w:t>162</w:t>
    </w:r>
    <w:r w:rsidRPr="00332E9D">
      <w:rPr>
        <w:kern w:val="2"/>
        <w:lang w:eastAsia="en-GB"/>
      </w:rPr>
      <w:fldChar w:fldCharType="end"/>
    </w:r>
    <w:r w:rsidRPr="00332E9D">
      <w:rPr>
        <w:noProof/>
        <w:kern w:val="2"/>
        <w:lang w:eastAsia="en-GB"/>
      </w:rPr>
      <mc:AlternateContent>
        <mc:Choice Requires="wps">
          <w:drawing>
            <wp:anchor distT="0" distB="0" distL="114300" distR="114300" simplePos="0" relativeHeight="251669504" behindDoc="0" locked="0" layoutInCell="1" allowOverlap="1" wp14:anchorId="7FA13888" wp14:editId="6702B4A9">
              <wp:simplePos x="0" y="0"/>
              <wp:positionH relativeFrom="column">
                <wp:posOffset>0</wp:posOffset>
              </wp:positionH>
              <wp:positionV relativeFrom="paragraph">
                <wp:posOffset>146050</wp:posOffset>
              </wp:positionV>
              <wp:extent cx="5943600" cy="0"/>
              <wp:effectExtent l="0" t="0" r="0" b="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C1C94" id="直線接點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"/>
          </w:pict>
        </mc:Fallback>
      </mc:AlternateContent>
    </w:r>
    <w:r w:rsidRPr="00332E9D">
      <w:rPr>
        <w:kern w:val="2"/>
        <w:lang w:eastAsia="en-GB"/>
      </w:rPr>
      <w:t xml:space="preserve"> Contemporary Management Researc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77B3" w14:textId="59C69678" w:rsidR="00510C57" w:rsidRDefault="00510C57" w:rsidP="006512F2">
    <w:pPr>
      <w:pStyle w:val="a5"/>
      <w:jc w:val="right"/>
    </w:pPr>
    <w:r w:rsidRPr="006512F2">
      <w:rPr>
        <w:noProof/>
        <w:lang w:val="en-US" w:eastAsia="zh-TW"/>
      </w:rPr>
      <mc:AlternateContent>
        <mc:Choice Requires="wps">
          <w:drawing>
            <wp:anchor distT="0" distB="0" distL="114300" distR="114300" simplePos="0" relativeHeight="251667456" behindDoc="0" locked="0" layoutInCell="1" allowOverlap="1" wp14:anchorId="29C5F2BC" wp14:editId="378DC014">
              <wp:simplePos x="0" y="0"/>
              <wp:positionH relativeFrom="margin">
                <wp:align>right</wp:align>
              </wp:positionH>
              <wp:positionV relativeFrom="paragraph">
                <wp:posOffset>164930</wp:posOffset>
              </wp:positionV>
              <wp:extent cx="5712737" cy="0"/>
              <wp:effectExtent l="0" t="0" r="21590" b="19050"/>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27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878B463" id="直線接點 5" o:spid="_x0000_s1026" style="position:absolute;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98.6pt,13pt" to="848.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">
              <w10:wrap anchorx="margin"/>
            </v:line>
          </w:pict>
        </mc:Fallback>
      </mc:AlternateContent>
    </w:r>
    <w:r w:rsidRPr="006512F2">
      <w:rPr>
        <w:lang w:val="x-none"/>
      </w:rPr>
      <w:t xml:space="preserve"> Contemporary Management Research</w:t>
    </w:r>
    <w:r w:rsidRPr="006512F2">
      <w:t xml:space="preserve">  </w:t>
    </w:r>
    <w:r w:rsidRPr="006512F2">
      <w:fldChar w:fldCharType="begin"/>
    </w:r>
    <w:r w:rsidRPr="006512F2">
      <w:instrText xml:space="preserve"> PAGE </w:instrText>
    </w:r>
    <w:r w:rsidRPr="006512F2">
      <w:fldChar w:fldCharType="separate"/>
    </w:r>
    <w:r w:rsidR="00C45B2C">
      <w:rPr>
        <w:noProof/>
      </w:rPr>
      <w:t>223</w:t>
    </w:r>
    <w:r w:rsidRPr="006512F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86" w:type="dxa"/>
      <w:jc w:val="right"/>
      <w:tblBorders>
        <w:top w:val="thinThickSmallGap" w:sz="24" w:space="0" w:color="auto"/>
        <w:bottom w:val="thickThinSmallGap" w:sz="24" w:space="0" w:color="auto"/>
      </w:tblBorders>
      <w:tblLook w:val="04A0" w:firstRow="1" w:lastRow="0" w:firstColumn="1" w:lastColumn="0" w:noHBand="0" w:noVBand="1"/>
    </w:tblPr>
    <w:tblGrid>
      <w:gridCol w:w="3686"/>
    </w:tblGrid>
    <w:tr w:rsidR="005D4BBE" w14:paraId="3E92D78B" w14:textId="77777777" w:rsidTr="00FB3E80">
      <w:trPr>
        <w:trHeight w:val="454"/>
        <w:jc w:val="right"/>
      </w:trPr>
      <w:tc>
        <w:tcPr>
          <w:tcW w:w="3686" w:type="dxa"/>
          <w:vAlign w:val="bottom"/>
        </w:tcPr>
        <w:p w14:paraId="473E4AF9" w14:textId="77777777" w:rsidR="005D4BBE" w:rsidRPr="000417F9" w:rsidRDefault="005D4BBE" w:rsidP="005D4BBE">
          <w:pPr>
            <w:snapToGrid w:val="0"/>
            <w:rPr>
              <w:rFonts w:eastAsia="Cambria"/>
              <w:sz w:val="22"/>
              <w:szCs w:val="22"/>
            </w:rPr>
          </w:pPr>
          <w:r w:rsidRPr="000417F9">
            <w:rPr>
              <w:rFonts w:eastAsia="Cambria"/>
              <w:sz w:val="22"/>
              <w:szCs w:val="22"/>
            </w:rPr>
            <w:t>Contemporary Management Research</w:t>
          </w:r>
        </w:p>
        <w:p w14:paraId="3BCF0780" w14:textId="47A16159" w:rsidR="005D4BBE" w:rsidRPr="000417F9" w:rsidRDefault="005D4BBE" w:rsidP="005D4BBE">
          <w:pPr>
            <w:snapToGrid w:val="0"/>
            <w:rPr>
              <w:rFonts w:eastAsia="Cambria"/>
              <w:color w:val="0D0D0D"/>
              <w:sz w:val="22"/>
              <w:szCs w:val="22"/>
            </w:rPr>
          </w:pPr>
          <w:r w:rsidRPr="000417F9">
            <w:rPr>
              <w:rFonts w:eastAsia="Cambria"/>
              <w:color w:val="0D0D0D"/>
              <w:sz w:val="22"/>
              <w:szCs w:val="22"/>
            </w:rPr>
            <w:t>Pages</w:t>
          </w:r>
          <w:r w:rsidRPr="000417F9">
            <w:rPr>
              <w:rFonts w:eastAsiaTheme="minorEastAsia"/>
              <w:color w:val="0D0D0D"/>
              <w:sz w:val="22"/>
              <w:szCs w:val="22"/>
            </w:rPr>
            <w:t xml:space="preserve"> </w:t>
          </w:r>
          <w:r w:rsidRPr="000417F9">
            <w:rPr>
              <w:rFonts w:eastAsiaTheme="minorEastAsia"/>
              <w:color w:val="0D0D0D"/>
              <w:sz w:val="22"/>
              <w:szCs w:val="22"/>
              <w:lang w:eastAsia="zh-TW"/>
            </w:rPr>
            <w:t>99</w:t>
          </w:r>
          <w:r w:rsidRPr="000417F9">
            <w:rPr>
              <w:rFonts w:eastAsia="Cambria"/>
              <w:sz w:val="22"/>
              <w:szCs w:val="22"/>
            </w:rPr>
            <w:t>-</w:t>
          </w:r>
          <w:r w:rsidR="000417F9" w:rsidRPr="000417F9">
            <w:rPr>
              <w:rFonts w:eastAsiaTheme="minorEastAsia"/>
              <w:sz w:val="22"/>
              <w:szCs w:val="22"/>
              <w:lang w:eastAsia="zh-TW"/>
            </w:rPr>
            <w:t>125</w:t>
          </w:r>
          <w:r w:rsidRPr="000417F9">
            <w:rPr>
              <w:rFonts w:eastAsia="Cambria"/>
              <w:sz w:val="22"/>
              <w:szCs w:val="22"/>
            </w:rPr>
            <w:t>, V</w:t>
          </w:r>
          <w:r w:rsidRPr="000417F9">
            <w:rPr>
              <w:rFonts w:eastAsia="Cambria"/>
              <w:color w:val="0D0D0D"/>
              <w:sz w:val="22"/>
              <w:szCs w:val="22"/>
            </w:rPr>
            <w:t xml:space="preserve">ol. </w:t>
          </w:r>
          <w:r w:rsidRPr="000417F9">
            <w:rPr>
              <w:color w:val="0D0D0D"/>
              <w:sz w:val="22"/>
              <w:szCs w:val="22"/>
            </w:rPr>
            <w:t>2</w:t>
          </w:r>
          <w:r w:rsidRPr="000417F9">
            <w:rPr>
              <w:rFonts w:eastAsia="Cambria"/>
              <w:color w:val="0D0D0D"/>
              <w:sz w:val="22"/>
              <w:szCs w:val="22"/>
            </w:rPr>
            <w:t>1</w:t>
          </w:r>
          <w:r w:rsidRPr="000417F9">
            <w:rPr>
              <w:color w:val="0D0D0D"/>
              <w:sz w:val="22"/>
              <w:szCs w:val="22"/>
            </w:rPr>
            <w:t xml:space="preserve">, </w:t>
          </w:r>
          <w:r w:rsidRPr="000417F9">
            <w:rPr>
              <w:rFonts w:eastAsia="Cambria"/>
              <w:color w:val="0D0D0D"/>
              <w:sz w:val="22"/>
              <w:szCs w:val="22"/>
            </w:rPr>
            <w:t>No. 2</w:t>
          </w:r>
          <w:r w:rsidRPr="000417F9">
            <w:rPr>
              <w:rFonts w:eastAsia="Microsoft JhengHei UI"/>
              <w:color w:val="0D0D0D"/>
              <w:sz w:val="22"/>
              <w:szCs w:val="22"/>
            </w:rPr>
            <w:t>, 2025</w:t>
          </w:r>
        </w:p>
        <w:p w14:paraId="105F9990" w14:textId="06D5575D" w:rsidR="005D4BBE" w:rsidRDefault="005D4BBE" w:rsidP="005D4BBE">
          <w:proofErr w:type="spellStart"/>
          <w:r w:rsidRPr="000417F9">
            <w:rPr>
              <w:rFonts w:eastAsia="Cambria"/>
              <w:sz w:val="22"/>
              <w:szCs w:val="22"/>
            </w:rPr>
            <w:t>doi</w:t>
          </w:r>
          <w:proofErr w:type="spellEnd"/>
          <w:r w:rsidRPr="000417F9">
            <w:rPr>
              <w:rFonts w:eastAsia="Cambria"/>
              <w:sz w:val="22"/>
              <w:szCs w:val="22"/>
            </w:rPr>
            <w:t>:</w:t>
          </w:r>
          <w:r w:rsidRPr="000417F9">
            <w:rPr>
              <w:sz w:val="22"/>
              <w:szCs w:val="22"/>
            </w:rPr>
            <w:t xml:space="preserve"> 10.7903/cmr.24033</w:t>
          </w:r>
        </w:p>
      </w:tc>
    </w:tr>
  </w:tbl>
  <w:p w14:paraId="5EE33164" w14:textId="77777777" w:rsidR="005D4BBE" w:rsidRDefault="005D4BB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72A2"/>
    <w:multiLevelType w:val="hybridMultilevel"/>
    <w:tmpl w:val="16D8BEFE"/>
    <w:lvl w:ilvl="0" w:tplc="0409000D">
      <w:start w:val="1"/>
      <w:numFmt w:val="bullet"/>
      <w:lvlText w:val=""/>
      <w:lvlJc w:val="left"/>
      <w:pPr>
        <w:ind w:left="918" w:hanging="360"/>
      </w:pPr>
      <w:rPr>
        <w:rFonts w:ascii="Wingdings" w:hAnsi="Wingdings"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1" w15:restartNumberingAfterBreak="0">
    <w:nsid w:val="219A5198"/>
    <w:multiLevelType w:val="hybridMultilevel"/>
    <w:tmpl w:val="27763398"/>
    <w:lvl w:ilvl="0" w:tplc="FFFFFFFF">
      <w:start w:val="1"/>
      <w:numFmt w:val="bullet"/>
      <w:pStyle w:val="BulletPoin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C1MDY0MTAxB2ITQyUdpeDU4uLM/DyQApNaAFoSet4sAAAA"/>
  </w:docVars>
  <w:rsids>
    <w:rsidRoot w:val="00312B51"/>
    <w:rsid w:val="00000985"/>
    <w:rsid w:val="000018C5"/>
    <w:rsid w:val="00001CAA"/>
    <w:rsid w:val="00002080"/>
    <w:rsid w:val="0000253E"/>
    <w:rsid w:val="000025E4"/>
    <w:rsid w:val="00005683"/>
    <w:rsid w:val="00006E41"/>
    <w:rsid w:val="00011412"/>
    <w:rsid w:val="00015664"/>
    <w:rsid w:val="000165CA"/>
    <w:rsid w:val="00016974"/>
    <w:rsid w:val="00016B03"/>
    <w:rsid w:val="00017FB9"/>
    <w:rsid w:val="000214D6"/>
    <w:rsid w:val="00021542"/>
    <w:rsid w:val="00024C35"/>
    <w:rsid w:val="0002711B"/>
    <w:rsid w:val="000275D4"/>
    <w:rsid w:val="00027D6D"/>
    <w:rsid w:val="00031CAD"/>
    <w:rsid w:val="000324CB"/>
    <w:rsid w:val="00033660"/>
    <w:rsid w:val="000339D6"/>
    <w:rsid w:val="00033E7C"/>
    <w:rsid w:val="000342D7"/>
    <w:rsid w:val="00034B97"/>
    <w:rsid w:val="00035170"/>
    <w:rsid w:val="00035DE3"/>
    <w:rsid w:val="00036FD7"/>
    <w:rsid w:val="0003759D"/>
    <w:rsid w:val="000417F9"/>
    <w:rsid w:val="00041F68"/>
    <w:rsid w:val="000451FE"/>
    <w:rsid w:val="00050AB9"/>
    <w:rsid w:val="0005100E"/>
    <w:rsid w:val="000511F3"/>
    <w:rsid w:val="0005238A"/>
    <w:rsid w:val="00052D71"/>
    <w:rsid w:val="000532ED"/>
    <w:rsid w:val="00053CDC"/>
    <w:rsid w:val="00053FDC"/>
    <w:rsid w:val="00054C05"/>
    <w:rsid w:val="00054F5B"/>
    <w:rsid w:val="00060228"/>
    <w:rsid w:val="00060BD2"/>
    <w:rsid w:val="00063ADD"/>
    <w:rsid w:val="00063FE2"/>
    <w:rsid w:val="000658F9"/>
    <w:rsid w:val="00065F6A"/>
    <w:rsid w:val="00066177"/>
    <w:rsid w:val="000668FF"/>
    <w:rsid w:val="00067235"/>
    <w:rsid w:val="00067FA1"/>
    <w:rsid w:val="00072136"/>
    <w:rsid w:val="0007376A"/>
    <w:rsid w:val="0007378B"/>
    <w:rsid w:val="00074E75"/>
    <w:rsid w:val="00075259"/>
    <w:rsid w:val="00075470"/>
    <w:rsid w:val="00076A92"/>
    <w:rsid w:val="00076C6B"/>
    <w:rsid w:val="000803DE"/>
    <w:rsid w:val="00080B79"/>
    <w:rsid w:val="000821AD"/>
    <w:rsid w:val="00082D6E"/>
    <w:rsid w:val="00083355"/>
    <w:rsid w:val="00083390"/>
    <w:rsid w:val="000841D8"/>
    <w:rsid w:val="000856CB"/>
    <w:rsid w:val="00085D56"/>
    <w:rsid w:val="00090B00"/>
    <w:rsid w:val="00096A08"/>
    <w:rsid w:val="00096F40"/>
    <w:rsid w:val="000975FF"/>
    <w:rsid w:val="000A038A"/>
    <w:rsid w:val="000A376D"/>
    <w:rsid w:val="000A44C9"/>
    <w:rsid w:val="000A5B6C"/>
    <w:rsid w:val="000A6BAD"/>
    <w:rsid w:val="000B0D75"/>
    <w:rsid w:val="000B260E"/>
    <w:rsid w:val="000B2C98"/>
    <w:rsid w:val="000B2FC4"/>
    <w:rsid w:val="000B41C2"/>
    <w:rsid w:val="000B6119"/>
    <w:rsid w:val="000B732E"/>
    <w:rsid w:val="000C049F"/>
    <w:rsid w:val="000C0C09"/>
    <w:rsid w:val="000C0FEA"/>
    <w:rsid w:val="000C19ED"/>
    <w:rsid w:val="000C3199"/>
    <w:rsid w:val="000C5448"/>
    <w:rsid w:val="000C5B27"/>
    <w:rsid w:val="000C7ED3"/>
    <w:rsid w:val="000D11F3"/>
    <w:rsid w:val="000D14BC"/>
    <w:rsid w:val="000D31A9"/>
    <w:rsid w:val="000D421E"/>
    <w:rsid w:val="000D5C8E"/>
    <w:rsid w:val="000D5D49"/>
    <w:rsid w:val="000D5F5C"/>
    <w:rsid w:val="000D690C"/>
    <w:rsid w:val="000D6A8D"/>
    <w:rsid w:val="000E1774"/>
    <w:rsid w:val="000E23A6"/>
    <w:rsid w:val="000E2864"/>
    <w:rsid w:val="000E436B"/>
    <w:rsid w:val="000E67D0"/>
    <w:rsid w:val="000E6F86"/>
    <w:rsid w:val="000F1CC8"/>
    <w:rsid w:val="000F22A9"/>
    <w:rsid w:val="000F3CA1"/>
    <w:rsid w:val="000F41F3"/>
    <w:rsid w:val="000F4AAD"/>
    <w:rsid w:val="000F5F77"/>
    <w:rsid w:val="000F6972"/>
    <w:rsid w:val="000F7D8E"/>
    <w:rsid w:val="00100196"/>
    <w:rsid w:val="00102081"/>
    <w:rsid w:val="0010432D"/>
    <w:rsid w:val="00104478"/>
    <w:rsid w:val="001049B8"/>
    <w:rsid w:val="001060EF"/>
    <w:rsid w:val="0011086F"/>
    <w:rsid w:val="0011216C"/>
    <w:rsid w:val="00112FDF"/>
    <w:rsid w:val="00113005"/>
    <w:rsid w:val="00113361"/>
    <w:rsid w:val="0011381C"/>
    <w:rsid w:val="0011604C"/>
    <w:rsid w:val="00116A0E"/>
    <w:rsid w:val="00117621"/>
    <w:rsid w:val="00121F50"/>
    <w:rsid w:val="001227F3"/>
    <w:rsid w:val="00122B6C"/>
    <w:rsid w:val="001259AF"/>
    <w:rsid w:val="00126D72"/>
    <w:rsid w:val="00130BF6"/>
    <w:rsid w:val="00130F64"/>
    <w:rsid w:val="00131CC3"/>
    <w:rsid w:val="00132E1E"/>
    <w:rsid w:val="00133F77"/>
    <w:rsid w:val="00136F5D"/>
    <w:rsid w:val="00137B3F"/>
    <w:rsid w:val="00143917"/>
    <w:rsid w:val="00147FFA"/>
    <w:rsid w:val="00151201"/>
    <w:rsid w:val="0015187B"/>
    <w:rsid w:val="00152B59"/>
    <w:rsid w:val="00152B86"/>
    <w:rsid w:val="00154F11"/>
    <w:rsid w:val="00155AD7"/>
    <w:rsid w:val="001565E4"/>
    <w:rsid w:val="00160CD7"/>
    <w:rsid w:val="00162233"/>
    <w:rsid w:val="00162C98"/>
    <w:rsid w:val="0016331D"/>
    <w:rsid w:val="001633DA"/>
    <w:rsid w:val="001651D3"/>
    <w:rsid w:val="00165591"/>
    <w:rsid w:val="00167237"/>
    <w:rsid w:val="00167EA3"/>
    <w:rsid w:val="0017012D"/>
    <w:rsid w:val="001702CF"/>
    <w:rsid w:val="00170FEC"/>
    <w:rsid w:val="00171994"/>
    <w:rsid w:val="001719F7"/>
    <w:rsid w:val="001719FF"/>
    <w:rsid w:val="00172088"/>
    <w:rsid w:val="00172CF9"/>
    <w:rsid w:val="0017303A"/>
    <w:rsid w:val="00173362"/>
    <w:rsid w:val="00173589"/>
    <w:rsid w:val="00174ACC"/>
    <w:rsid w:val="00176C2C"/>
    <w:rsid w:val="00180DF5"/>
    <w:rsid w:val="00184C29"/>
    <w:rsid w:val="0018535E"/>
    <w:rsid w:val="00185C3E"/>
    <w:rsid w:val="0018748A"/>
    <w:rsid w:val="00191FDB"/>
    <w:rsid w:val="00192C49"/>
    <w:rsid w:val="0019380D"/>
    <w:rsid w:val="00194A20"/>
    <w:rsid w:val="00195587"/>
    <w:rsid w:val="001960C9"/>
    <w:rsid w:val="00197E6F"/>
    <w:rsid w:val="001A06E2"/>
    <w:rsid w:val="001A188D"/>
    <w:rsid w:val="001A23EC"/>
    <w:rsid w:val="001A2E59"/>
    <w:rsid w:val="001A357F"/>
    <w:rsid w:val="001A50D7"/>
    <w:rsid w:val="001A733E"/>
    <w:rsid w:val="001B0A49"/>
    <w:rsid w:val="001B1610"/>
    <w:rsid w:val="001B2B44"/>
    <w:rsid w:val="001B4002"/>
    <w:rsid w:val="001B4C56"/>
    <w:rsid w:val="001B68CA"/>
    <w:rsid w:val="001B7064"/>
    <w:rsid w:val="001B78E0"/>
    <w:rsid w:val="001B7EF8"/>
    <w:rsid w:val="001B7F25"/>
    <w:rsid w:val="001C1859"/>
    <w:rsid w:val="001C282C"/>
    <w:rsid w:val="001C51C3"/>
    <w:rsid w:val="001C6137"/>
    <w:rsid w:val="001C61C8"/>
    <w:rsid w:val="001C622D"/>
    <w:rsid w:val="001C6BEB"/>
    <w:rsid w:val="001D1C72"/>
    <w:rsid w:val="001D2298"/>
    <w:rsid w:val="001D3BB9"/>
    <w:rsid w:val="001D3E2C"/>
    <w:rsid w:val="001D3F6A"/>
    <w:rsid w:val="001D40E6"/>
    <w:rsid w:val="001D5664"/>
    <w:rsid w:val="001D5C1E"/>
    <w:rsid w:val="001D706E"/>
    <w:rsid w:val="001E0966"/>
    <w:rsid w:val="001E0CEC"/>
    <w:rsid w:val="001E101F"/>
    <w:rsid w:val="001E1313"/>
    <w:rsid w:val="001E731D"/>
    <w:rsid w:val="001E75AD"/>
    <w:rsid w:val="001E786C"/>
    <w:rsid w:val="001E7987"/>
    <w:rsid w:val="001F02A3"/>
    <w:rsid w:val="001F114A"/>
    <w:rsid w:val="001F1C3F"/>
    <w:rsid w:val="001F2A0B"/>
    <w:rsid w:val="001F4309"/>
    <w:rsid w:val="001F470E"/>
    <w:rsid w:val="001F603E"/>
    <w:rsid w:val="001F65E8"/>
    <w:rsid w:val="001F7AFA"/>
    <w:rsid w:val="0020151A"/>
    <w:rsid w:val="002015CA"/>
    <w:rsid w:val="00202386"/>
    <w:rsid w:val="0020265F"/>
    <w:rsid w:val="002030FC"/>
    <w:rsid w:val="002039D8"/>
    <w:rsid w:val="00207EB1"/>
    <w:rsid w:val="00210B2F"/>
    <w:rsid w:val="00210D9C"/>
    <w:rsid w:val="0021333E"/>
    <w:rsid w:val="00213461"/>
    <w:rsid w:val="00213CDD"/>
    <w:rsid w:val="0021676F"/>
    <w:rsid w:val="002174F9"/>
    <w:rsid w:val="00217840"/>
    <w:rsid w:val="002202BC"/>
    <w:rsid w:val="00222C27"/>
    <w:rsid w:val="00223C52"/>
    <w:rsid w:val="0022557D"/>
    <w:rsid w:val="00225B3E"/>
    <w:rsid w:val="002262E0"/>
    <w:rsid w:val="002268A7"/>
    <w:rsid w:val="00226C4E"/>
    <w:rsid w:val="00226E85"/>
    <w:rsid w:val="002277C0"/>
    <w:rsid w:val="0023053F"/>
    <w:rsid w:val="00230A44"/>
    <w:rsid w:val="002333B1"/>
    <w:rsid w:val="00233BA4"/>
    <w:rsid w:val="002350B0"/>
    <w:rsid w:val="002365E0"/>
    <w:rsid w:val="0023666F"/>
    <w:rsid w:val="00237A4D"/>
    <w:rsid w:val="002409C6"/>
    <w:rsid w:val="0024216F"/>
    <w:rsid w:val="002422AB"/>
    <w:rsid w:val="002430E8"/>
    <w:rsid w:val="0024352D"/>
    <w:rsid w:val="00243684"/>
    <w:rsid w:val="00243B69"/>
    <w:rsid w:val="00244214"/>
    <w:rsid w:val="00245584"/>
    <w:rsid w:val="00245B2E"/>
    <w:rsid w:val="0024621C"/>
    <w:rsid w:val="00246CB5"/>
    <w:rsid w:val="00247267"/>
    <w:rsid w:val="002479C8"/>
    <w:rsid w:val="00252691"/>
    <w:rsid w:val="00252883"/>
    <w:rsid w:val="00255659"/>
    <w:rsid w:val="0025566F"/>
    <w:rsid w:val="00256228"/>
    <w:rsid w:val="00256DEE"/>
    <w:rsid w:val="00260152"/>
    <w:rsid w:val="002603DD"/>
    <w:rsid w:val="0026189A"/>
    <w:rsid w:val="00261E60"/>
    <w:rsid w:val="002642DE"/>
    <w:rsid w:val="002651B0"/>
    <w:rsid w:val="00265206"/>
    <w:rsid w:val="002658A2"/>
    <w:rsid w:val="00266046"/>
    <w:rsid w:val="0026782E"/>
    <w:rsid w:val="00271EDF"/>
    <w:rsid w:val="00272124"/>
    <w:rsid w:val="00273BB7"/>
    <w:rsid w:val="00276FD5"/>
    <w:rsid w:val="00277C45"/>
    <w:rsid w:val="00281B62"/>
    <w:rsid w:val="00281C89"/>
    <w:rsid w:val="002864B0"/>
    <w:rsid w:val="00286845"/>
    <w:rsid w:val="00286D5E"/>
    <w:rsid w:val="002870F6"/>
    <w:rsid w:val="002900BC"/>
    <w:rsid w:val="00290D2D"/>
    <w:rsid w:val="002919B2"/>
    <w:rsid w:val="002920ED"/>
    <w:rsid w:val="002933F8"/>
    <w:rsid w:val="00293AB1"/>
    <w:rsid w:val="00295050"/>
    <w:rsid w:val="00296F4B"/>
    <w:rsid w:val="002A0BE2"/>
    <w:rsid w:val="002A0DA3"/>
    <w:rsid w:val="002A381B"/>
    <w:rsid w:val="002A4A08"/>
    <w:rsid w:val="002B1495"/>
    <w:rsid w:val="002B1B19"/>
    <w:rsid w:val="002B41C7"/>
    <w:rsid w:val="002B52A4"/>
    <w:rsid w:val="002B5C1E"/>
    <w:rsid w:val="002C1DF8"/>
    <w:rsid w:val="002C2507"/>
    <w:rsid w:val="002C31EE"/>
    <w:rsid w:val="002C3815"/>
    <w:rsid w:val="002C3D99"/>
    <w:rsid w:val="002C766A"/>
    <w:rsid w:val="002D1B6C"/>
    <w:rsid w:val="002D1BCE"/>
    <w:rsid w:val="002D27EA"/>
    <w:rsid w:val="002D48A8"/>
    <w:rsid w:val="002E03A9"/>
    <w:rsid w:val="002E0CBE"/>
    <w:rsid w:val="002E1B8E"/>
    <w:rsid w:val="002E2350"/>
    <w:rsid w:val="002E35FF"/>
    <w:rsid w:val="002E3E3E"/>
    <w:rsid w:val="002E51B7"/>
    <w:rsid w:val="002E5324"/>
    <w:rsid w:val="002E5CF4"/>
    <w:rsid w:val="002F0902"/>
    <w:rsid w:val="002F23E3"/>
    <w:rsid w:val="002F2E3D"/>
    <w:rsid w:val="002F5C97"/>
    <w:rsid w:val="002F6D50"/>
    <w:rsid w:val="003006D4"/>
    <w:rsid w:val="00301FFB"/>
    <w:rsid w:val="00302934"/>
    <w:rsid w:val="00303566"/>
    <w:rsid w:val="003070B2"/>
    <w:rsid w:val="003112CD"/>
    <w:rsid w:val="00311E14"/>
    <w:rsid w:val="00312B51"/>
    <w:rsid w:val="003139BA"/>
    <w:rsid w:val="003156BE"/>
    <w:rsid w:val="00317F04"/>
    <w:rsid w:val="00322D6B"/>
    <w:rsid w:val="00323005"/>
    <w:rsid w:val="0032433C"/>
    <w:rsid w:val="00324BA2"/>
    <w:rsid w:val="00330023"/>
    <w:rsid w:val="0033003E"/>
    <w:rsid w:val="00330507"/>
    <w:rsid w:val="003312E4"/>
    <w:rsid w:val="00331656"/>
    <w:rsid w:val="00331C00"/>
    <w:rsid w:val="00331F4B"/>
    <w:rsid w:val="00332400"/>
    <w:rsid w:val="00333EE4"/>
    <w:rsid w:val="00334FBE"/>
    <w:rsid w:val="00335560"/>
    <w:rsid w:val="003357E0"/>
    <w:rsid w:val="0033724A"/>
    <w:rsid w:val="00337D42"/>
    <w:rsid w:val="003414D2"/>
    <w:rsid w:val="00343A4F"/>
    <w:rsid w:val="00346107"/>
    <w:rsid w:val="00346DB0"/>
    <w:rsid w:val="003501EE"/>
    <w:rsid w:val="00351150"/>
    <w:rsid w:val="00354966"/>
    <w:rsid w:val="00356B9F"/>
    <w:rsid w:val="00356D03"/>
    <w:rsid w:val="00357548"/>
    <w:rsid w:val="003608B4"/>
    <w:rsid w:val="00361A80"/>
    <w:rsid w:val="00362B2E"/>
    <w:rsid w:val="0036347A"/>
    <w:rsid w:val="00363603"/>
    <w:rsid w:val="00363704"/>
    <w:rsid w:val="0036694A"/>
    <w:rsid w:val="003701F5"/>
    <w:rsid w:val="00370B8D"/>
    <w:rsid w:val="00371410"/>
    <w:rsid w:val="00372057"/>
    <w:rsid w:val="00372C65"/>
    <w:rsid w:val="003748A0"/>
    <w:rsid w:val="0037654E"/>
    <w:rsid w:val="00376FE8"/>
    <w:rsid w:val="00380611"/>
    <w:rsid w:val="0038084E"/>
    <w:rsid w:val="00383077"/>
    <w:rsid w:val="0038384B"/>
    <w:rsid w:val="003838DE"/>
    <w:rsid w:val="00385900"/>
    <w:rsid w:val="00386971"/>
    <w:rsid w:val="00386A66"/>
    <w:rsid w:val="00387653"/>
    <w:rsid w:val="0038788E"/>
    <w:rsid w:val="003878FA"/>
    <w:rsid w:val="00391C1A"/>
    <w:rsid w:val="00391FB5"/>
    <w:rsid w:val="00393031"/>
    <w:rsid w:val="00393B90"/>
    <w:rsid w:val="00394E32"/>
    <w:rsid w:val="0039518B"/>
    <w:rsid w:val="00396BA5"/>
    <w:rsid w:val="00396D33"/>
    <w:rsid w:val="003A0CA9"/>
    <w:rsid w:val="003A0EFA"/>
    <w:rsid w:val="003A1188"/>
    <w:rsid w:val="003A1C72"/>
    <w:rsid w:val="003A6A00"/>
    <w:rsid w:val="003B2BEC"/>
    <w:rsid w:val="003B2C12"/>
    <w:rsid w:val="003B5778"/>
    <w:rsid w:val="003B57BB"/>
    <w:rsid w:val="003B5A57"/>
    <w:rsid w:val="003C4831"/>
    <w:rsid w:val="003C4C42"/>
    <w:rsid w:val="003D1814"/>
    <w:rsid w:val="003D310E"/>
    <w:rsid w:val="003D3CD8"/>
    <w:rsid w:val="003D438C"/>
    <w:rsid w:val="003D55B4"/>
    <w:rsid w:val="003D58DE"/>
    <w:rsid w:val="003E1E4B"/>
    <w:rsid w:val="003E2871"/>
    <w:rsid w:val="003E3429"/>
    <w:rsid w:val="003E3C7F"/>
    <w:rsid w:val="003E4E7C"/>
    <w:rsid w:val="003E5A9F"/>
    <w:rsid w:val="003E5B97"/>
    <w:rsid w:val="003E5DEB"/>
    <w:rsid w:val="003E6661"/>
    <w:rsid w:val="003F01E0"/>
    <w:rsid w:val="003F04C9"/>
    <w:rsid w:val="003F0A0E"/>
    <w:rsid w:val="003F0B59"/>
    <w:rsid w:val="003F21D0"/>
    <w:rsid w:val="003F3A3A"/>
    <w:rsid w:val="003F45DB"/>
    <w:rsid w:val="003F5955"/>
    <w:rsid w:val="004007B9"/>
    <w:rsid w:val="0040249D"/>
    <w:rsid w:val="00402E76"/>
    <w:rsid w:val="0040342F"/>
    <w:rsid w:val="004038C1"/>
    <w:rsid w:val="00404A11"/>
    <w:rsid w:val="00404D9A"/>
    <w:rsid w:val="00406068"/>
    <w:rsid w:val="00412135"/>
    <w:rsid w:val="0041253D"/>
    <w:rsid w:val="00414911"/>
    <w:rsid w:val="004201C7"/>
    <w:rsid w:val="00420B2D"/>
    <w:rsid w:val="004213ED"/>
    <w:rsid w:val="0042159F"/>
    <w:rsid w:val="00421902"/>
    <w:rsid w:val="00423804"/>
    <w:rsid w:val="00424136"/>
    <w:rsid w:val="0042523F"/>
    <w:rsid w:val="00426542"/>
    <w:rsid w:val="00426DAA"/>
    <w:rsid w:val="00427A94"/>
    <w:rsid w:val="00431E89"/>
    <w:rsid w:val="00433436"/>
    <w:rsid w:val="004335F1"/>
    <w:rsid w:val="00441B55"/>
    <w:rsid w:val="00441CFB"/>
    <w:rsid w:val="00442EDB"/>
    <w:rsid w:val="00444D9B"/>
    <w:rsid w:val="004452C9"/>
    <w:rsid w:val="00445CE5"/>
    <w:rsid w:val="004461D9"/>
    <w:rsid w:val="00446605"/>
    <w:rsid w:val="0045002B"/>
    <w:rsid w:val="00450201"/>
    <w:rsid w:val="004526AB"/>
    <w:rsid w:val="00456D5E"/>
    <w:rsid w:val="00457419"/>
    <w:rsid w:val="004578D5"/>
    <w:rsid w:val="004623F5"/>
    <w:rsid w:val="004624CD"/>
    <w:rsid w:val="004632EA"/>
    <w:rsid w:val="0046350B"/>
    <w:rsid w:val="004640B7"/>
    <w:rsid w:val="00464BFA"/>
    <w:rsid w:val="00464D98"/>
    <w:rsid w:val="00465958"/>
    <w:rsid w:val="004660A6"/>
    <w:rsid w:val="00470B57"/>
    <w:rsid w:val="00471ED2"/>
    <w:rsid w:val="0047259F"/>
    <w:rsid w:val="00474704"/>
    <w:rsid w:val="00475521"/>
    <w:rsid w:val="00475D7E"/>
    <w:rsid w:val="00475FEF"/>
    <w:rsid w:val="00477869"/>
    <w:rsid w:val="00480860"/>
    <w:rsid w:val="00480984"/>
    <w:rsid w:val="00480D93"/>
    <w:rsid w:val="00480EFA"/>
    <w:rsid w:val="00481308"/>
    <w:rsid w:val="00481611"/>
    <w:rsid w:val="004833AC"/>
    <w:rsid w:val="00483844"/>
    <w:rsid w:val="004870D5"/>
    <w:rsid w:val="004873B2"/>
    <w:rsid w:val="004873E6"/>
    <w:rsid w:val="004900AC"/>
    <w:rsid w:val="00491871"/>
    <w:rsid w:val="00491B34"/>
    <w:rsid w:val="00492426"/>
    <w:rsid w:val="00493779"/>
    <w:rsid w:val="0049457F"/>
    <w:rsid w:val="0049487E"/>
    <w:rsid w:val="00494B4F"/>
    <w:rsid w:val="00497E4A"/>
    <w:rsid w:val="004A2292"/>
    <w:rsid w:val="004A3345"/>
    <w:rsid w:val="004A5604"/>
    <w:rsid w:val="004A5701"/>
    <w:rsid w:val="004A583B"/>
    <w:rsid w:val="004A63A7"/>
    <w:rsid w:val="004A655A"/>
    <w:rsid w:val="004A7107"/>
    <w:rsid w:val="004A76F4"/>
    <w:rsid w:val="004B126E"/>
    <w:rsid w:val="004B1FB2"/>
    <w:rsid w:val="004B48A0"/>
    <w:rsid w:val="004B4BF3"/>
    <w:rsid w:val="004B5797"/>
    <w:rsid w:val="004B622B"/>
    <w:rsid w:val="004B7C83"/>
    <w:rsid w:val="004C0180"/>
    <w:rsid w:val="004C047E"/>
    <w:rsid w:val="004C4CC7"/>
    <w:rsid w:val="004D01BB"/>
    <w:rsid w:val="004D077B"/>
    <w:rsid w:val="004D08CD"/>
    <w:rsid w:val="004D28A8"/>
    <w:rsid w:val="004D42F8"/>
    <w:rsid w:val="004D4DD8"/>
    <w:rsid w:val="004D6AD7"/>
    <w:rsid w:val="004D6CAC"/>
    <w:rsid w:val="004D7AD7"/>
    <w:rsid w:val="004E0B5B"/>
    <w:rsid w:val="004E0BD4"/>
    <w:rsid w:val="004E2D82"/>
    <w:rsid w:val="004E354D"/>
    <w:rsid w:val="004E3E42"/>
    <w:rsid w:val="004E65DB"/>
    <w:rsid w:val="004F13BD"/>
    <w:rsid w:val="004F2352"/>
    <w:rsid w:val="004F278C"/>
    <w:rsid w:val="004F3459"/>
    <w:rsid w:val="004F3B55"/>
    <w:rsid w:val="004F453D"/>
    <w:rsid w:val="004F4F1A"/>
    <w:rsid w:val="004F6168"/>
    <w:rsid w:val="004F69A1"/>
    <w:rsid w:val="005020C5"/>
    <w:rsid w:val="00503F21"/>
    <w:rsid w:val="00505560"/>
    <w:rsid w:val="00506EAD"/>
    <w:rsid w:val="00510C57"/>
    <w:rsid w:val="005132BB"/>
    <w:rsid w:val="005132C3"/>
    <w:rsid w:val="0051375A"/>
    <w:rsid w:val="005148FB"/>
    <w:rsid w:val="00520AB4"/>
    <w:rsid w:val="00521B21"/>
    <w:rsid w:val="00522527"/>
    <w:rsid w:val="005237EC"/>
    <w:rsid w:val="00523E27"/>
    <w:rsid w:val="00525A7B"/>
    <w:rsid w:val="0052633B"/>
    <w:rsid w:val="00526986"/>
    <w:rsid w:val="00526A20"/>
    <w:rsid w:val="00527AE2"/>
    <w:rsid w:val="00527B92"/>
    <w:rsid w:val="005303C1"/>
    <w:rsid w:val="00531484"/>
    <w:rsid w:val="0053189D"/>
    <w:rsid w:val="00531EF6"/>
    <w:rsid w:val="0053208F"/>
    <w:rsid w:val="005321CC"/>
    <w:rsid w:val="005343E2"/>
    <w:rsid w:val="00536209"/>
    <w:rsid w:val="00536545"/>
    <w:rsid w:val="005368D1"/>
    <w:rsid w:val="005405CB"/>
    <w:rsid w:val="00540656"/>
    <w:rsid w:val="0054348B"/>
    <w:rsid w:val="00545118"/>
    <w:rsid w:val="005456FC"/>
    <w:rsid w:val="00545A89"/>
    <w:rsid w:val="00546B42"/>
    <w:rsid w:val="00550360"/>
    <w:rsid w:val="00553AB0"/>
    <w:rsid w:val="00554C2C"/>
    <w:rsid w:val="00555D4F"/>
    <w:rsid w:val="00557B79"/>
    <w:rsid w:val="005609E1"/>
    <w:rsid w:val="00560B45"/>
    <w:rsid w:val="00561569"/>
    <w:rsid w:val="00561D56"/>
    <w:rsid w:val="00562A99"/>
    <w:rsid w:val="00565370"/>
    <w:rsid w:val="005669E3"/>
    <w:rsid w:val="00570F51"/>
    <w:rsid w:val="00571822"/>
    <w:rsid w:val="00571F40"/>
    <w:rsid w:val="00573DCB"/>
    <w:rsid w:val="00574AD0"/>
    <w:rsid w:val="00574F86"/>
    <w:rsid w:val="0057649C"/>
    <w:rsid w:val="005777EA"/>
    <w:rsid w:val="0058030E"/>
    <w:rsid w:val="005804C7"/>
    <w:rsid w:val="00582828"/>
    <w:rsid w:val="005855C5"/>
    <w:rsid w:val="00585A38"/>
    <w:rsid w:val="00586385"/>
    <w:rsid w:val="005867F9"/>
    <w:rsid w:val="00587450"/>
    <w:rsid w:val="00587D85"/>
    <w:rsid w:val="00595A9B"/>
    <w:rsid w:val="0059654B"/>
    <w:rsid w:val="00596889"/>
    <w:rsid w:val="005972FB"/>
    <w:rsid w:val="005A0CBC"/>
    <w:rsid w:val="005A6B38"/>
    <w:rsid w:val="005B36DB"/>
    <w:rsid w:val="005B4871"/>
    <w:rsid w:val="005B62EB"/>
    <w:rsid w:val="005B6C62"/>
    <w:rsid w:val="005B720A"/>
    <w:rsid w:val="005B768B"/>
    <w:rsid w:val="005B7EDF"/>
    <w:rsid w:val="005C00EB"/>
    <w:rsid w:val="005C3281"/>
    <w:rsid w:val="005C53E5"/>
    <w:rsid w:val="005D27AB"/>
    <w:rsid w:val="005D3423"/>
    <w:rsid w:val="005D3AD7"/>
    <w:rsid w:val="005D3E30"/>
    <w:rsid w:val="005D402F"/>
    <w:rsid w:val="005D4BBE"/>
    <w:rsid w:val="005D5299"/>
    <w:rsid w:val="005D6BE5"/>
    <w:rsid w:val="005D6DF3"/>
    <w:rsid w:val="005D7008"/>
    <w:rsid w:val="005D70D4"/>
    <w:rsid w:val="005D7DCF"/>
    <w:rsid w:val="005E09B0"/>
    <w:rsid w:val="005E24B8"/>
    <w:rsid w:val="005E2771"/>
    <w:rsid w:val="005E43AF"/>
    <w:rsid w:val="005E4926"/>
    <w:rsid w:val="005E50E8"/>
    <w:rsid w:val="005E56F4"/>
    <w:rsid w:val="005E6BB7"/>
    <w:rsid w:val="005F1504"/>
    <w:rsid w:val="005F1724"/>
    <w:rsid w:val="005F3138"/>
    <w:rsid w:val="005F4849"/>
    <w:rsid w:val="005F4EB3"/>
    <w:rsid w:val="005F6540"/>
    <w:rsid w:val="005F71CA"/>
    <w:rsid w:val="005F769E"/>
    <w:rsid w:val="005F7712"/>
    <w:rsid w:val="0060090C"/>
    <w:rsid w:val="00600D6E"/>
    <w:rsid w:val="00601C4F"/>
    <w:rsid w:val="00602327"/>
    <w:rsid w:val="00602CD6"/>
    <w:rsid w:val="0060389F"/>
    <w:rsid w:val="00603953"/>
    <w:rsid w:val="006042AF"/>
    <w:rsid w:val="00604713"/>
    <w:rsid w:val="00604FEA"/>
    <w:rsid w:val="00605AEE"/>
    <w:rsid w:val="00606B2E"/>
    <w:rsid w:val="0060728D"/>
    <w:rsid w:val="0061122E"/>
    <w:rsid w:val="00611651"/>
    <w:rsid w:val="00611926"/>
    <w:rsid w:val="00612816"/>
    <w:rsid w:val="006137E1"/>
    <w:rsid w:val="00613DE3"/>
    <w:rsid w:val="0061567B"/>
    <w:rsid w:val="00617120"/>
    <w:rsid w:val="0061795D"/>
    <w:rsid w:val="00617D44"/>
    <w:rsid w:val="00621E72"/>
    <w:rsid w:val="00624B9C"/>
    <w:rsid w:val="00627B37"/>
    <w:rsid w:val="00630DCF"/>
    <w:rsid w:val="00630F74"/>
    <w:rsid w:val="00631A38"/>
    <w:rsid w:val="0063331B"/>
    <w:rsid w:val="00635746"/>
    <w:rsid w:val="00635AAD"/>
    <w:rsid w:val="00636098"/>
    <w:rsid w:val="00636812"/>
    <w:rsid w:val="00641753"/>
    <w:rsid w:val="00641871"/>
    <w:rsid w:val="00642A38"/>
    <w:rsid w:val="00645189"/>
    <w:rsid w:val="00645415"/>
    <w:rsid w:val="0064746E"/>
    <w:rsid w:val="00650318"/>
    <w:rsid w:val="006512F2"/>
    <w:rsid w:val="00651309"/>
    <w:rsid w:val="00653A9A"/>
    <w:rsid w:val="006541BD"/>
    <w:rsid w:val="00655380"/>
    <w:rsid w:val="0065578B"/>
    <w:rsid w:val="00661129"/>
    <w:rsid w:val="00663644"/>
    <w:rsid w:val="00663EC7"/>
    <w:rsid w:val="006650C9"/>
    <w:rsid w:val="0066595E"/>
    <w:rsid w:val="0066704E"/>
    <w:rsid w:val="006714FC"/>
    <w:rsid w:val="00671938"/>
    <w:rsid w:val="006733B6"/>
    <w:rsid w:val="00676893"/>
    <w:rsid w:val="00681F60"/>
    <w:rsid w:val="00682964"/>
    <w:rsid w:val="00682FAB"/>
    <w:rsid w:val="006840A2"/>
    <w:rsid w:val="00684ABC"/>
    <w:rsid w:val="00685ABF"/>
    <w:rsid w:val="00686B07"/>
    <w:rsid w:val="00690008"/>
    <w:rsid w:val="00690C26"/>
    <w:rsid w:val="00691129"/>
    <w:rsid w:val="0069172C"/>
    <w:rsid w:val="00692948"/>
    <w:rsid w:val="006929AF"/>
    <w:rsid w:val="006933B6"/>
    <w:rsid w:val="00695544"/>
    <w:rsid w:val="006959C7"/>
    <w:rsid w:val="00695FDE"/>
    <w:rsid w:val="006969FB"/>
    <w:rsid w:val="00696F62"/>
    <w:rsid w:val="00697A8E"/>
    <w:rsid w:val="006A1AED"/>
    <w:rsid w:val="006A4F33"/>
    <w:rsid w:val="006A50F9"/>
    <w:rsid w:val="006A5239"/>
    <w:rsid w:val="006A5D69"/>
    <w:rsid w:val="006A67ED"/>
    <w:rsid w:val="006B1D29"/>
    <w:rsid w:val="006B1EBC"/>
    <w:rsid w:val="006B211F"/>
    <w:rsid w:val="006B220A"/>
    <w:rsid w:val="006B394D"/>
    <w:rsid w:val="006B3A6E"/>
    <w:rsid w:val="006B3FB4"/>
    <w:rsid w:val="006B5C1C"/>
    <w:rsid w:val="006B6AE5"/>
    <w:rsid w:val="006B70B3"/>
    <w:rsid w:val="006C2A52"/>
    <w:rsid w:val="006C2D3D"/>
    <w:rsid w:val="006C3B8E"/>
    <w:rsid w:val="006C3F3A"/>
    <w:rsid w:val="006C497B"/>
    <w:rsid w:val="006C4C35"/>
    <w:rsid w:val="006C5369"/>
    <w:rsid w:val="006C6DF0"/>
    <w:rsid w:val="006D0E7B"/>
    <w:rsid w:val="006D126F"/>
    <w:rsid w:val="006D187E"/>
    <w:rsid w:val="006D4021"/>
    <w:rsid w:val="006D681E"/>
    <w:rsid w:val="006E05A9"/>
    <w:rsid w:val="006E1670"/>
    <w:rsid w:val="006E296E"/>
    <w:rsid w:val="006E5E4F"/>
    <w:rsid w:val="006F1CA5"/>
    <w:rsid w:val="006F26CB"/>
    <w:rsid w:val="006F3796"/>
    <w:rsid w:val="006F4204"/>
    <w:rsid w:val="006F6266"/>
    <w:rsid w:val="006F68F7"/>
    <w:rsid w:val="0070253D"/>
    <w:rsid w:val="00703F00"/>
    <w:rsid w:val="00704F69"/>
    <w:rsid w:val="00707159"/>
    <w:rsid w:val="00707C92"/>
    <w:rsid w:val="00711A02"/>
    <w:rsid w:val="007169F5"/>
    <w:rsid w:val="00717E7B"/>
    <w:rsid w:val="0072408F"/>
    <w:rsid w:val="00724376"/>
    <w:rsid w:val="00724FD7"/>
    <w:rsid w:val="00725468"/>
    <w:rsid w:val="0072600A"/>
    <w:rsid w:val="00726A1A"/>
    <w:rsid w:val="00726CD0"/>
    <w:rsid w:val="00727252"/>
    <w:rsid w:val="007273BB"/>
    <w:rsid w:val="00727E7F"/>
    <w:rsid w:val="0073185B"/>
    <w:rsid w:val="00732727"/>
    <w:rsid w:val="00733A26"/>
    <w:rsid w:val="007348DA"/>
    <w:rsid w:val="007371D0"/>
    <w:rsid w:val="00737BB1"/>
    <w:rsid w:val="0074053B"/>
    <w:rsid w:val="0074073C"/>
    <w:rsid w:val="00742B48"/>
    <w:rsid w:val="0074382D"/>
    <w:rsid w:val="00743E8D"/>
    <w:rsid w:val="00745532"/>
    <w:rsid w:val="0074696B"/>
    <w:rsid w:val="00747306"/>
    <w:rsid w:val="00747A2B"/>
    <w:rsid w:val="0075112C"/>
    <w:rsid w:val="007516EB"/>
    <w:rsid w:val="00751917"/>
    <w:rsid w:val="00752404"/>
    <w:rsid w:val="00753636"/>
    <w:rsid w:val="00755918"/>
    <w:rsid w:val="00756981"/>
    <w:rsid w:val="00756991"/>
    <w:rsid w:val="00757299"/>
    <w:rsid w:val="00760032"/>
    <w:rsid w:val="00760403"/>
    <w:rsid w:val="00760867"/>
    <w:rsid w:val="007609C7"/>
    <w:rsid w:val="00761562"/>
    <w:rsid w:val="007617E5"/>
    <w:rsid w:val="00761B5D"/>
    <w:rsid w:val="007629E0"/>
    <w:rsid w:val="00764B4F"/>
    <w:rsid w:val="00766D2B"/>
    <w:rsid w:val="007717D1"/>
    <w:rsid w:val="00772830"/>
    <w:rsid w:val="007736B1"/>
    <w:rsid w:val="00775DB6"/>
    <w:rsid w:val="00776922"/>
    <w:rsid w:val="00776C2A"/>
    <w:rsid w:val="00777F9F"/>
    <w:rsid w:val="0078024B"/>
    <w:rsid w:val="00781025"/>
    <w:rsid w:val="0079275D"/>
    <w:rsid w:val="00792A17"/>
    <w:rsid w:val="00794040"/>
    <w:rsid w:val="00794164"/>
    <w:rsid w:val="00796398"/>
    <w:rsid w:val="007965FE"/>
    <w:rsid w:val="00797DEF"/>
    <w:rsid w:val="00797FEE"/>
    <w:rsid w:val="007A0408"/>
    <w:rsid w:val="007A3D75"/>
    <w:rsid w:val="007A415C"/>
    <w:rsid w:val="007A58F0"/>
    <w:rsid w:val="007B065C"/>
    <w:rsid w:val="007B14F2"/>
    <w:rsid w:val="007B15A0"/>
    <w:rsid w:val="007B25F1"/>
    <w:rsid w:val="007B3121"/>
    <w:rsid w:val="007B384F"/>
    <w:rsid w:val="007B3F64"/>
    <w:rsid w:val="007B4191"/>
    <w:rsid w:val="007B6103"/>
    <w:rsid w:val="007C2990"/>
    <w:rsid w:val="007C29B2"/>
    <w:rsid w:val="007C309C"/>
    <w:rsid w:val="007C354D"/>
    <w:rsid w:val="007C3D99"/>
    <w:rsid w:val="007C4822"/>
    <w:rsid w:val="007C74FE"/>
    <w:rsid w:val="007C75DD"/>
    <w:rsid w:val="007D055D"/>
    <w:rsid w:val="007D230A"/>
    <w:rsid w:val="007D3EA6"/>
    <w:rsid w:val="007D40EC"/>
    <w:rsid w:val="007D440D"/>
    <w:rsid w:val="007D46B4"/>
    <w:rsid w:val="007D5BBD"/>
    <w:rsid w:val="007E1C1A"/>
    <w:rsid w:val="007E21DE"/>
    <w:rsid w:val="007E5D05"/>
    <w:rsid w:val="007F09F0"/>
    <w:rsid w:val="007F171E"/>
    <w:rsid w:val="007F210A"/>
    <w:rsid w:val="007F353B"/>
    <w:rsid w:val="007F4D7E"/>
    <w:rsid w:val="007F54BB"/>
    <w:rsid w:val="007F64F8"/>
    <w:rsid w:val="007F6693"/>
    <w:rsid w:val="007F6E43"/>
    <w:rsid w:val="00800181"/>
    <w:rsid w:val="00800313"/>
    <w:rsid w:val="008004FE"/>
    <w:rsid w:val="008007EF"/>
    <w:rsid w:val="00800F66"/>
    <w:rsid w:val="0080229E"/>
    <w:rsid w:val="00802D2D"/>
    <w:rsid w:val="008036FE"/>
    <w:rsid w:val="0080393F"/>
    <w:rsid w:val="00803959"/>
    <w:rsid w:val="00804B4B"/>
    <w:rsid w:val="008051FD"/>
    <w:rsid w:val="00805E2D"/>
    <w:rsid w:val="0080601E"/>
    <w:rsid w:val="00806626"/>
    <w:rsid w:val="0080721C"/>
    <w:rsid w:val="00807696"/>
    <w:rsid w:val="00807976"/>
    <w:rsid w:val="00810644"/>
    <w:rsid w:val="00811E62"/>
    <w:rsid w:val="0081282B"/>
    <w:rsid w:val="00815931"/>
    <w:rsid w:val="0082000B"/>
    <w:rsid w:val="00820229"/>
    <w:rsid w:val="00820CC4"/>
    <w:rsid w:val="00823B43"/>
    <w:rsid w:val="00824E69"/>
    <w:rsid w:val="00825746"/>
    <w:rsid w:val="00825D85"/>
    <w:rsid w:val="00826ACA"/>
    <w:rsid w:val="00830932"/>
    <w:rsid w:val="00830D5C"/>
    <w:rsid w:val="008314EE"/>
    <w:rsid w:val="008319BA"/>
    <w:rsid w:val="00831E52"/>
    <w:rsid w:val="00832F49"/>
    <w:rsid w:val="00833C0E"/>
    <w:rsid w:val="0083484C"/>
    <w:rsid w:val="0083585B"/>
    <w:rsid w:val="008371D5"/>
    <w:rsid w:val="00840FCF"/>
    <w:rsid w:val="008426C4"/>
    <w:rsid w:val="00844A0A"/>
    <w:rsid w:val="0084632E"/>
    <w:rsid w:val="008471E8"/>
    <w:rsid w:val="008500F4"/>
    <w:rsid w:val="00850F50"/>
    <w:rsid w:val="00851215"/>
    <w:rsid w:val="00852911"/>
    <w:rsid w:val="00853C37"/>
    <w:rsid w:val="00854B20"/>
    <w:rsid w:val="00856197"/>
    <w:rsid w:val="00862945"/>
    <w:rsid w:val="00863426"/>
    <w:rsid w:val="008656FF"/>
    <w:rsid w:val="00871B8C"/>
    <w:rsid w:val="008723DA"/>
    <w:rsid w:val="008743E8"/>
    <w:rsid w:val="008749BA"/>
    <w:rsid w:val="008751CC"/>
    <w:rsid w:val="0087764B"/>
    <w:rsid w:val="008809A9"/>
    <w:rsid w:val="0088212E"/>
    <w:rsid w:val="008823B3"/>
    <w:rsid w:val="00883448"/>
    <w:rsid w:val="00884EF2"/>
    <w:rsid w:val="00885964"/>
    <w:rsid w:val="008867B1"/>
    <w:rsid w:val="00890A2D"/>
    <w:rsid w:val="00891FE9"/>
    <w:rsid w:val="00894E95"/>
    <w:rsid w:val="00895DB2"/>
    <w:rsid w:val="00897A2A"/>
    <w:rsid w:val="008A0C33"/>
    <w:rsid w:val="008A110A"/>
    <w:rsid w:val="008A1428"/>
    <w:rsid w:val="008A16FE"/>
    <w:rsid w:val="008A351E"/>
    <w:rsid w:val="008A39C5"/>
    <w:rsid w:val="008A6147"/>
    <w:rsid w:val="008A6D82"/>
    <w:rsid w:val="008A7C3A"/>
    <w:rsid w:val="008B03F4"/>
    <w:rsid w:val="008B2F4F"/>
    <w:rsid w:val="008B3BEE"/>
    <w:rsid w:val="008B44B2"/>
    <w:rsid w:val="008C0B77"/>
    <w:rsid w:val="008C1901"/>
    <w:rsid w:val="008C2601"/>
    <w:rsid w:val="008C4142"/>
    <w:rsid w:val="008C4F8D"/>
    <w:rsid w:val="008C4FB7"/>
    <w:rsid w:val="008C59EC"/>
    <w:rsid w:val="008C6B65"/>
    <w:rsid w:val="008C6E77"/>
    <w:rsid w:val="008D161A"/>
    <w:rsid w:val="008D180A"/>
    <w:rsid w:val="008D1DB8"/>
    <w:rsid w:val="008D1E78"/>
    <w:rsid w:val="008D2090"/>
    <w:rsid w:val="008D3172"/>
    <w:rsid w:val="008D3E67"/>
    <w:rsid w:val="008D49BC"/>
    <w:rsid w:val="008D4BEF"/>
    <w:rsid w:val="008E10C8"/>
    <w:rsid w:val="008E2526"/>
    <w:rsid w:val="008E3BDB"/>
    <w:rsid w:val="008E412A"/>
    <w:rsid w:val="008E45E8"/>
    <w:rsid w:val="008E4C15"/>
    <w:rsid w:val="008E4DE7"/>
    <w:rsid w:val="008E4EF9"/>
    <w:rsid w:val="008E604D"/>
    <w:rsid w:val="008F0D6A"/>
    <w:rsid w:val="008F1DA2"/>
    <w:rsid w:val="008F2135"/>
    <w:rsid w:val="008F4001"/>
    <w:rsid w:val="008F616A"/>
    <w:rsid w:val="008F6C2F"/>
    <w:rsid w:val="008F79CB"/>
    <w:rsid w:val="00900206"/>
    <w:rsid w:val="00900289"/>
    <w:rsid w:val="00900637"/>
    <w:rsid w:val="009016C1"/>
    <w:rsid w:val="009018CF"/>
    <w:rsid w:val="00901B94"/>
    <w:rsid w:val="00902FC9"/>
    <w:rsid w:val="00903671"/>
    <w:rsid w:val="00903B6C"/>
    <w:rsid w:val="00904F94"/>
    <w:rsid w:val="009072B1"/>
    <w:rsid w:val="009100A3"/>
    <w:rsid w:val="00910827"/>
    <w:rsid w:val="0091107C"/>
    <w:rsid w:val="00913C6B"/>
    <w:rsid w:val="00916984"/>
    <w:rsid w:val="0091720B"/>
    <w:rsid w:val="009178F0"/>
    <w:rsid w:val="00917FF7"/>
    <w:rsid w:val="00921627"/>
    <w:rsid w:val="0092255C"/>
    <w:rsid w:val="009240BC"/>
    <w:rsid w:val="0092470C"/>
    <w:rsid w:val="00924E40"/>
    <w:rsid w:val="00924F59"/>
    <w:rsid w:val="009257D9"/>
    <w:rsid w:val="00925E3E"/>
    <w:rsid w:val="00926183"/>
    <w:rsid w:val="009267A2"/>
    <w:rsid w:val="00927A85"/>
    <w:rsid w:val="00927E4B"/>
    <w:rsid w:val="0093222D"/>
    <w:rsid w:val="009329A5"/>
    <w:rsid w:val="00936B4D"/>
    <w:rsid w:val="00936EEB"/>
    <w:rsid w:val="00940FCB"/>
    <w:rsid w:val="00941178"/>
    <w:rsid w:val="00941494"/>
    <w:rsid w:val="0094175A"/>
    <w:rsid w:val="00944911"/>
    <w:rsid w:val="00945369"/>
    <w:rsid w:val="00945B4B"/>
    <w:rsid w:val="00945FBA"/>
    <w:rsid w:val="009503BA"/>
    <w:rsid w:val="00951152"/>
    <w:rsid w:val="0095127B"/>
    <w:rsid w:val="009567FF"/>
    <w:rsid w:val="009568E2"/>
    <w:rsid w:val="00960169"/>
    <w:rsid w:val="00960523"/>
    <w:rsid w:val="00960D03"/>
    <w:rsid w:val="00962371"/>
    <w:rsid w:val="0096261C"/>
    <w:rsid w:val="00963ABD"/>
    <w:rsid w:val="00963C38"/>
    <w:rsid w:val="00964109"/>
    <w:rsid w:val="009642F4"/>
    <w:rsid w:val="009672FC"/>
    <w:rsid w:val="0097065A"/>
    <w:rsid w:val="00972979"/>
    <w:rsid w:val="00973050"/>
    <w:rsid w:val="0097436C"/>
    <w:rsid w:val="0097564E"/>
    <w:rsid w:val="009775F6"/>
    <w:rsid w:val="009778B9"/>
    <w:rsid w:val="009807BB"/>
    <w:rsid w:val="00981DEE"/>
    <w:rsid w:val="0098201D"/>
    <w:rsid w:val="009829E6"/>
    <w:rsid w:val="0098336F"/>
    <w:rsid w:val="0098460A"/>
    <w:rsid w:val="00984B18"/>
    <w:rsid w:val="00984C4F"/>
    <w:rsid w:val="00987DF6"/>
    <w:rsid w:val="00990243"/>
    <w:rsid w:val="00991717"/>
    <w:rsid w:val="0099241C"/>
    <w:rsid w:val="00993016"/>
    <w:rsid w:val="00993D2C"/>
    <w:rsid w:val="00993E32"/>
    <w:rsid w:val="00994223"/>
    <w:rsid w:val="009955D0"/>
    <w:rsid w:val="00997994"/>
    <w:rsid w:val="009A15F2"/>
    <w:rsid w:val="009A1DC0"/>
    <w:rsid w:val="009A3785"/>
    <w:rsid w:val="009A39A9"/>
    <w:rsid w:val="009A3BEF"/>
    <w:rsid w:val="009B0884"/>
    <w:rsid w:val="009B1162"/>
    <w:rsid w:val="009B1507"/>
    <w:rsid w:val="009B349C"/>
    <w:rsid w:val="009B4D67"/>
    <w:rsid w:val="009B67B6"/>
    <w:rsid w:val="009B7F57"/>
    <w:rsid w:val="009C0197"/>
    <w:rsid w:val="009C24B5"/>
    <w:rsid w:val="009C296E"/>
    <w:rsid w:val="009C367C"/>
    <w:rsid w:val="009C5E5E"/>
    <w:rsid w:val="009C5EA3"/>
    <w:rsid w:val="009C6DFC"/>
    <w:rsid w:val="009C7AC7"/>
    <w:rsid w:val="009D0ABD"/>
    <w:rsid w:val="009D276A"/>
    <w:rsid w:val="009D2D5C"/>
    <w:rsid w:val="009D3323"/>
    <w:rsid w:val="009D338F"/>
    <w:rsid w:val="009D49A1"/>
    <w:rsid w:val="009D50D8"/>
    <w:rsid w:val="009D75D2"/>
    <w:rsid w:val="009D789A"/>
    <w:rsid w:val="009D7BC1"/>
    <w:rsid w:val="009E06BF"/>
    <w:rsid w:val="009E107A"/>
    <w:rsid w:val="009E20DA"/>
    <w:rsid w:val="009E3C5F"/>
    <w:rsid w:val="009E41F8"/>
    <w:rsid w:val="009E4453"/>
    <w:rsid w:val="009E5A12"/>
    <w:rsid w:val="009E5FB1"/>
    <w:rsid w:val="009F0A4E"/>
    <w:rsid w:val="009F33ED"/>
    <w:rsid w:val="009F34DB"/>
    <w:rsid w:val="009F3F73"/>
    <w:rsid w:val="009F4CE7"/>
    <w:rsid w:val="009F57A3"/>
    <w:rsid w:val="009F75D1"/>
    <w:rsid w:val="00A00105"/>
    <w:rsid w:val="00A004A9"/>
    <w:rsid w:val="00A01958"/>
    <w:rsid w:val="00A03284"/>
    <w:rsid w:val="00A039D2"/>
    <w:rsid w:val="00A056E4"/>
    <w:rsid w:val="00A07E57"/>
    <w:rsid w:val="00A10E6A"/>
    <w:rsid w:val="00A1104B"/>
    <w:rsid w:val="00A115F9"/>
    <w:rsid w:val="00A126EE"/>
    <w:rsid w:val="00A1362F"/>
    <w:rsid w:val="00A13B13"/>
    <w:rsid w:val="00A15191"/>
    <w:rsid w:val="00A20C58"/>
    <w:rsid w:val="00A212D0"/>
    <w:rsid w:val="00A227BB"/>
    <w:rsid w:val="00A22C40"/>
    <w:rsid w:val="00A22C75"/>
    <w:rsid w:val="00A22D57"/>
    <w:rsid w:val="00A265E6"/>
    <w:rsid w:val="00A27A06"/>
    <w:rsid w:val="00A3003F"/>
    <w:rsid w:val="00A309CE"/>
    <w:rsid w:val="00A30B01"/>
    <w:rsid w:val="00A31120"/>
    <w:rsid w:val="00A3161B"/>
    <w:rsid w:val="00A31D11"/>
    <w:rsid w:val="00A348CC"/>
    <w:rsid w:val="00A40BD0"/>
    <w:rsid w:val="00A4153E"/>
    <w:rsid w:val="00A41A02"/>
    <w:rsid w:val="00A45071"/>
    <w:rsid w:val="00A4586B"/>
    <w:rsid w:val="00A45D61"/>
    <w:rsid w:val="00A477B7"/>
    <w:rsid w:val="00A5041B"/>
    <w:rsid w:val="00A52E63"/>
    <w:rsid w:val="00A53E70"/>
    <w:rsid w:val="00A54309"/>
    <w:rsid w:val="00A54FB1"/>
    <w:rsid w:val="00A55C04"/>
    <w:rsid w:val="00A55C49"/>
    <w:rsid w:val="00A56CF9"/>
    <w:rsid w:val="00A56E6F"/>
    <w:rsid w:val="00A614CC"/>
    <w:rsid w:val="00A624CE"/>
    <w:rsid w:val="00A626B4"/>
    <w:rsid w:val="00A6435C"/>
    <w:rsid w:val="00A6668C"/>
    <w:rsid w:val="00A66B07"/>
    <w:rsid w:val="00A705F8"/>
    <w:rsid w:val="00A71196"/>
    <w:rsid w:val="00A71765"/>
    <w:rsid w:val="00A720D2"/>
    <w:rsid w:val="00A7216E"/>
    <w:rsid w:val="00A741F8"/>
    <w:rsid w:val="00A7633A"/>
    <w:rsid w:val="00A77298"/>
    <w:rsid w:val="00A81346"/>
    <w:rsid w:val="00A82ED3"/>
    <w:rsid w:val="00A84FFE"/>
    <w:rsid w:val="00A866EB"/>
    <w:rsid w:val="00A86F2F"/>
    <w:rsid w:val="00A87BA0"/>
    <w:rsid w:val="00A902A6"/>
    <w:rsid w:val="00A91E7C"/>
    <w:rsid w:val="00A92D42"/>
    <w:rsid w:val="00A93C8F"/>
    <w:rsid w:val="00A95521"/>
    <w:rsid w:val="00A958C5"/>
    <w:rsid w:val="00A95B94"/>
    <w:rsid w:val="00A969E0"/>
    <w:rsid w:val="00AA2B17"/>
    <w:rsid w:val="00AA3E6A"/>
    <w:rsid w:val="00AA5699"/>
    <w:rsid w:val="00AA665A"/>
    <w:rsid w:val="00AA699F"/>
    <w:rsid w:val="00AA6D4E"/>
    <w:rsid w:val="00AA7AA5"/>
    <w:rsid w:val="00AB0C1B"/>
    <w:rsid w:val="00AB21BE"/>
    <w:rsid w:val="00AB2A5A"/>
    <w:rsid w:val="00AB5594"/>
    <w:rsid w:val="00AC045B"/>
    <w:rsid w:val="00AC332F"/>
    <w:rsid w:val="00AC607D"/>
    <w:rsid w:val="00AC64E1"/>
    <w:rsid w:val="00AC688A"/>
    <w:rsid w:val="00AC7287"/>
    <w:rsid w:val="00AC7484"/>
    <w:rsid w:val="00AD0022"/>
    <w:rsid w:val="00AD0D24"/>
    <w:rsid w:val="00AD3B55"/>
    <w:rsid w:val="00AD45B8"/>
    <w:rsid w:val="00AD45D7"/>
    <w:rsid w:val="00AD5352"/>
    <w:rsid w:val="00AD6A92"/>
    <w:rsid w:val="00AD7D2E"/>
    <w:rsid w:val="00AE2309"/>
    <w:rsid w:val="00AE26B6"/>
    <w:rsid w:val="00AE5A99"/>
    <w:rsid w:val="00AE5E8C"/>
    <w:rsid w:val="00AF0281"/>
    <w:rsid w:val="00AF08D4"/>
    <w:rsid w:val="00AF2042"/>
    <w:rsid w:val="00AF2997"/>
    <w:rsid w:val="00AF2E11"/>
    <w:rsid w:val="00AF337D"/>
    <w:rsid w:val="00AF41C4"/>
    <w:rsid w:val="00AF54D1"/>
    <w:rsid w:val="00AF5C4C"/>
    <w:rsid w:val="00AF5E9A"/>
    <w:rsid w:val="00AF62F1"/>
    <w:rsid w:val="00AF6375"/>
    <w:rsid w:val="00AF6563"/>
    <w:rsid w:val="00AF77BD"/>
    <w:rsid w:val="00AF7819"/>
    <w:rsid w:val="00B010AE"/>
    <w:rsid w:val="00B026E2"/>
    <w:rsid w:val="00B03123"/>
    <w:rsid w:val="00B03506"/>
    <w:rsid w:val="00B04F89"/>
    <w:rsid w:val="00B05D0C"/>
    <w:rsid w:val="00B0666C"/>
    <w:rsid w:val="00B0779C"/>
    <w:rsid w:val="00B1116F"/>
    <w:rsid w:val="00B17844"/>
    <w:rsid w:val="00B20787"/>
    <w:rsid w:val="00B23A56"/>
    <w:rsid w:val="00B24839"/>
    <w:rsid w:val="00B260FF"/>
    <w:rsid w:val="00B30C7C"/>
    <w:rsid w:val="00B32384"/>
    <w:rsid w:val="00B326C5"/>
    <w:rsid w:val="00B35776"/>
    <w:rsid w:val="00B3600D"/>
    <w:rsid w:val="00B3632E"/>
    <w:rsid w:val="00B36580"/>
    <w:rsid w:val="00B365D7"/>
    <w:rsid w:val="00B366EF"/>
    <w:rsid w:val="00B36C9C"/>
    <w:rsid w:val="00B371C0"/>
    <w:rsid w:val="00B40CB0"/>
    <w:rsid w:val="00B423FB"/>
    <w:rsid w:val="00B42B6B"/>
    <w:rsid w:val="00B4324B"/>
    <w:rsid w:val="00B43EA0"/>
    <w:rsid w:val="00B447DA"/>
    <w:rsid w:val="00B4625B"/>
    <w:rsid w:val="00B46372"/>
    <w:rsid w:val="00B4792D"/>
    <w:rsid w:val="00B51574"/>
    <w:rsid w:val="00B51AD6"/>
    <w:rsid w:val="00B51C0D"/>
    <w:rsid w:val="00B5398D"/>
    <w:rsid w:val="00B558DC"/>
    <w:rsid w:val="00B57D08"/>
    <w:rsid w:val="00B6088E"/>
    <w:rsid w:val="00B60B97"/>
    <w:rsid w:val="00B60DB8"/>
    <w:rsid w:val="00B62644"/>
    <w:rsid w:val="00B661A9"/>
    <w:rsid w:val="00B66291"/>
    <w:rsid w:val="00B665C9"/>
    <w:rsid w:val="00B66C69"/>
    <w:rsid w:val="00B6728E"/>
    <w:rsid w:val="00B70E52"/>
    <w:rsid w:val="00B713B4"/>
    <w:rsid w:val="00B7261B"/>
    <w:rsid w:val="00B73D1A"/>
    <w:rsid w:val="00B744D5"/>
    <w:rsid w:val="00B80424"/>
    <w:rsid w:val="00B80D2B"/>
    <w:rsid w:val="00B81630"/>
    <w:rsid w:val="00B81B03"/>
    <w:rsid w:val="00B81F66"/>
    <w:rsid w:val="00B825A5"/>
    <w:rsid w:val="00B847B8"/>
    <w:rsid w:val="00B86341"/>
    <w:rsid w:val="00B86AB3"/>
    <w:rsid w:val="00B8793C"/>
    <w:rsid w:val="00B92584"/>
    <w:rsid w:val="00B9258A"/>
    <w:rsid w:val="00B936A7"/>
    <w:rsid w:val="00B95A3A"/>
    <w:rsid w:val="00B95D85"/>
    <w:rsid w:val="00B96ABE"/>
    <w:rsid w:val="00B97898"/>
    <w:rsid w:val="00BA02E9"/>
    <w:rsid w:val="00BA1072"/>
    <w:rsid w:val="00BA2233"/>
    <w:rsid w:val="00BA3BDF"/>
    <w:rsid w:val="00BB1D43"/>
    <w:rsid w:val="00BB3871"/>
    <w:rsid w:val="00BB38A1"/>
    <w:rsid w:val="00BB639E"/>
    <w:rsid w:val="00BB6F63"/>
    <w:rsid w:val="00BC0FC7"/>
    <w:rsid w:val="00BC26F2"/>
    <w:rsid w:val="00BC445A"/>
    <w:rsid w:val="00BC582B"/>
    <w:rsid w:val="00BC6E6F"/>
    <w:rsid w:val="00BD116A"/>
    <w:rsid w:val="00BD3B79"/>
    <w:rsid w:val="00BD491F"/>
    <w:rsid w:val="00BD51DD"/>
    <w:rsid w:val="00BE053F"/>
    <w:rsid w:val="00BE1034"/>
    <w:rsid w:val="00BE176C"/>
    <w:rsid w:val="00BE1BBA"/>
    <w:rsid w:val="00BE232A"/>
    <w:rsid w:val="00BE247E"/>
    <w:rsid w:val="00BE2A92"/>
    <w:rsid w:val="00BE2D57"/>
    <w:rsid w:val="00BE371C"/>
    <w:rsid w:val="00BE563A"/>
    <w:rsid w:val="00BF2A27"/>
    <w:rsid w:val="00BF3E8E"/>
    <w:rsid w:val="00BF529B"/>
    <w:rsid w:val="00C0091A"/>
    <w:rsid w:val="00C01BD7"/>
    <w:rsid w:val="00C028AF"/>
    <w:rsid w:val="00C0319F"/>
    <w:rsid w:val="00C03210"/>
    <w:rsid w:val="00C036E2"/>
    <w:rsid w:val="00C03857"/>
    <w:rsid w:val="00C042A4"/>
    <w:rsid w:val="00C06999"/>
    <w:rsid w:val="00C07A0C"/>
    <w:rsid w:val="00C1086E"/>
    <w:rsid w:val="00C12500"/>
    <w:rsid w:val="00C12E00"/>
    <w:rsid w:val="00C13A73"/>
    <w:rsid w:val="00C170A5"/>
    <w:rsid w:val="00C21E23"/>
    <w:rsid w:val="00C24755"/>
    <w:rsid w:val="00C24F96"/>
    <w:rsid w:val="00C25687"/>
    <w:rsid w:val="00C3120D"/>
    <w:rsid w:val="00C32E9C"/>
    <w:rsid w:val="00C3383D"/>
    <w:rsid w:val="00C33B83"/>
    <w:rsid w:val="00C340F4"/>
    <w:rsid w:val="00C342A3"/>
    <w:rsid w:val="00C37BBE"/>
    <w:rsid w:val="00C4017F"/>
    <w:rsid w:val="00C417A8"/>
    <w:rsid w:val="00C422DE"/>
    <w:rsid w:val="00C42F66"/>
    <w:rsid w:val="00C43770"/>
    <w:rsid w:val="00C4391A"/>
    <w:rsid w:val="00C452CD"/>
    <w:rsid w:val="00C4575D"/>
    <w:rsid w:val="00C45B2C"/>
    <w:rsid w:val="00C4623F"/>
    <w:rsid w:val="00C527E9"/>
    <w:rsid w:val="00C533E1"/>
    <w:rsid w:val="00C54254"/>
    <w:rsid w:val="00C557F5"/>
    <w:rsid w:val="00C55880"/>
    <w:rsid w:val="00C56451"/>
    <w:rsid w:val="00C56EF0"/>
    <w:rsid w:val="00C6115A"/>
    <w:rsid w:val="00C63992"/>
    <w:rsid w:val="00C63FD5"/>
    <w:rsid w:val="00C65B2D"/>
    <w:rsid w:val="00C66879"/>
    <w:rsid w:val="00C702C0"/>
    <w:rsid w:val="00C70A18"/>
    <w:rsid w:val="00C73FB5"/>
    <w:rsid w:val="00C761FA"/>
    <w:rsid w:val="00C77B9A"/>
    <w:rsid w:val="00C801BC"/>
    <w:rsid w:val="00C8160D"/>
    <w:rsid w:val="00C81961"/>
    <w:rsid w:val="00C81A01"/>
    <w:rsid w:val="00C84CB2"/>
    <w:rsid w:val="00C84D7B"/>
    <w:rsid w:val="00C8544A"/>
    <w:rsid w:val="00C900BB"/>
    <w:rsid w:val="00C908C0"/>
    <w:rsid w:val="00C90E58"/>
    <w:rsid w:val="00C920F7"/>
    <w:rsid w:val="00C92B5D"/>
    <w:rsid w:val="00C93745"/>
    <w:rsid w:val="00C94521"/>
    <w:rsid w:val="00C9735C"/>
    <w:rsid w:val="00CA02AB"/>
    <w:rsid w:val="00CA256A"/>
    <w:rsid w:val="00CA3E53"/>
    <w:rsid w:val="00CA5FAB"/>
    <w:rsid w:val="00CA79A8"/>
    <w:rsid w:val="00CB0507"/>
    <w:rsid w:val="00CB0935"/>
    <w:rsid w:val="00CB1F99"/>
    <w:rsid w:val="00CB2855"/>
    <w:rsid w:val="00CB2CFD"/>
    <w:rsid w:val="00CB34E3"/>
    <w:rsid w:val="00CB367F"/>
    <w:rsid w:val="00CB50C8"/>
    <w:rsid w:val="00CB5AE8"/>
    <w:rsid w:val="00CB7739"/>
    <w:rsid w:val="00CB7E49"/>
    <w:rsid w:val="00CC0502"/>
    <w:rsid w:val="00CC4D86"/>
    <w:rsid w:val="00CC7AF5"/>
    <w:rsid w:val="00CD2429"/>
    <w:rsid w:val="00CD33DA"/>
    <w:rsid w:val="00CD36FE"/>
    <w:rsid w:val="00CD5031"/>
    <w:rsid w:val="00CD6EC8"/>
    <w:rsid w:val="00CD711D"/>
    <w:rsid w:val="00CD7EB4"/>
    <w:rsid w:val="00CD7FA7"/>
    <w:rsid w:val="00CE0EC2"/>
    <w:rsid w:val="00CE2CEA"/>
    <w:rsid w:val="00CE2DE4"/>
    <w:rsid w:val="00CE5A08"/>
    <w:rsid w:val="00CE5B97"/>
    <w:rsid w:val="00CE61E9"/>
    <w:rsid w:val="00CE7705"/>
    <w:rsid w:val="00CE7935"/>
    <w:rsid w:val="00CE7F80"/>
    <w:rsid w:val="00CF0041"/>
    <w:rsid w:val="00CF1408"/>
    <w:rsid w:val="00CF2AE3"/>
    <w:rsid w:val="00CF2B71"/>
    <w:rsid w:val="00CF6A2C"/>
    <w:rsid w:val="00CF7135"/>
    <w:rsid w:val="00CF7C39"/>
    <w:rsid w:val="00D01809"/>
    <w:rsid w:val="00D022DA"/>
    <w:rsid w:val="00D02968"/>
    <w:rsid w:val="00D03272"/>
    <w:rsid w:val="00D04901"/>
    <w:rsid w:val="00D04CBE"/>
    <w:rsid w:val="00D10603"/>
    <w:rsid w:val="00D11169"/>
    <w:rsid w:val="00D13B6A"/>
    <w:rsid w:val="00D1584E"/>
    <w:rsid w:val="00D15949"/>
    <w:rsid w:val="00D15A85"/>
    <w:rsid w:val="00D1755B"/>
    <w:rsid w:val="00D176F0"/>
    <w:rsid w:val="00D2092D"/>
    <w:rsid w:val="00D21509"/>
    <w:rsid w:val="00D22AC1"/>
    <w:rsid w:val="00D22AFF"/>
    <w:rsid w:val="00D2572D"/>
    <w:rsid w:val="00D26486"/>
    <w:rsid w:val="00D26593"/>
    <w:rsid w:val="00D27C6D"/>
    <w:rsid w:val="00D306A2"/>
    <w:rsid w:val="00D31912"/>
    <w:rsid w:val="00D32068"/>
    <w:rsid w:val="00D337DB"/>
    <w:rsid w:val="00D34031"/>
    <w:rsid w:val="00D346B3"/>
    <w:rsid w:val="00D36D25"/>
    <w:rsid w:val="00D374D0"/>
    <w:rsid w:val="00D40245"/>
    <w:rsid w:val="00D41404"/>
    <w:rsid w:val="00D42465"/>
    <w:rsid w:val="00D43733"/>
    <w:rsid w:val="00D447CB"/>
    <w:rsid w:val="00D44D54"/>
    <w:rsid w:val="00D46F7B"/>
    <w:rsid w:val="00D47A9A"/>
    <w:rsid w:val="00D47F4B"/>
    <w:rsid w:val="00D51AA4"/>
    <w:rsid w:val="00D51AEB"/>
    <w:rsid w:val="00D5378F"/>
    <w:rsid w:val="00D5439C"/>
    <w:rsid w:val="00D54EB1"/>
    <w:rsid w:val="00D54F3B"/>
    <w:rsid w:val="00D55CAF"/>
    <w:rsid w:val="00D566A5"/>
    <w:rsid w:val="00D601DD"/>
    <w:rsid w:val="00D6044D"/>
    <w:rsid w:val="00D633B9"/>
    <w:rsid w:val="00D7083B"/>
    <w:rsid w:val="00D7097D"/>
    <w:rsid w:val="00D7208E"/>
    <w:rsid w:val="00D72BDE"/>
    <w:rsid w:val="00D73086"/>
    <w:rsid w:val="00D737F9"/>
    <w:rsid w:val="00D73AA9"/>
    <w:rsid w:val="00D73DF1"/>
    <w:rsid w:val="00D74B5A"/>
    <w:rsid w:val="00D74E17"/>
    <w:rsid w:val="00D74EAF"/>
    <w:rsid w:val="00D757E7"/>
    <w:rsid w:val="00D75E16"/>
    <w:rsid w:val="00D7607A"/>
    <w:rsid w:val="00D769B8"/>
    <w:rsid w:val="00D76DAA"/>
    <w:rsid w:val="00D813BA"/>
    <w:rsid w:val="00D81471"/>
    <w:rsid w:val="00D828CE"/>
    <w:rsid w:val="00D8300D"/>
    <w:rsid w:val="00D83BC7"/>
    <w:rsid w:val="00D84BEB"/>
    <w:rsid w:val="00D8502A"/>
    <w:rsid w:val="00D85F35"/>
    <w:rsid w:val="00D8675F"/>
    <w:rsid w:val="00D9028E"/>
    <w:rsid w:val="00D920D5"/>
    <w:rsid w:val="00D926B3"/>
    <w:rsid w:val="00D94DFE"/>
    <w:rsid w:val="00D94F5E"/>
    <w:rsid w:val="00D958F7"/>
    <w:rsid w:val="00D966B8"/>
    <w:rsid w:val="00D96724"/>
    <w:rsid w:val="00D96E99"/>
    <w:rsid w:val="00D97F65"/>
    <w:rsid w:val="00DA1C2C"/>
    <w:rsid w:val="00DA2591"/>
    <w:rsid w:val="00DA2BA3"/>
    <w:rsid w:val="00DA572C"/>
    <w:rsid w:val="00DA5D0D"/>
    <w:rsid w:val="00DA63D7"/>
    <w:rsid w:val="00DB6498"/>
    <w:rsid w:val="00DB7EA9"/>
    <w:rsid w:val="00DC0114"/>
    <w:rsid w:val="00DC1541"/>
    <w:rsid w:val="00DC21BF"/>
    <w:rsid w:val="00DC2D51"/>
    <w:rsid w:val="00DC44BB"/>
    <w:rsid w:val="00DC6BC9"/>
    <w:rsid w:val="00DD014F"/>
    <w:rsid w:val="00DD0930"/>
    <w:rsid w:val="00DD131D"/>
    <w:rsid w:val="00DD143E"/>
    <w:rsid w:val="00DD2646"/>
    <w:rsid w:val="00DD30D4"/>
    <w:rsid w:val="00DD3BCE"/>
    <w:rsid w:val="00DD3C9F"/>
    <w:rsid w:val="00DD7DCC"/>
    <w:rsid w:val="00DE25EC"/>
    <w:rsid w:val="00DE45B3"/>
    <w:rsid w:val="00DE5ED4"/>
    <w:rsid w:val="00DE6C17"/>
    <w:rsid w:val="00DE6F9D"/>
    <w:rsid w:val="00DE78CE"/>
    <w:rsid w:val="00DF4722"/>
    <w:rsid w:val="00DF4EF0"/>
    <w:rsid w:val="00DF7212"/>
    <w:rsid w:val="00E00D48"/>
    <w:rsid w:val="00E026E5"/>
    <w:rsid w:val="00E02A95"/>
    <w:rsid w:val="00E03A0B"/>
    <w:rsid w:val="00E04663"/>
    <w:rsid w:val="00E07CC8"/>
    <w:rsid w:val="00E07EAF"/>
    <w:rsid w:val="00E10908"/>
    <w:rsid w:val="00E1584B"/>
    <w:rsid w:val="00E16CCD"/>
    <w:rsid w:val="00E17610"/>
    <w:rsid w:val="00E2054D"/>
    <w:rsid w:val="00E2160E"/>
    <w:rsid w:val="00E21FF3"/>
    <w:rsid w:val="00E232BC"/>
    <w:rsid w:val="00E25070"/>
    <w:rsid w:val="00E254F3"/>
    <w:rsid w:val="00E26287"/>
    <w:rsid w:val="00E30ABC"/>
    <w:rsid w:val="00E30DBC"/>
    <w:rsid w:val="00E327FB"/>
    <w:rsid w:val="00E333E5"/>
    <w:rsid w:val="00E334A2"/>
    <w:rsid w:val="00E341FC"/>
    <w:rsid w:val="00E34F2D"/>
    <w:rsid w:val="00E35DF8"/>
    <w:rsid w:val="00E3710B"/>
    <w:rsid w:val="00E377FA"/>
    <w:rsid w:val="00E408D5"/>
    <w:rsid w:val="00E42824"/>
    <w:rsid w:val="00E44767"/>
    <w:rsid w:val="00E44A7B"/>
    <w:rsid w:val="00E46662"/>
    <w:rsid w:val="00E47729"/>
    <w:rsid w:val="00E47741"/>
    <w:rsid w:val="00E50A69"/>
    <w:rsid w:val="00E53B86"/>
    <w:rsid w:val="00E54C08"/>
    <w:rsid w:val="00E56B91"/>
    <w:rsid w:val="00E56FB0"/>
    <w:rsid w:val="00E57C1E"/>
    <w:rsid w:val="00E60C79"/>
    <w:rsid w:val="00E60E79"/>
    <w:rsid w:val="00E65B6E"/>
    <w:rsid w:val="00E65C73"/>
    <w:rsid w:val="00E66E98"/>
    <w:rsid w:val="00E70805"/>
    <w:rsid w:val="00E71026"/>
    <w:rsid w:val="00E726AC"/>
    <w:rsid w:val="00E72DC2"/>
    <w:rsid w:val="00E734C6"/>
    <w:rsid w:val="00E75A99"/>
    <w:rsid w:val="00E80A64"/>
    <w:rsid w:val="00E81339"/>
    <w:rsid w:val="00E81442"/>
    <w:rsid w:val="00E81F69"/>
    <w:rsid w:val="00E82933"/>
    <w:rsid w:val="00E83B25"/>
    <w:rsid w:val="00E84CD3"/>
    <w:rsid w:val="00E84D00"/>
    <w:rsid w:val="00E84D4B"/>
    <w:rsid w:val="00E856D4"/>
    <w:rsid w:val="00E8585D"/>
    <w:rsid w:val="00E86560"/>
    <w:rsid w:val="00E90BF1"/>
    <w:rsid w:val="00E90F08"/>
    <w:rsid w:val="00E91182"/>
    <w:rsid w:val="00E93B6A"/>
    <w:rsid w:val="00E94363"/>
    <w:rsid w:val="00E94F33"/>
    <w:rsid w:val="00E966AC"/>
    <w:rsid w:val="00E96DED"/>
    <w:rsid w:val="00E97691"/>
    <w:rsid w:val="00EA1062"/>
    <w:rsid w:val="00EA3EF7"/>
    <w:rsid w:val="00EA4FD5"/>
    <w:rsid w:val="00EA7476"/>
    <w:rsid w:val="00EA794F"/>
    <w:rsid w:val="00EA7F77"/>
    <w:rsid w:val="00EB1888"/>
    <w:rsid w:val="00EB300D"/>
    <w:rsid w:val="00EB33DB"/>
    <w:rsid w:val="00EB426B"/>
    <w:rsid w:val="00EB4E05"/>
    <w:rsid w:val="00EB4F02"/>
    <w:rsid w:val="00EC36BC"/>
    <w:rsid w:val="00EC3DC5"/>
    <w:rsid w:val="00EC4BEA"/>
    <w:rsid w:val="00EC74DA"/>
    <w:rsid w:val="00EC7873"/>
    <w:rsid w:val="00EC788D"/>
    <w:rsid w:val="00EC7CEB"/>
    <w:rsid w:val="00EC7FED"/>
    <w:rsid w:val="00ED3881"/>
    <w:rsid w:val="00ED3E90"/>
    <w:rsid w:val="00ED45B9"/>
    <w:rsid w:val="00ED53C8"/>
    <w:rsid w:val="00ED7BCE"/>
    <w:rsid w:val="00EE08BE"/>
    <w:rsid w:val="00EE36AE"/>
    <w:rsid w:val="00EE3AE6"/>
    <w:rsid w:val="00EE5117"/>
    <w:rsid w:val="00EE617C"/>
    <w:rsid w:val="00EE63EB"/>
    <w:rsid w:val="00EE6AC6"/>
    <w:rsid w:val="00EE73BC"/>
    <w:rsid w:val="00EF1667"/>
    <w:rsid w:val="00EF1B26"/>
    <w:rsid w:val="00EF2A5F"/>
    <w:rsid w:val="00EF382A"/>
    <w:rsid w:val="00EF6C78"/>
    <w:rsid w:val="00F0182F"/>
    <w:rsid w:val="00F01FA9"/>
    <w:rsid w:val="00F03834"/>
    <w:rsid w:val="00F05659"/>
    <w:rsid w:val="00F05E5D"/>
    <w:rsid w:val="00F10892"/>
    <w:rsid w:val="00F11E4C"/>
    <w:rsid w:val="00F11EC3"/>
    <w:rsid w:val="00F12A77"/>
    <w:rsid w:val="00F12D34"/>
    <w:rsid w:val="00F147B4"/>
    <w:rsid w:val="00F15358"/>
    <w:rsid w:val="00F15614"/>
    <w:rsid w:val="00F15632"/>
    <w:rsid w:val="00F15D58"/>
    <w:rsid w:val="00F20E2A"/>
    <w:rsid w:val="00F21EE1"/>
    <w:rsid w:val="00F22590"/>
    <w:rsid w:val="00F2372A"/>
    <w:rsid w:val="00F255C7"/>
    <w:rsid w:val="00F25A9A"/>
    <w:rsid w:val="00F25BE0"/>
    <w:rsid w:val="00F3002D"/>
    <w:rsid w:val="00F313F1"/>
    <w:rsid w:val="00F315EA"/>
    <w:rsid w:val="00F31754"/>
    <w:rsid w:val="00F32196"/>
    <w:rsid w:val="00F33A38"/>
    <w:rsid w:val="00F343D9"/>
    <w:rsid w:val="00F360FB"/>
    <w:rsid w:val="00F374EA"/>
    <w:rsid w:val="00F40242"/>
    <w:rsid w:val="00F403FE"/>
    <w:rsid w:val="00F41E8A"/>
    <w:rsid w:val="00F42B3D"/>
    <w:rsid w:val="00F43C36"/>
    <w:rsid w:val="00F4446E"/>
    <w:rsid w:val="00F4474C"/>
    <w:rsid w:val="00F47B54"/>
    <w:rsid w:val="00F509ED"/>
    <w:rsid w:val="00F53054"/>
    <w:rsid w:val="00F53D88"/>
    <w:rsid w:val="00F541CF"/>
    <w:rsid w:val="00F5424C"/>
    <w:rsid w:val="00F54989"/>
    <w:rsid w:val="00F5573E"/>
    <w:rsid w:val="00F56823"/>
    <w:rsid w:val="00F651A4"/>
    <w:rsid w:val="00F67E74"/>
    <w:rsid w:val="00F71C95"/>
    <w:rsid w:val="00F72389"/>
    <w:rsid w:val="00F73B28"/>
    <w:rsid w:val="00F74C25"/>
    <w:rsid w:val="00F755E9"/>
    <w:rsid w:val="00F7578D"/>
    <w:rsid w:val="00F758DB"/>
    <w:rsid w:val="00F80157"/>
    <w:rsid w:val="00F80A89"/>
    <w:rsid w:val="00F813BF"/>
    <w:rsid w:val="00F825E7"/>
    <w:rsid w:val="00F8279A"/>
    <w:rsid w:val="00F85B75"/>
    <w:rsid w:val="00F8647A"/>
    <w:rsid w:val="00F86480"/>
    <w:rsid w:val="00F87695"/>
    <w:rsid w:val="00F91435"/>
    <w:rsid w:val="00F9290A"/>
    <w:rsid w:val="00F92B0C"/>
    <w:rsid w:val="00F948B3"/>
    <w:rsid w:val="00F95225"/>
    <w:rsid w:val="00F9563D"/>
    <w:rsid w:val="00F960FC"/>
    <w:rsid w:val="00F961F9"/>
    <w:rsid w:val="00F9692D"/>
    <w:rsid w:val="00F96999"/>
    <w:rsid w:val="00FA1B65"/>
    <w:rsid w:val="00FA206F"/>
    <w:rsid w:val="00FA2786"/>
    <w:rsid w:val="00FA51A3"/>
    <w:rsid w:val="00FA59C9"/>
    <w:rsid w:val="00FB2B97"/>
    <w:rsid w:val="00FB3869"/>
    <w:rsid w:val="00FB5227"/>
    <w:rsid w:val="00FB57FA"/>
    <w:rsid w:val="00FB5AEA"/>
    <w:rsid w:val="00FB6614"/>
    <w:rsid w:val="00FB6C63"/>
    <w:rsid w:val="00FB7D8A"/>
    <w:rsid w:val="00FB7F9E"/>
    <w:rsid w:val="00FC08F2"/>
    <w:rsid w:val="00FC0E88"/>
    <w:rsid w:val="00FC2F97"/>
    <w:rsid w:val="00FC3625"/>
    <w:rsid w:val="00FC5148"/>
    <w:rsid w:val="00FC6943"/>
    <w:rsid w:val="00FC6D1C"/>
    <w:rsid w:val="00FC7258"/>
    <w:rsid w:val="00FC7804"/>
    <w:rsid w:val="00FD101E"/>
    <w:rsid w:val="00FD12B2"/>
    <w:rsid w:val="00FD130A"/>
    <w:rsid w:val="00FD2116"/>
    <w:rsid w:val="00FD2230"/>
    <w:rsid w:val="00FD23FA"/>
    <w:rsid w:val="00FD26E7"/>
    <w:rsid w:val="00FD3816"/>
    <w:rsid w:val="00FD38BA"/>
    <w:rsid w:val="00FD3954"/>
    <w:rsid w:val="00FD3BB3"/>
    <w:rsid w:val="00FD5B0E"/>
    <w:rsid w:val="00FD5FB3"/>
    <w:rsid w:val="00FE079C"/>
    <w:rsid w:val="00FE2B44"/>
    <w:rsid w:val="00FE2E7D"/>
    <w:rsid w:val="00FE31B7"/>
    <w:rsid w:val="00FE336B"/>
    <w:rsid w:val="00FE5373"/>
    <w:rsid w:val="00FE5AC3"/>
    <w:rsid w:val="00FE5C0A"/>
    <w:rsid w:val="00FE61D3"/>
    <w:rsid w:val="00FF12F6"/>
    <w:rsid w:val="00FF185F"/>
    <w:rsid w:val="00FF269C"/>
    <w:rsid w:val="00FF2DF2"/>
    <w:rsid w:val="00FF2E74"/>
    <w:rsid w:val="00FF7F95"/>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69356F"/>
  <w15:docId w15:val="{AC6EADED-30FF-4BF9-A288-52A00D56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229"/>
    <w:rPr>
      <w:rFonts w:ascii="Times New Roman" w:eastAsia="Times New Roman" w:hAnsi="Times New Roman"/>
      <w:sz w:val="24"/>
      <w:szCs w:val="24"/>
      <w:lang w:eastAsia="en-US"/>
    </w:rPr>
  </w:style>
  <w:style w:type="paragraph" w:styleId="1">
    <w:name w:val="heading 1"/>
    <w:basedOn w:val="a"/>
    <w:next w:val="a"/>
    <w:link w:val="10"/>
    <w:uiPriority w:val="9"/>
    <w:qFormat/>
    <w:rsid w:val="00312B5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312B51"/>
    <w:pPr>
      <w:keepNext/>
      <w:spacing w:after="100"/>
      <w:outlineLvl w:val="1"/>
    </w:pPr>
    <w:rPr>
      <w:rFonts w:ascii="Arial Bold" w:hAnsi="Arial Bold"/>
      <w:b/>
      <w:color w:val="000000"/>
      <w:sz w:val="18"/>
    </w:rPr>
  </w:style>
  <w:style w:type="paragraph" w:styleId="3">
    <w:name w:val="heading 3"/>
    <w:basedOn w:val="a"/>
    <w:next w:val="a"/>
    <w:link w:val="30"/>
    <w:uiPriority w:val="9"/>
    <w:qFormat/>
    <w:rsid w:val="00312B51"/>
    <w:pPr>
      <w:keepNext/>
      <w:spacing w:before="240" w:after="60"/>
      <w:outlineLvl w:val="2"/>
    </w:pPr>
    <w:rPr>
      <w:rFonts w:ascii="Arial" w:hAnsi="Arial" w:cs="Arial"/>
      <w:b/>
      <w:bCs/>
      <w:sz w:val="26"/>
      <w:szCs w:val="26"/>
      <w:lang w:val="en-US"/>
    </w:rPr>
  </w:style>
  <w:style w:type="paragraph" w:styleId="4">
    <w:name w:val="heading 4"/>
    <w:basedOn w:val="a"/>
    <w:next w:val="a"/>
    <w:link w:val="40"/>
    <w:qFormat/>
    <w:rsid w:val="00312B51"/>
    <w:pPr>
      <w:keepNext/>
      <w:tabs>
        <w:tab w:val="left" w:pos="520"/>
        <w:tab w:val="left" w:pos="567"/>
        <w:tab w:val="left" w:pos="1100"/>
        <w:tab w:val="left" w:pos="1276"/>
        <w:tab w:val="left" w:pos="1700"/>
        <w:tab w:val="left" w:pos="8060"/>
        <w:tab w:val="left" w:pos="8560"/>
        <w:tab w:val="left" w:pos="9280"/>
      </w:tabs>
      <w:ind w:right="19"/>
      <w:outlineLvl w:val="3"/>
    </w:pPr>
    <w:rPr>
      <w:rFonts w:ascii="Times" w:eastAsia="Times" w:hAnsi="Times"/>
      <w:b/>
      <w:sz w:val="22"/>
      <w:szCs w:val="20"/>
      <w:lang w:val="en-GB" w:eastAsia="en-AU"/>
    </w:rPr>
  </w:style>
  <w:style w:type="paragraph" w:styleId="5">
    <w:name w:val="heading 5"/>
    <w:basedOn w:val="a"/>
    <w:next w:val="a"/>
    <w:link w:val="50"/>
    <w:qFormat/>
    <w:rsid w:val="00312B51"/>
    <w:pPr>
      <w:spacing w:before="240" w:after="60"/>
      <w:outlineLvl w:val="4"/>
    </w:pPr>
    <w:rPr>
      <w:b/>
      <w:bCs/>
      <w:i/>
      <w:iCs/>
      <w:sz w:val="26"/>
      <w:szCs w:val="26"/>
    </w:rPr>
  </w:style>
  <w:style w:type="paragraph" w:styleId="6">
    <w:name w:val="heading 6"/>
    <w:basedOn w:val="a"/>
    <w:next w:val="a"/>
    <w:link w:val="60"/>
    <w:qFormat/>
    <w:rsid w:val="00312B51"/>
    <w:pPr>
      <w:keepNext/>
      <w:tabs>
        <w:tab w:val="left" w:pos="567"/>
        <w:tab w:val="left" w:pos="1276"/>
        <w:tab w:val="left" w:pos="8060"/>
        <w:tab w:val="left" w:pos="8560"/>
        <w:tab w:val="left" w:pos="9280"/>
      </w:tabs>
      <w:ind w:right="19"/>
      <w:jc w:val="center"/>
      <w:outlineLvl w:val="5"/>
    </w:pPr>
    <w:rPr>
      <w:rFonts w:ascii="Times" w:eastAsia="Times" w:hAnsi="Times"/>
      <w:b/>
      <w:sz w:val="22"/>
      <w:szCs w:val="20"/>
      <w:lang w:eastAsia="en-AU"/>
    </w:rPr>
  </w:style>
  <w:style w:type="paragraph" w:styleId="7">
    <w:name w:val="heading 7"/>
    <w:basedOn w:val="a"/>
    <w:next w:val="a"/>
    <w:link w:val="70"/>
    <w:qFormat/>
    <w:rsid w:val="00312B51"/>
    <w:pPr>
      <w:keepNext/>
      <w:tabs>
        <w:tab w:val="left" w:pos="567"/>
        <w:tab w:val="left" w:pos="1276"/>
      </w:tabs>
      <w:outlineLvl w:val="6"/>
    </w:pPr>
    <w:rPr>
      <w:rFonts w:ascii="Arial" w:hAnsi="Arial"/>
      <w:b/>
      <w:sz w:val="20"/>
      <w:szCs w:val="20"/>
      <w:lang w:val="en-GB" w:eastAsia="en-AU"/>
    </w:rPr>
  </w:style>
  <w:style w:type="paragraph" w:styleId="8">
    <w:name w:val="heading 8"/>
    <w:basedOn w:val="a"/>
    <w:next w:val="a"/>
    <w:link w:val="80"/>
    <w:qFormat/>
    <w:rsid w:val="00312B51"/>
    <w:pPr>
      <w:keepNext/>
      <w:tabs>
        <w:tab w:val="left" w:pos="567"/>
        <w:tab w:val="left" w:pos="8222"/>
        <w:tab w:val="right" w:pos="9639"/>
      </w:tabs>
      <w:ind w:left="709" w:right="-206" w:hanging="284"/>
      <w:jc w:val="both"/>
      <w:outlineLvl w:val="7"/>
    </w:pPr>
    <w:rPr>
      <w:rFonts w:ascii="Times" w:eastAsia="Times" w:hAnsi="Times"/>
      <w:b/>
      <w:sz w:val="22"/>
      <w:szCs w:val="20"/>
      <w:lang w:eastAsia="en-AU"/>
    </w:rPr>
  </w:style>
  <w:style w:type="paragraph" w:styleId="9">
    <w:name w:val="heading 9"/>
    <w:basedOn w:val="a"/>
    <w:next w:val="a"/>
    <w:link w:val="90"/>
    <w:qFormat/>
    <w:rsid w:val="00312B51"/>
    <w:pPr>
      <w:keepNext/>
      <w:tabs>
        <w:tab w:val="left" w:pos="567"/>
        <w:tab w:val="right" w:pos="9639"/>
      </w:tabs>
      <w:ind w:left="709" w:right="-206" w:hanging="284"/>
      <w:outlineLvl w:val="8"/>
    </w:pPr>
    <w:rPr>
      <w:rFonts w:ascii="Times" w:eastAsia="Times" w:hAnsi="Times"/>
      <w:b/>
      <w:sz w:val="22"/>
      <w:szCs w:val="20"/>
      <w:lang w:eastAsia="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312B51"/>
    <w:rPr>
      <w:rFonts w:ascii="Cambria" w:eastAsia="Times New Roman" w:hAnsi="Cambria" w:cs="Times New Roman"/>
      <w:b/>
      <w:bCs/>
      <w:kern w:val="32"/>
      <w:sz w:val="32"/>
      <w:szCs w:val="32"/>
    </w:rPr>
  </w:style>
  <w:style w:type="character" w:customStyle="1" w:styleId="20">
    <w:name w:val="標題 2 字元"/>
    <w:link w:val="2"/>
    <w:rsid w:val="00312B51"/>
    <w:rPr>
      <w:rFonts w:ascii="Arial Bold" w:eastAsia="Times New Roman" w:hAnsi="Arial Bold" w:cs="Times New Roman"/>
      <w:b/>
      <w:color w:val="000000"/>
      <w:sz w:val="18"/>
      <w:szCs w:val="24"/>
    </w:rPr>
  </w:style>
  <w:style w:type="character" w:customStyle="1" w:styleId="30">
    <w:name w:val="標題 3 字元"/>
    <w:link w:val="3"/>
    <w:uiPriority w:val="9"/>
    <w:rsid w:val="00312B51"/>
    <w:rPr>
      <w:rFonts w:ascii="Arial" w:eastAsia="Times New Roman" w:hAnsi="Arial" w:cs="Arial"/>
      <w:b/>
      <w:bCs/>
      <w:sz w:val="26"/>
      <w:szCs w:val="26"/>
      <w:lang w:val="en-US"/>
    </w:rPr>
  </w:style>
  <w:style w:type="character" w:customStyle="1" w:styleId="40">
    <w:name w:val="標題 4 字元"/>
    <w:link w:val="4"/>
    <w:rsid w:val="00312B51"/>
    <w:rPr>
      <w:rFonts w:ascii="Times" w:eastAsia="Times" w:hAnsi="Times" w:cs="Times New Roman"/>
      <w:b/>
      <w:szCs w:val="20"/>
      <w:lang w:val="en-GB" w:eastAsia="en-AU"/>
    </w:rPr>
  </w:style>
  <w:style w:type="character" w:customStyle="1" w:styleId="50">
    <w:name w:val="標題 5 字元"/>
    <w:link w:val="5"/>
    <w:rsid w:val="00312B51"/>
    <w:rPr>
      <w:rFonts w:ascii="Times New Roman" w:eastAsia="Times New Roman" w:hAnsi="Times New Roman" w:cs="Times New Roman"/>
      <w:b/>
      <w:bCs/>
      <w:i/>
      <w:iCs/>
      <w:sz w:val="26"/>
      <w:szCs w:val="26"/>
    </w:rPr>
  </w:style>
  <w:style w:type="character" w:customStyle="1" w:styleId="60">
    <w:name w:val="標題 6 字元"/>
    <w:link w:val="6"/>
    <w:rsid w:val="00312B51"/>
    <w:rPr>
      <w:rFonts w:ascii="Times" w:eastAsia="Times" w:hAnsi="Times" w:cs="Times New Roman"/>
      <w:b/>
      <w:szCs w:val="20"/>
      <w:lang w:eastAsia="en-AU"/>
    </w:rPr>
  </w:style>
  <w:style w:type="character" w:customStyle="1" w:styleId="70">
    <w:name w:val="標題 7 字元"/>
    <w:link w:val="7"/>
    <w:rsid w:val="00312B51"/>
    <w:rPr>
      <w:rFonts w:ascii="Arial" w:eastAsia="Times New Roman" w:hAnsi="Arial" w:cs="Times New Roman"/>
      <w:b/>
      <w:sz w:val="20"/>
      <w:szCs w:val="20"/>
      <w:lang w:val="en-GB" w:eastAsia="en-AU"/>
    </w:rPr>
  </w:style>
  <w:style w:type="character" w:customStyle="1" w:styleId="80">
    <w:name w:val="標題 8 字元"/>
    <w:link w:val="8"/>
    <w:rsid w:val="00312B51"/>
    <w:rPr>
      <w:rFonts w:ascii="Times" w:eastAsia="Times" w:hAnsi="Times" w:cs="Times New Roman"/>
      <w:b/>
      <w:szCs w:val="20"/>
      <w:lang w:eastAsia="en-AU"/>
    </w:rPr>
  </w:style>
  <w:style w:type="character" w:customStyle="1" w:styleId="90">
    <w:name w:val="標題 9 字元"/>
    <w:link w:val="9"/>
    <w:rsid w:val="00312B51"/>
    <w:rPr>
      <w:rFonts w:ascii="Times" w:eastAsia="Times" w:hAnsi="Times" w:cs="Times New Roman"/>
      <w:b/>
      <w:szCs w:val="20"/>
      <w:lang w:eastAsia="en-AU"/>
    </w:rPr>
  </w:style>
  <w:style w:type="paragraph" w:styleId="a3">
    <w:name w:val="Body Text"/>
    <w:basedOn w:val="a"/>
    <w:link w:val="a4"/>
    <w:rsid w:val="00312B51"/>
    <w:pPr>
      <w:spacing w:after="100"/>
    </w:pPr>
    <w:rPr>
      <w:rFonts w:ascii="Arial" w:hAnsi="Arial"/>
      <w:color w:val="000000"/>
      <w:sz w:val="18"/>
    </w:rPr>
  </w:style>
  <w:style w:type="character" w:customStyle="1" w:styleId="a4">
    <w:name w:val="本文 字元"/>
    <w:link w:val="a3"/>
    <w:rsid w:val="00312B51"/>
    <w:rPr>
      <w:rFonts w:ascii="Arial" w:eastAsia="Times New Roman" w:hAnsi="Arial" w:cs="Times New Roman"/>
      <w:color w:val="000000"/>
      <w:sz w:val="18"/>
      <w:szCs w:val="24"/>
    </w:rPr>
  </w:style>
  <w:style w:type="paragraph" w:styleId="a5">
    <w:name w:val="header"/>
    <w:basedOn w:val="a"/>
    <w:link w:val="a6"/>
    <w:unhideWhenUsed/>
    <w:rsid w:val="00312B51"/>
    <w:pPr>
      <w:tabs>
        <w:tab w:val="center" w:pos="4513"/>
        <w:tab w:val="right" w:pos="9026"/>
      </w:tabs>
    </w:pPr>
  </w:style>
  <w:style w:type="character" w:customStyle="1" w:styleId="a6">
    <w:name w:val="頁首 字元"/>
    <w:link w:val="a5"/>
    <w:rsid w:val="00312B51"/>
    <w:rPr>
      <w:rFonts w:ascii="Times New Roman" w:eastAsia="Times New Roman" w:hAnsi="Times New Roman" w:cs="Times New Roman"/>
      <w:sz w:val="24"/>
      <w:szCs w:val="24"/>
    </w:rPr>
  </w:style>
  <w:style w:type="paragraph" w:styleId="a7">
    <w:name w:val="footer"/>
    <w:basedOn w:val="a"/>
    <w:link w:val="a8"/>
    <w:uiPriority w:val="99"/>
    <w:unhideWhenUsed/>
    <w:rsid w:val="00312B51"/>
    <w:pPr>
      <w:tabs>
        <w:tab w:val="center" w:pos="4513"/>
        <w:tab w:val="right" w:pos="9026"/>
      </w:tabs>
    </w:pPr>
  </w:style>
  <w:style w:type="character" w:customStyle="1" w:styleId="a8">
    <w:name w:val="頁尾 字元"/>
    <w:link w:val="a7"/>
    <w:uiPriority w:val="99"/>
    <w:rsid w:val="00312B51"/>
    <w:rPr>
      <w:rFonts w:ascii="Times New Roman" w:eastAsia="Times New Roman" w:hAnsi="Times New Roman" w:cs="Times New Roman"/>
      <w:sz w:val="24"/>
      <w:szCs w:val="24"/>
    </w:rPr>
  </w:style>
  <w:style w:type="paragraph" w:styleId="11">
    <w:name w:val="toc 1"/>
    <w:basedOn w:val="a"/>
    <w:next w:val="a"/>
    <w:autoRedefine/>
    <w:uiPriority w:val="39"/>
    <w:rsid w:val="00312B51"/>
    <w:pPr>
      <w:tabs>
        <w:tab w:val="right" w:pos="8931"/>
      </w:tabs>
      <w:spacing w:line="360" w:lineRule="auto"/>
      <w:ind w:right="1"/>
    </w:pPr>
    <w:rPr>
      <w:rFonts w:ascii="Arial" w:hAnsi="Arial" w:cs="Arial"/>
      <w:lang w:val="en-GB"/>
    </w:rPr>
  </w:style>
  <w:style w:type="paragraph" w:styleId="a9">
    <w:name w:val="No Spacing"/>
    <w:link w:val="aa"/>
    <w:uiPriority w:val="1"/>
    <w:qFormat/>
    <w:rsid w:val="00312B51"/>
    <w:rPr>
      <w:rFonts w:eastAsia="Times New Roman"/>
      <w:sz w:val="22"/>
      <w:szCs w:val="22"/>
      <w:lang w:val="en-US" w:eastAsia="en-US"/>
    </w:rPr>
  </w:style>
  <w:style w:type="character" w:customStyle="1" w:styleId="aa">
    <w:name w:val="無間距 字元"/>
    <w:link w:val="a9"/>
    <w:uiPriority w:val="1"/>
    <w:rsid w:val="00312B51"/>
    <w:rPr>
      <w:rFonts w:eastAsia="Times New Roman"/>
      <w:sz w:val="22"/>
      <w:szCs w:val="22"/>
      <w:lang w:val="en-US" w:eastAsia="en-US" w:bidi="ar-SA"/>
    </w:rPr>
  </w:style>
  <w:style w:type="character" w:customStyle="1" w:styleId="ab">
    <w:name w:val="註解方塊文字 字元"/>
    <w:link w:val="ac"/>
    <w:semiHidden/>
    <w:rsid w:val="00312B51"/>
    <w:rPr>
      <w:rFonts w:ascii="Tahoma" w:eastAsia="Times New Roman" w:hAnsi="Tahoma" w:cs="Tahoma"/>
      <w:sz w:val="16"/>
      <w:szCs w:val="16"/>
    </w:rPr>
  </w:style>
  <w:style w:type="paragraph" w:styleId="ac">
    <w:name w:val="Balloon Text"/>
    <w:basedOn w:val="a"/>
    <w:link w:val="ab"/>
    <w:semiHidden/>
    <w:unhideWhenUsed/>
    <w:rsid w:val="00312B51"/>
    <w:rPr>
      <w:rFonts w:ascii="Tahoma" w:hAnsi="Tahoma" w:cs="Tahoma"/>
      <w:sz w:val="16"/>
      <w:szCs w:val="16"/>
    </w:rPr>
  </w:style>
  <w:style w:type="paragraph" w:styleId="Web">
    <w:name w:val="Normal (Web)"/>
    <w:basedOn w:val="a"/>
    <w:uiPriority w:val="99"/>
    <w:rsid w:val="00312B51"/>
    <w:pPr>
      <w:spacing w:before="100" w:beforeAutospacing="1" w:after="100" w:afterAutospacing="1"/>
    </w:pPr>
    <w:rPr>
      <w:lang w:val="en-US"/>
    </w:rPr>
  </w:style>
  <w:style w:type="paragraph" w:styleId="ad">
    <w:name w:val="List Paragraph"/>
    <w:basedOn w:val="a"/>
    <w:uiPriority w:val="34"/>
    <w:qFormat/>
    <w:rsid w:val="00312B51"/>
    <w:pPr>
      <w:ind w:left="720"/>
      <w:contextualSpacing/>
    </w:pPr>
    <w:rPr>
      <w:lang w:eastAsia="en-AU"/>
    </w:rPr>
  </w:style>
  <w:style w:type="paragraph" w:customStyle="1" w:styleId="Default">
    <w:name w:val="Default"/>
    <w:rsid w:val="00312B51"/>
    <w:pPr>
      <w:autoSpaceDE w:val="0"/>
      <w:autoSpaceDN w:val="0"/>
      <w:adjustRightInd w:val="0"/>
    </w:pPr>
    <w:rPr>
      <w:rFonts w:ascii="Arial" w:hAnsi="Arial" w:cs="Arial"/>
      <w:color w:val="000000"/>
      <w:sz w:val="24"/>
      <w:szCs w:val="24"/>
    </w:rPr>
  </w:style>
  <w:style w:type="character" w:styleId="ae">
    <w:name w:val="Hyperlink"/>
    <w:uiPriority w:val="99"/>
    <w:rsid w:val="00312B51"/>
    <w:rPr>
      <w:color w:val="000000"/>
      <w:u w:val="single"/>
    </w:rPr>
  </w:style>
  <w:style w:type="character" w:customStyle="1" w:styleId="af">
    <w:name w:val="a"/>
    <w:basedOn w:val="a0"/>
    <w:rsid w:val="00312B51"/>
  </w:style>
  <w:style w:type="character" w:styleId="af0">
    <w:name w:val="Strong"/>
    <w:uiPriority w:val="22"/>
    <w:qFormat/>
    <w:rsid w:val="00312B51"/>
    <w:rPr>
      <w:b/>
      <w:bCs/>
    </w:rPr>
  </w:style>
  <w:style w:type="character" w:styleId="af1">
    <w:name w:val="Emphasis"/>
    <w:uiPriority w:val="20"/>
    <w:qFormat/>
    <w:rsid w:val="00312B51"/>
    <w:rPr>
      <w:i/>
      <w:iCs/>
    </w:rPr>
  </w:style>
  <w:style w:type="paragraph" w:customStyle="1" w:styleId="inline">
    <w:name w:val="inline"/>
    <w:basedOn w:val="a"/>
    <w:rsid w:val="00312B51"/>
    <w:pPr>
      <w:spacing w:before="100" w:beforeAutospacing="1" w:after="100" w:afterAutospacing="1"/>
    </w:pPr>
    <w:rPr>
      <w:lang w:eastAsia="en-AU"/>
    </w:rPr>
  </w:style>
  <w:style w:type="character" w:styleId="af2">
    <w:name w:val="page number"/>
    <w:basedOn w:val="a0"/>
    <w:rsid w:val="00312B51"/>
  </w:style>
  <w:style w:type="paragraph" w:customStyle="1" w:styleId="BasicParagraph">
    <w:name w:val="[Basic Paragraph]"/>
    <w:basedOn w:val="a"/>
    <w:rsid w:val="00312B51"/>
    <w:pPr>
      <w:widowControl w:val="0"/>
      <w:autoSpaceDE w:val="0"/>
      <w:autoSpaceDN w:val="0"/>
      <w:adjustRightInd w:val="0"/>
      <w:spacing w:line="288" w:lineRule="auto"/>
      <w:textAlignment w:val="center"/>
    </w:pPr>
    <w:rPr>
      <w:rFonts w:ascii="Times-Roman" w:hAnsi="Times-Roman"/>
      <w:color w:val="000000"/>
      <w:lang w:val="en-US"/>
    </w:rPr>
  </w:style>
  <w:style w:type="paragraph" w:customStyle="1" w:styleId="BodyText1">
    <w:name w:val="Body Text1"/>
    <w:basedOn w:val="a"/>
    <w:rsid w:val="00312B51"/>
    <w:pPr>
      <w:spacing w:line="240" w:lineRule="exact"/>
    </w:pPr>
    <w:rPr>
      <w:rFonts w:ascii="Arial" w:hAnsi="Arial"/>
      <w:sz w:val="20"/>
    </w:rPr>
  </w:style>
  <w:style w:type="paragraph" w:customStyle="1" w:styleId="SUBJECTLINE">
    <w:name w:val="SUBJECT LINE"/>
    <w:basedOn w:val="a"/>
    <w:rsid w:val="00312B51"/>
    <w:rPr>
      <w:rFonts w:ascii="Arial" w:hAnsi="Arial"/>
      <w:b/>
      <w:sz w:val="22"/>
    </w:rPr>
  </w:style>
  <w:style w:type="paragraph" w:customStyle="1" w:styleId="BulletPoint">
    <w:name w:val="Bullet Point"/>
    <w:basedOn w:val="BodyText1"/>
    <w:rsid w:val="00312B51"/>
    <w:pPr>
      <w:numPr>
        <w:numId w:val="1"/>
      </w:numPr>
      <w:tabs>
        <w:tab w:val="clear" w:pos="720"/>
        <w:tab w:val="num" w:pos="284"/>
      </w:tabs>
      <w:ind w:left="284" w:hanging="284"/>
    </w:pPr>
  </w:style>
  <w:style w:type="paragraph" w:customStyle="1" w:styleId="NameTitle">
    <w:name w:val="Name &amp; Title"/>
    <w:basedOn w:val="BodyText1"/>
    <w:rsid w:val="00312B51"/>
    <w:rPr>
      <w:b/>
    </w:rPr>
  </w:style>
  <w:style w:type="paragraph" w:customStyle="1" w:styleId="AddressBlock">
    <w:name w:val="Address Block"/>
    <w:basedOn w:val="BodyText1"/>
    <w:rsid w:val="00312B51"/>
    <w:rPr>
      <w:rFonts w:ascii="Arial Bold" w:hAnsi="Arial Bold"/>
      <w:b/>
    </w:rPr>
  </w:style>
  <w:style w:type="paragraph" w:styleId="af3">
    <w:name w:val="annotation text"/>
    <w:basedOn w:val="a"/>
    <w:link w:val="af4"/>
    <w:rsid w:val="00312B51"/>
    <w:rPr>
      <w:sz w:val="20"/>
      <w:szCs w:val="20"/>
    </w:rPr>
  </w:style>
  <w:style w:type="character" w:customStyle="1" w:styleId="af4">
    <w:name w:val="註解文字 字元"/>
    <w:link w:val="af3"/>
    <w:rsid w:val="00312B51"/>
    <w:rPr>
      <w:rFonts w:ascii="Times New Roman" w:eastAsia="Times New Roman" w:hAnsi="Times New Roman" w:cs="Times New Roman"/>
      <w:sz w:val="20"/>
      <w:szCs w:val="20"/>
    </w:rPr>
  </w:style>
  <w:style w:type="character" w:customStyle="1" w:styleId="CharChar20">
    <w:name w:val="Char Char20"/>
    <w:rsid w:val="00312B51"/>
    <w:rPr>
      <w:rFonts w:ascii="Arial" w:hAnsi="Arial" w:cs="Arial"/>
      <w:b/>
      <w:bCs/>
      <w:sz w:val="26"/>
      <w:szCs w:val="26"/>
      <w:lang w:val="en-US" w:eastAsia="en-US"/>
    </w:rPr>
  </w:style>
  <w:style w:type="paragraph" w:styleId="af5">
    <w:name w:val="Body Text Indent"/>
    <w:basedOn w:val="a"/>
    <w:link w:val="af6"/>
    <w:rsid w:val="00312B51"/>
    <w:pPr>
      <w:spacing w:after="120"/>
      <w:ind w:left="283"/>
    </w:pPr>
  </w:style>
  <w:style w:type="character" w:customStyle="1" w:styleId="af6">
    <w:name w:val="本文縮排 字元"/>
    <w:link w:val="af5"/>
    <w:rsid w:val="00312B51"/>
    <w:rPr>
      <w:rFonts w:ascii="Times New Roman" w:eastAsia="Times New Roman" w:hAnsi="Times New Roman" w:cs="Times New Roman"/>
      <w:sz w:val="24"/>
      <w:szCs w:val="24"/>
    </w:rPr>
  </w:style>
  <w:style w:type="paragraph" w:styleId="21">
    <w:name w:val="Body Text Indent 2"/>
    <w:basedOn w:val="a"/>
    <w:link w:val="22"/>
    <w:rsid w:val="00312B51"/>
    <w:pPr>
      <w:spacing w:after="120" w:line="480" w:lineRule="auto"/>
      <w:ind w:left="283"/>
    </w:pPr>
  </w:style>
  <w:style w:type="character" w:customStyle="1" w:styleId="22">
    <w:name w:val="本文縮排 2 字元"/>
    <w:link w:val="21"/>
    <w:rsid w:val="00312B51"/>
    <w:rPr>
      <w:rFonts w:ascii="Times New Roman" w:eastAsia="Times New Roman" w:hAnsi="Times New Roman" w:cs="Times New Roman"/>
      <w:sz w:val="24"/>
      <w:szCs w:val="24"/>
    </w:rPr>
  </w:style>
  <w:style w:type="paragraph" w:styleId="23">
    <w:name w:val="Body Text 2"/>
    <w:basedOn w:val="a"/>
    <w:link w:val="24"/>
    <w:rsid w:val="00312B51"/>
    <w:pPr>
      <w:spacing w:after="120" w:line="480" w:lineRule="auto"/>
    </w:pPr>
  </w:style>
  <w:style w:type="character" w:customStyle="1" w:styleId="24">
    <w:name w:val="本文 2 字元"/>
    <w:link w:val="23"/>
    <w:rsid w:val="00312B51"/>
    <w:rPr>
      <w:rFonts w:ascii="Times New Roman" w:eastAsia="Times New Roman" w:hAnsi="Times New Roman" w:cs="Times New Roman"/>
      <w:sz w:val="24"/>
      <w:szCs w:val="24"/>
    </w:rPr>
  </w:style>
  <w:style w:type="paragraph" w:styleId="31">
    <w:name w:val="Body Text 3"/>
    <w:basedOn w:val="a"/>
    <w:link w:val="32"/>
    <w:rsid w:val="00312B51"/>
    <w:pPr>
      <w:spacing w:after="120"/>
    </w:pPr>
    <w:rPr>
      <w:sz w:val="16"/>
      <w:szCs w:val="16"/>
    </w:rPr>
  </w:style>
  <w:style w:type="character" w:customStyle="1" w:styleId="32">
    <w:name w:val="本文 3 字元"/>
    <w:link w:val="31"/>
    <w:rsid w:val="00312B51"/>
    <w:rPr>
      <w:rFonts w:ascii="Times New Roman" w:eastAsia="Times New Roman" w:hAnsi="Times New Roman" w:cs="Times New Roman"/>
      <w:sz w:val="16"/>
      <w:szCs w:val="16"/>
    </w:rPr>
  </w:style>
  <w:style w:type="paragraph" w:styleId="33">
    <w:name w:val="Body Text Indent 3"/>
    <w:basedOn w:val="a"/>
    <w:link w:val="34"/>
    <w:rsid w:val="00312B51"/>
    <w:pPr>
      <w:spacing w:after="120"/>
      <w:ind w:left="283"/>
    </w:pPr>
    <w:rPr>
      <w:sz w:val="16"/>
      <w:szCs w:val="16"/>
    </w:rPr>
  </w:style>
  <w:style w:type="character" w:customStyle="1" w:styleId="34">
    <w:name w:val="本文縮排 3 字元"/>
    <w:link w:val="33"/>
    <w:rsid w:val="00312B51"/>
    <w:rPr>
      <w:rFonts w:ascii="Times New Roman" w:eastAsia="Times New Roman" w:hAnsi="Times New Roman" w:cs="Times New Roman"/>
      <w:sz w:val="16"/>
      <w:szCs w:val="16"/>
    </w:rPr>
  </w:style>
  <w:style w:type="paragraph" w:styleId="af7">
    <w:name w:val="Title"/>
    <w:basedOn w:val="a"/>
    <w:link w:val="af8"/>
    <w:qFormat/>
    <w:rsid w:val="00312B51"/>
    <w:pPr>
      <w:tabs>
        <w:tab w:val="left" w:pos="-306"/>
        <w:tab w:val="left" w:pos="284"/>
        <w:tab w:val="left" w:pos="1134"/>
        <w:tab w:val="left" w:pos="1854"/>
        <w:tab w:val="left" w:pos="2574"/>
        <w:tab w:val="left" w:pos="3294"/>
        <w:tab w:val="left" w:pos="4014"/>
        <w:tab w:val="left" w:pos="4734"/>
        <w:tab w:val="left" w:pos="5454"/>
        <w:tab w:val="left" w:pos="6174"/>
        <w:tab w:val="left" w:pos="6894"/>
        <w:tab w:val="left" w:pos="7614"/>
        <w:tab w:val="left" w:pos="8334"/>
        <w:tab w:val="left" w:pos="9054"/>
      </w:tabs>
      <w:ind w:left="249" w:right="-165" w:hanging="555"/>
      <w:jc w:val="center"/>
    </w:pPr>
    <w:rPr>
      <w:rFonts w:ascii="Times" w:eastAsia="Times" w:hAnsi="Times"/>
      <w:b/>
      <w:sz w:val="28"/>
      <w:szCs w:val="20"/>
      <w:u w:val="single"/>
      <w:lang w:eastAsia="en-AU"/>
    </w:rPr>
  </w:style>
  <w:style w:type="character" w:customStyle="1" w:styleId="af8">
    <w:name w:val="標題 字元"/>
    <w:link w:val="af7"/>
    <w:rsid w:val="00312B51"/>
    <w:rPr>
      <w:rFonts w:ascii="Times" w:eastAsia="Times" w:hAnsi="Times" w:cs="Times New Roman"/>
      <w:b/>
      <w:sz w:val="28"/>
      <w:szCs w:val="20"/>
      <w:u w:val="single"/>
      <w:lang w:eastAsia="en-AU"/>
    </w:rPr>
  </w:style>
  <w:style w:type="paragraph" w:styleId="af9">
    <w:name w:val="Block Text"/>
    <w:basedOn w:val="a"/>
    <w:rsid w:val="00312B51"/>
    <w:pPr>
      <w:tabs>
        <w:tab w:val="left" w:pos="1276"/>
        <w:tab w:val="left" w:pos="8560"/>
        <w:tab w:val="left" w:pos="9280"/>
      </w:tabs>
      <w:ind w:left="567" w:right="-1298" w:hanging="567"/>
    </w:pPr>
    <w:rPr>
      <w:rFonts w:ascii="Times" w:eastAsia="Times" w:hAnsi="Times"/>
      <w:b/>
      <w:sz w:val="22"/>
      <w:szCs w:val="20"/>
      <w:lang w:val="en-GB" w:eastAsia="en-AU"/>
    </w:rPr>
  </w:style>
  <w:style w:type="paragraph" w:customStyle="1" w:styleId="afa">
    <w:name w:val="_"/>
    <w:basedOn w:val="a"/>
    <w:rsid w:val="00312B51"/>
    <w:pPr>
      <w:widowControl w:val="0"/>
      <w:autoSpaceDE w:val="0"/>
      <w:autoSpaceDN w:val="0"/>
      <w:ind w:left="850" w:right="-254" w:hanging="284"/>
    </w:pPr>
    <w:rPr>
      <w:rFonts w:ascii="Arial" w:hAnsi="Arial"/>
      <w:szCs w:val="20"/>
      <w:lang w:val="en-GB" w:eastAsia="en-AU"/>
    </w:rPr>
  </w:style>
  <w:style w:type="character" w:styleId="afb">
    <w:name w:val="FollowedHyperlink"/>
    <w:rsid w:val="00312B51"/>
    <w:rPr>
      <w:color w:val="800080"/>
      <w:u w:val="single"/>
    </w:rPr>
  </w:style>
  <w:style w:type="paragraph" w:styleId="afc">
    <w:name w:val="caption"/>
    <w:basedOn w:val="a"/>
    <w:next w:val="a"/>
    <w:qFormat/>
    <w:rsid w:val="00312B51"/>
    <w:rPr>
      <w:rFonts w:ascii="Arial" w:hAnsi="Arial"/>
      <w:i/>
      <w:sz w:val="18"/>
      <w:szCs w:val="20"/>
      <w:lang w:eastAsia="en-AU"/>
    </w:rPr>
  </w:style>
  <w:style w:type="paragraph" w:styleId="z-">
    <w:name w:val="HTML Bottom of Form"/>
    <w:basedOn w:val="a"/>
    <w:next w:val="a"/>
    <w:link w:val="z-0"/>
    <w:hidden/>
    <w:uiPriority w:val="99"/>
    <w:rsid w:val="00312B51"/>
    <w:pPr>
      <w:pBdr>
        <w:top w:val="single" w:sz="6" w:space="1" w:color="050000"/>
      </w:pBdr>
      <w:spacing w:before="100" w:after="100"/>
      <w:jc w:val="center"/>
    </w:pPr>
    <w:rPr>
      <w:rFonts w:ascii="Arial" w:eastAsia="Times" w:hAnsi="Arial"/>
      <w:vanish/>
      <w:sz w:val="16"/>
      <w:szCs w:val="20"/>
      <w:lang w:val="en-GB" w:eastAsia="en-AU"/>
    </w:rPr>
  </w:style>
  <w:style w:type="character" w:customStyle="1" w:styleId="z-0">
    <w:name w:val="z-表單的底部 字元"/>
    <w:link w:val="z-"/>
    <w:uiPriority w:val="99"/>
    <w:rsid w:val="00312B51"/>
    <w:rPr>
      <w:rFonts w:ascii="Arial" w:eastAsia="Times" w:hAnsi="Arial" w:cs="Times New Roman"/>
      <w:vanish/>
      <w:sz w:val="16"/>
      <w:szCs w:val="20"/>
      <w:lang w:val="en-GB" w:eastAsia="en-AU"/>
    </w:rPr>
  </w:style>
  <w:style w:type="paragraph" w:styleId="z-1">
    <w:name w:val="HTML Top of Form"/>
    <w:basedOn w:val="a"/>
    <w:next w:val="a"/>
    <w:link w:val="z-2"/>
    <w:hidden/>
    <w:uiPriority w:val="99"/>
    <w:rsid w:val="00312B51"/>
    <w:pPr>
      <w:pBdr>
        <w:bottom w:val="single" w:sz="6" w:space="1" w:color="050000"/>
      </w:pBdr>
      <w:spacing w:before="100" w:after="100"/>
      <w:jc w:val="center"/>
    </w:pPr>
    <w:rPr>
      <w:rFonts w:ascii="Arial" w:eastAsia="Times" w:hAnsi="Arial"/>
      <w:vanish/>
      <w:sz w:val="16"/>
      <w:szCs w:val="20"/>
      <w:lang w:val="en-GB" w:eastAsia="en-AU"/>
    </w:rPr>
  </w:style>
  <w:style w:type="character" w:customStyle="1" w:styleId="z-2">
    <w:name w:val="z-表單的頂端 字元"/>
    <w:link w:val="z-1"/>
    <w:uiPriority w:val="99"/>
    <w:rsid w:val="00312B51"/>
    <w:rPr>
      <w:rFonts w:ascii="Arial" w:eastAsia="Times" w:hAnsi="Arial" w:cs="Times New Roman"/>
      <w:vanish/>
      <w:sz w:val="16"/>
      <w:szCs w:val="20"/>
      <w:lang w:val="en-GB" w:eastAsia="en-AU"/>
    </w:rPr>
  </w:style>
  <w:style w:type="paragraph" w:customStyle="1" w:styleId="ecmsonormal1">
    <w:name w:val="ec_msonormal1"/>
    <w:basedOn w:val="a"/>
    <w:rsid w:val="00312B51"/>
    <w:pPr>
      <w:spacing w:before="100" w:beforeAutospacing="1"/>
    </w:pPr>
    <w:rPr>
      <w:rFonts w:ascii="Arial" w:hAnsi="Arial" w:cs="Arial"/>
      <w:color w:val="FF0000"/>
      <w:lang w:eastAsia="en-AU"/>
    </w:rPr>
  </w:style>
  <w:style w:type="paragraph" w:customStyle="1" w:styleId="HeadingBase">
    <w:name w:val="Heading Base"/>
    <w:basedOn w:val="a"/>
    <w:next w:val="a3"/>
    <w:rsid w:val="00312B51"/>
    <w:pPr>
      <w:keepNext/>
      <w:autoSpaceDE w:val="0"/>
      <w:autoSpaceDN w:val="0"/>
      <w:spacing w:before="240" w:after="120"/>
    </w:pPr>
    <w:rPr>
      <w:rFonts w:ascii="Arial" w:hAnsi="Arial" w:cs="Arial"/>
      <w:b/>
      <w:bCs/>
      <w:kern w:val="28"/>
      <w:sz w:val="36"/>
      <w:szCs w:val="36"/>
      <w:lang w:val="en-GB"/>
    </w:rPr>
  </w:style>
  <w:style w:type="paragraph" w:customStyle="1" w:styleId="TitleCover">
    <w:name w:val="Title Cover"/>
    <w:basedOn w:val="HeadingBase"/>
    <w:next w:val="SubtitleCover"/>
    <w:rsid w:val="00312B51"/>
    <w:pPr>
      <w:spacing w:before="720" w:after="160"/>
      <w:jc w:val="center"/>
    </w:pPr>
    <w:rPr>
      <w:sz w:val="40"/>
      <w:szCs w:val="40"/>
    </w:rPr>
  </w:style>
  <w:style w:type="paragraph" w:customStyle="1" w:styleId="SubtitleCover">
    <w:name w:val="Subtitle Cover"/>
    <w:basedOn w:val="TitleCover"/>
    <w:next w:val="a3"/>
    <w:rsid w:val="00312B51"/>
    <w:pPr>
      <w:spacing w:before="240" w:after="480"/>
    </w:pPr>
    <w:rPr>
      <w:rFonts w:ascii="Times New Roman" w:hAnsi="Times New Roman" w:cs="Times New Roman"/>
      <w:b w:val="0"/>
      <w:bCs w:val="0"/>
      <w:i/>
      <w:iCs/>
      <w:sz w:val="32"/>
      <w:szCs w:val="32"/>
    </w:rPr>
  </w:style>
  <w:style w:type="paragraph" w:customStyle="1" w:styleId="BodyTextKeep">
    <w:name w:val="Body Text Keep"/>
    <w:basedOn w:val="a3"/>
    <w:rsid w:val="00312B51"/>
    <w:pPr>
      <w:keepNext/>
      <w:autoSpaceDE w:val="0"/>
      <w:autoSpaceDN w:val="0"/>
      <w:spacing w:after="160" w:line="480" w:lineRule="auto"/>
    </w:pPr>
    <w:rPr>
      <w:rFonts w:ascii="Times New Roman" w:hAnsi="Times New Roman"/>
      <w:color w:val="auto"/>
      <w:sz w:val="24"/>
      <w:lang w:val="en-GB"/>
    </w:rPr>
  </w:style>
  <w:style w:type="paragraph" w:customStyle="1" w:styleId="Picture">
    <w:name w:val="Picture"/>
    <w:basedOn w:val="a3"/>
    <w:next w:val="afc"/>
    <w:rsid w:val="00312B51"/>
    <w:pPr>
      <w:keepNext/>
      <w:autoSpaceDE w:val="0"/>
      <w:autoSpaceDN w:val="0"/>
      <w:spacing w:before="120" w:after="240" w:line="480" w:lineRule="auto"/>
      <w:jc w:val="center"/>
    </w:pPr>
    <w:rPr>
      <w:rFonts w:ascii="Times New Roman" w:hAnsi="Times New Roman"/>
      <w:color w:val="auto"/>
      <w:sz w:val="24"/>
      <w:lang w:val="en-GB"/>
    </w:rPr>
  </w:style>
  <w:style w:type="paragraph" w:styleId="afd">
    <w:name w:val="footnote text"/>
    <w:basedOn w:val="FootnoteBase"/>
    <w:link w:val="afe"/>
    <w:rsid w:val="00312B51"/>
    <w:pPr>
      <w:spacing w:after="120"/>
    </w:pPr>
  </w:style>
  <w:style w:type="paragraph" w:customStyle="1" w:styleId="FootnoteBase">
    <w:name w:val="Footnote Base"/>
    <w:basedOn w:val="a"/>
    <w:rsid w:val="00312B51"/>
    <w:pPr>
      <w:tabs>
        <w:tab w:val="left" w:pos="187"/>
      </w:tabs>
      <w:autoSpaceDE w:val="0"/>
      <w:autoSpaceDN w:val="0"/>
      <w:spacing w:line="220" w:lineRule="exact"/>
      <w:ind w:left="187" w:hanging="187"/>
    </w:pPr>
    <w:rPr>
      <w:sz w:val="18"/>
      <w:szCs w:val="18"/>
      <w:lang w:val="en-GB"/>
    </w:rPr>
  </w:style>
  <w:style w:type="character" w:customStyle="1" w:styleId="afe">
    <w:name w:val="註腳文字 字元"/>
    <w:link w:val="afd"/>
    <w:rsid w:val="00312B51"/>
    <w:rPr>
      <w:rFonts w:ascii="Times New Roman" w:eastAsia="Times New Roman" w:hAnsi="Times New Roman" w:cs="Times New Roman"/>
      <w:sz w:val="18"/>
      <w:szCs w:val="18"/>
      <w:lang w:val="en-GB"/>
    </w:rPr>
  </w:style>
  <w:style w:type="paragraph" w:styleId="12">
    <w:name w:val="index 1"/>
    <w:basedOn w:val="a"/>
    <w:next w:val="a"/>
    <w:autoRedefine/>
    <w:rsid w:val="00312B51"/>
    <w:pPr>
      <w:tabs>
        <w:tab w:val="right" w:leader="dot" w:pos="4154"/>
      </w:tabs>
      <w:autoSpaceDE w:val="0"/>
      <w:autoSpaceDN w:val="0"/>
      <w:ind w:left="200" w:hanging="200"/>
    </w:pPr>
    <w:rPr>
      <w:sz w:val="20"/>
      <w:szCs w:val="20"/>
      <w:lang w:val="en-GB"/>
    </w:rPr>
  </w:style>
  <w:style w:type="paragraph" w:styleId="aff">
    <w:name w:val="index heading"/>
    <w:basedOn w:val="a"/>
    <w:next w:val="12"/>
    <w:rsid w:val="00312B51"/>
    <w:pPr>
      <w:autoSpaceDE w:val="0"/>
      <w:autoSpaceDN w:val="0"/>
    </w:pPr>
    <w:rPr>
      <w:sz w:val="20"/>
      <w:szCs w:val="20"/>
      <w:lang w:val="en-GB"/>
    </w:rPr>
  </w:style>
  <w:style w:type="paragraph" w:customStyle="1" w:styleId="HeaderOdd">
    <w:name w:val="Header Odd"/>
    <w:basedOn w:val="a5"/>
    <w:rsid w:val="00312B51"/>
    <w:pPr>
      <w:keepLines/>
      <w:tabs>
        <w:tab w:val="clear" w:pos="4513"/>
        <w:tab w:val="clear" w:pos="9026"/>
        <w:tab w:val="right" w:pos="0"/>
        <w:tab w:val="center" w:pos="7200"/>
        <w:tab w:val="right" w:pos="14400"/>
      </w:tabs>
      <w:autoSpaceDE w:val="0"/>
      <w:autoSpaceDN w:val="0"/>
      <w:jc w:val="right"/>
    </w:pPr>
    <w:rPr>
      <w:spacing w:val="80"/>
      <w:sz w:val="20"/>
      <w:szCs w:val="20"/>
      <w:lang w:val="en-GB"/>
    </w:rPr>
  </w:style>
  <w:style w:type="paragraph" w:customStyle="1" w:styleId="HeaderBase">
    <w:name w:val="Header Base"/>
    <w:basedOn w:val="a"/>
    <w:rsid w:val="00312B51"/>
    <w:pPr>
      <w:keepLines/>
      <w:tabs>
        <w:tab w:val="center" w:pos="7200"/>
        <w:tab w:val="right" w:pos="14400"/>
      </w:tabs>
      <w:autoSpaceDE w:val="0"/>
      <w:autoSpaceDN w:val="0"/>
      <w:jc w:val="center"/>
    </w:pPr>
    <w:rPr>
      <w:spacing w:val="80"/>
      <w:sz w:val="20"/>
      <w:szCs w:val="20"/>
      <w:lang w:val="en-GB"/>
    </w:rPr>
  </w:style>
  <w:style w:type="paragraph" w:customStyle="1" w:styleId="Style1">
    <w:name w:val="Style1"/>
    <w:basedOn w:val="afc"/>
    <w:autoRedefine/>
    <w:rsid w:val="00312B51"/>
    <w:pPr>
      <w:keepNext/>
      <w:autoSpaceDE w:val="0"/>
      <w:autoSpaceDN w:val="0"/>
      <w:jc w:val="center"/>
    </w:pPr>
    <w:rPr>
      <w:rFonts w:ascii="Times New Roman" w:hAnsi="Times New Roman"/>
      <w:b/>
      <w:bCs/>
      <w:i w:val="0"/>
      <w:sz w:val="24"/>
      <w:szCs w:val="24"/>
      <w:lang w:val="en-US" w:eastAsia="en-US"/>
    </w:rPr>
  </w:style>
  <w:style w:type="paragraph" w:styleId="aff0">
    <w:name w:val="Salutation"/>
    <w:basedOn w:val="a"/>
    <w:next w:val="a"/>
    <w:link w:val="aff1"/>
    <w:rsid w:val="00312B51"/>
    <w:pPr>
      <w:widowControl w:val="0"/>
      <w:autoSpaceDE w:val="0"/>
      <w:autoSpaceDN w:val="0"/>
    </w:pPr>
    <w:rPr>
      <w:rFonts w:ascii="Times" w:hAnsi="Times" w:cs="Times"/>
    </w:rPr>
  </w:style>
  <w:style w:type="character" w:customStyle="1" w:styleId="aff1">
    <w:name w:val="問候 字元"/>
    <w:link w:val="aff0"/>
    <w:rsid w:val="00312B51"/>
    <w:rPr>
      <w:rFonts w:ascii="Times" w:eastAsia="Times New Roman" w:hAnsi="Times" w:cs="Times"/>
      <w:sz w:val="24"/>
      <w:szCs w:val="24"/>
    </w:rPr>
  </w:style>
  <w:style w:type="paragraph" w:customStyle="1" w:styleId="MailingInstructions">
    <w:name w:val="Mailing Instructions"/>
    <w:basedOn w:val="a"/>
    <w:rsid w:val="00312B51"/>
    <w:pPr>
      <w:widowControl w:val="0"/>
      <w:autoSpaceDE w:val="0"/>
      <w:autoSpaceDN w:val="0"/>
    </w:pPr>
    <w:rPr>
      <w:rFonts w:ascii="Times" w:hAnsi="Times" w:cs="Times"/>
    </w:rPr>
  </w:style>
  <w:style w:type="paragraph" w:styleId="aff2">
    <w:name w:val="Date"/>
    <w:basedOn w:val="a"/>
    <w:next w:val="a"/>
    <w:link w:val="aff3"/>
    <w:rsid w:val="00312B51"/>
    <w:pPr>
      <w:widowControl w:val="0"/>
      <w:autoSpaceDE w:val="0"/>
      <w:autoSpaceDN w:val="0"/>
    </w:pPr>
    <w:rPr>
      <w:rFonts w:ascii="Times" w:hAnsi="Times" w:cs="Times"/>
    </w:rPr>
  </w:style>
  <w:style w:type="character" w:customStyle="1" w:styleId="aff3">
    <w:name w:val="日期 字元"/>
    <w:link w:val="aff2"/>
    <w:rsid w:val="00312B51"/>
    <w:rPr>
      <w:rFonts w:ascii="Times" w:eastAsia="Times New Roman" w:hAnsi="Times" w:cs="Times"/>
      <w:sz w:val="24"/>
      <w:szCs w:val="24"/>
    </w:rPr>
  </w:style>
  <w:style w:type="paragraph" w:styleId="aff4">
    <w:name w:val="Closing"/>
    <w:basedOn w:val="a"/>
    <w:link w:val="aff5"/>
    <w:rsid w:val="00312B51"/>
    <w:pPr>
      <w:widowControl w:val="0"/>
      <w:autoSpaceDE w:val="0"/>
      <w:autoSpaceDN w:val="0"/>
    </w:pPr>
    <w:rPr>
      <w:rFonts w:ascii="Times" w:hAnsi="Times" w:cs="Times"/>
    </w:rPr>
  </w:style>
  <w:style w:type="character" w:customStyle="1" w:styleId="aff5">
    <w:name w:val="結語 字元"/>
    <w:link w:val="aff4"/>
    <w:rsid w:val="00312B51"/>
    <w:rPr>
      <w:rFonts w:ascii="Times" w:eastAsia="Times New Roman" w:hAnsi="Times" w:cs="Times"/>
      <w:sz w:val="24"/>
      <w:szCs w:val="24"/>
    </w:rPr>
  </w:style>
  <w:style w:type="paragraph" w:styleId="aff6">
    <w:name w:val="Signature"/>
    <w:basedOn w:val="a"/>
    <w:link w:val="aff7"/>
    <w:rsid w:val="00312B51"/>
    <w:pPr>
      <w:widowControl w:val="0"/>
      <w:autoSpaceDE w:val="0"/>
      <w:autoSpaceDN w:val="0"/>
    </w:pPr>
    <w:rPr>
      <w:rFonts w:ascii="Times" w:hAnsi="Times" w:cs="Times"/>
    </w:rPr>
  </w:style>
  <w:style w:type="character" w:customStyle="1" w:styleId="aff7">
    <w:name w:val="簽名 字元"/>
    <w:link w:val="aff6"/>
    <w:rsid w:val="00312B51"/>
    <w:rPr>
      <w:rFonts w:ascii="Times" w:eastAsia="Times New Roman" w:hAnsi="Times" w:cs="Times"/>
      <w:sz w:val="24"/>
      <w:szCs w:val="24"/>
    </w:rPr>
  </w:style>
  <w:style w:type="paragraph" w:styleId="aff8">
    <w:name w:val="List"/>
    <w:basedOn w:val="a"/>
    <w:rsid w:val="00312B51"/>
    <w:pPr>
      <w:autoSpaceDE w:val="0"/>
      <w:autoSpaceDN w:val="0"/>
      <w:ind w:left="283" w:hanging="283"/>
    </w:pPr>
    <w:rPr>
      <w:sz w:val="20"/>
      <w:szCs w:val="20"/>
      <w:lang w:val="en-US"/>
    </w:rPr>
  </w:style>
  <w:style w:type="paragraph" w:styleId="aff9">
    <w:name w:val="List Bullet"/>
    <w:basedOn w:val="a"/>
    <w:rsid w:val="00312B51"/>
    <w:pPr>
      <w:tabs>
        <w:tab w:val="num" w:pos="360"/>
      </w:tabs>
      <w:autoSpaceDE w:val="0"/>
      <w:autoSpaceDN w:val="0"/>
      <w:ind w:left="360" w:hanging="360"/>
    </w:pPr>
    <w:rPr>
      <w:sz w:val="20"/>
      <w:szCs w:val="20"/>
      <w:lang w:val="en-US"/>
    </w:rPr>
  </w:style>
  <w:style w:type="paragraph" w:styleId="25">
    <w:name w:val="List Bullet 2"/>
    <w:basedOn w:val="a"/>
    <w:rsid w:val="00312B51"/>
    <w:pPr>
      <w:tabs>
        <w:tab w:val="num" w:pos="643"/>
      </w:tabs>
      <w:autoSpaceDE w:val="0"/>
      <w:autoSpaceDN w:val="0"/>
      <w:ind w:left="643" w:hanging="360"/>
    </w:pPr>
    <w:rPr>
      <w:sz w:val="20"/>
      <w:szCs w:val="20"/>
      <w:lang w:val="en-US"/>
    </w:rPr>
  </w:style>
  <w:style w:type="paragraph" w:styleId="affa">
    <w:name w:val="Body Text First Indent"/>
    <w:basedOn w:val="a3"/>
    <w:link w:val="affb"/>
    <w:rsid w:val="00312B51"/>
    <w:pPr>
      <w:autoSpaceDE w:val="0"/>
      <w:autoSpaceDN w:val="0"/>
      <w:spacing w:after="120"/>
      <w:ind w:firstLine="210"/>
    </w:pPr>
    <w:rPr>
      <w:rFonts w:ascii="Times New Roman" w:hAnsi="Times New Roman"/>
      <w:color w:val="auto"/>
      <w:sz w:val="20"/>
      <w:szCs w:val="20"/>
      <w:lang w:val="en-US"/>
    </w:rPr>
  </w:style>
  <w:style w:type="character" w:customStyle="1" w:styleId="affb">
    <w:name w:val="本文第一層縮排 字元"/>
    <w:link w:val="affa"/>
    <w:rsid w:val="00312B51"/>
    <w:rPr>
      <w:rFonts w:ascii="Times New Roman" w:eastAsia="Times New Roman" w:hAnsi="Times New Roman" w:cs="Times New Roman"/>
      <w:color w:val="000000"/>
      <w:sz w:val="20"/>
      <w:szCs w:val="20"/>
      <w:lang w:val="en-US"/>
    </w:rPr>
  </w:style>
  <w:style w:type="character" w:customStyle="1" w:styleId="CharChar14">
    <w:name w:val="Char Char14"/>
    <w:rsid w:val="00312B51"/>
    <w:rPr>
      <w:rFonts w:ascii="Arial" w:hAnsi="Arial"/>
      <w:color w:val="000000"/>
      <w:sz w:val="18"/>
      <w:szCs w:val="24"/>
      <w:lang w:eastAsia="en-US"/>
    </w:rPr>
  </w:style>
  <w:style w:type="paragraph" w:styleId="26">
    <w:name w:val="Body Text First Indent 2"/>
    <w:basedOn w:val="af5"/>
    <w:link w:val="27"/>
    <w:rsid w:val="00312B51"/>
    <w:pPr>
      <w:autoSpaceDE w:val="0"/>
      <w:autoSpaceDN w:val="0"/>
      <w:ind w:firstLine="210"/>
    </w:pPr>
    <w:rPr>
      <w:sz w:val="20"/>
      <w:szCs w:val="20"/>
      <w:lang w:val="en-US"/>
    </w:rPr>
  </w:style>
  <w:style w:type="character" w:customStyle="1" w:styleId="27">
    <w:name w:val="本文第一層縮排 2 字元"/>
    <w:link w:val="26"/>
    <w:rsid w:val="00312B51"/>
    <w:rPr>
      <w:rFonts w:ascii="Times New Roman" w:eastAsia="Times New Roman" w:hAnsi="Times New Roman" w:cs="Times New Roman"/>
      <w:sz w:val="20"/>
      <w:szCs w:val="20"/>
      <w:lang w:val="en-US"/>
    </w:rPr>
  </w:style>
  <w:style w:type="paragraph" w:styleId="affc">
    <w:name w:val="annotation subject"/>
    <w:basedOn w:val="af3"/>
    <w:next w:val="af3"/>
    <w:link w:val="affd"/>
    <w:rsid w:val="00312B51"/>
    <w:rPr>
      <w:b/>
      <w:bCs/>
    </w:rPr>
  </w:style>
  <w:style w:type="character" w:customStyle="1" w:styleId="affd">
    <w:name w:val="註解主旨 字元"/>
    <w:link w:val="affc"/>
    <w:rsid w:val="00312B51"/>
    <w:rPr>
      <w:rFonts w:ascii="Times New Roman" w:eastAsia="Times New Roman" w:hAnsi="Times New Roman" w:cs="Times New Roman"/>
      <w:b/>
      <w:bCs/>
      <w:sz w:val="20"/>
      <w:szCs w:val="20"/>
    </w:rPr>
  </w:style>
  <w:style w:type="character" w:customStyle="1" w:styleId="Heading3Char1">
    <w:name w:val="Heading 3 Char1"/>
    <w:locked/>
    <w:rsid w:val="00312B51"/>
    <w:rPr>
      <w:rFonts w:ascii="Arial" w:eastAsia="Times New Roman" w:hAnsi="Arial" w:cs="Arial"/>
      <w:b/>
      <w:bCs/>
      <w:sz w:val="26"/>
      <w:szCs w:val="26"/>
      <w:lang w:val="en-US"/>
    </w:rPr>
  </w:style>
  <w:style w:type="character" w:styleId="affe">
    <w:name w:val="annotation reference"/>
    <w:uiPriority w:val="99"/>
    <w:unhideWhenUsed/>
    <w:rsid w:val="00312B51"/>
    <w:rPr>
      <w:sz w:val="16"/>
      <w:szCs w:val="16"/>
    </w:rPr>
  </w:style>
  <w:style w:type="paragraph" w:styleId="35">
    <w:name w:val="toc 3"/>
    <w:basedOn w:val="a"/>
    <w:next w:val="a"/>
    <w:autoRedefine/>
    <w:uiPriority w:val="39"/>
    <w:unhideWhenUsed/>
    <w:rsid w:val="00312B51"/>
    <w:pPr>
      <w:tabs>
        <w:tab w:val="left" w:pos="1560"/>
        <w:tab w:val="right" w:pos="8920"/>
      </w:tabs>
      <w:ind w:left="709"/>
    </w:pPr>
  </w:style>
  <w:style w:type="paragraph" w:styleId="afff">
    <w:name w:val="TOC Heading"/>
    <w:basedOn w:val="1"/>
    <w:next w:val="a"/>
    <w:uiPriority w:val="39"/>
    <w:qFormat/>
    <w:rsid w:val="00312B51"/>
    <w:pPr>
      <w:keepLines/>
      <w:spacing w:before="480" w:after="0" w:line="276" w:lineRule="auto"/>
      <w:outlineLvl w:val="9"/>
    </w:pPr>
    <w:rPr>
      <w:color w:val="365F91"/>
      <w:kern w:val="0"/>
      <w:sz w:val="28"/>
      <w:szCs w:val="28"/>
      <w:lang w:val="en-US"/>
    </w:rPr>
  </w:style>
  <w:style w:type="paragraph" w:customStyle="1" w:styleId="Body">
    <w:name w:val="Body"/>
    <w:rsid w:val="00312B51"/>
    <w:pPr>
      <w:widowControl w:val="0"/>
      <w:autoSpaceDE w:val="0"/>
      <w:autoSpaceDN w:val="0"/>
      <w:spacing w:line="240" w:lineRule="exact"/>
      <w:ind w:firstLine="283"/>
    </w:pPr>
    <w:rPr>
      <w:rFonts w:ascii="Sabon" w:eastAsia="Times New Roman" w:hAnsi="Sabon" w:cs="Sabon"/>
      <w:color w:val="FFFFFF"/>
      <w:sz w:val="19"/>
      <w:szCs w:val="19"/>
      <w:lang w:val="en-US"/>
    </w:rPr>
  </w:style>
  <w:style w:type="character" w:customStyle="1" w:styleId="CharChar6">
    <w:name w:val="Char Char6"/>
    <w:locked/>
    <w:rsid w:val="00312B51"/>
    <w:rPr>
      <w:rFonts w:ascii="Arial" w:hAnsi="Arial" w:cs="Arial"/>
      <w:b/>
      <w:bCs/>
      <w:sz w:val="26"/>
      <w:szCs w:val="26"/>
      <w:lang w:val="en-US" w:eastAsia="en-US" w:bidi="ar-SA"/>
    </w:rPr>
  </w:style>
  <w:style w:type="character" w:styleId="afff0">
    <w:name w:val="footnote reference"/>
    <w:rsid w:val="00312B51"/>
    <w:rPr>
      <w:vertAlign w:val="superscript"/>
    </w:rPr>
  </w:style>
  <w:style w:type="character" w:customStyle="1" w:styleId="CharChar4">
    <w:name w:val="Char Char4"/>
    <w:locked/>
    <w:rsid w:val="00312B51"/>
    <w:rPr>
      <w:rFonts w:ascii="Arial" w:hAnsi="Arial" w:cs="Arial"/>
      <w:b/>
      <w:bCs/>
      <w:sz w:val="26"/>
      <w:szCs w:val="26"/>
      <w:lang w:val="en-US" w:eastAsia="en-US" w:bidi="ar-SA"/>
    </w:rPr>
  </w:style>
  <w:style w:type="character" w:customStyle="1" w:styleId="CharChar2">
    <w:name w:val="Char Char2"/>
    <w:locked/>
    <w:rsid w:val="00312B51"/>
    <w:rPr>
      <w:sz w:val="24"/>
      <w:szCs w:val="24"/>
      <w:lang w:val="en-US" w:eastAsia="en-US" w:bidi="ar-SA"/>
    </w:rPr>
  </w:style>
  <w:style w:type="character" w:customStyle="1" w:styleId="CommentSubjectChar1">
    <w:name w:val="Comment Subject Char1"/>
    <w:uiPriority w:val="99"/>
    <w:rsid w:val="00312B51"/>
    <w:rPr>
      <w:rFonts w:ascii="Times New Roman" w:eastAsia="Times New Roman" w:hAnsi="Times New Roman" w:cs="Times New Roman"/>
      <w:b/>
      <w:bCs/>
      <w:sz w:val="20"/>
      <w:szCs w:val="20"/>
      <w:lang w:eastAsia="en-US"/>
    </w:rPr>
  </w:style>
  <w:style w:type="character" w:customStyle="1" w:styleId="apple-style-span">
    <w:name w:val="apple-style-span"/>
    <w:basedOn w:val="a0"/>
    <w:rsid w:val="00312B51"/>
  </w:style>
  <w:style w:type="character" w:customStyle="1" w:styleId="CharChar3">
    <w:name w:val="Char Char3"/>
    <w:locked/>
    <w:rsid w:val="00312B51"/>
    <w:rPr>
      <w:rFonts w:ascii="Arial" w:hAnsi="Arial" w:cs="Arial"/>
      <w:b/>
      <w:bCs/>
      <w:sz w:val="26"/>
      <w:szCs w:val="26"/>
      <w:lang w:val="en-US" w:eastAsia="en-US" w:bidi="ar-SA"/>
    </w:rPr>
  </w:style>
  <w:style w:type="paragraph" w:styleId="afff1">
    <w:name w:val="endnote text"/>
    <w:basedOn w:val="a"/>
    <w:link w:val="afff2"/>
    <w:rsid w:val="00312B51"/>
    <w:rPr>
      <w:rFonts w:ascii="Arial" w:hAnsi="Arial" w:cs="Helvetica"/>
      <w:sz w:val="20"/>
      <w:szCs w:val="20"/>
      <w:lang w:val="en-GB"/>
    </w:rPr>
  </w:style>
  <w:style w:type="character" w:customStyle="1" w:styleId="afff2">
    <w:name w:val="章節附註文字 字元"/>
    <w:link w:val="afff1"/>
    <w:rsid w:val="00312B51"/>
    <w:rPr>
      <w:rFonts w:ascii="Arial" w:eastAsia="Times New Roman" w:hAnsi="Arial" w:cs="Helvetica"/>
      <w:sz w:val="20"/>
      <w:szCs w:val="20"/>
      <w:lang w:val="en-GB"/>
    </w:rPr>
  </w:style>
  <w:style w:type="character" w:styleId="afff3">
    <w:name w:val="endnote reference"/>
    <w:rsid w:val="00312B51"/>
    <w:rPr>
      <w:vertAlign w:val="superscript"/>
    </w:rPr>
  </w:style>
  <w:style w:type="character" w:customStyle="1" w:styleId="BodyTextChar1">
    <w:name w:val="Body Text Char1"/>
    <w:rsid w:val="00312B51"/>
    <w:rPr>
      <w:rFonts w:ascii="Times New Roman" w:eastAsia="Times New Roman" w:hAnsi="Times New Roman" w:cs="Times New Roman"/>
      <w:sz w:val="24"/>
      <w:szCs w:val="24"/>
      <w:u w:val="none"/>
      <w:lang w:val="en-US"/>
    </w:rPr>
  </w:style>
  <w:style w:type="character" w:customStyle="1" w:styleId="referencetext1">
    <w:name w:val="referencetext1"/>
    <w:rsid w:val="00312B51"/>
    <w:rPr>
      <w:vanish w:val="0"/>
      <w:webHidden w:val="0"/>
      <w:specVanish w:val="0"/>
    </w:rPr>
  </w:style>
  <w:style w:type="paragraph" w:styleId="HTML">
    <w:name w:val="HTML Preformatted"/>
    <w:basedOn w:val="a"/>
    <w:link w:val="HTML0"/>
    <w:rsid w:val="00312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9"/>
      <w:szCs w:val="29"/>
      <w:lang w:val="en-US"/>
    </w:rPr>
  </w:style>
  <w:style w:type="character" w:customStyle="1" w:styleId="HTML0">
    <w:name w:val="HTML 預設格式 字元"/>
    <w:link w:val="HTML"/>
    <w:rsid w:val="00312B51"/>
    <w:rPr>
      <w:rFonts w:ascii="Courier New" w:eastAsia="Times New Roman" w:hAnsi="Courier New" w:cs="Courier New"/>
      <w:sz w:val="29"/>
      <w:szCs w:val="29"/>
      <w:lang w:val="en-US"/>
    </w:rPr>
  </w:style>
  <w:style w:type="paragraph" w:customStyle="1" w:styleId="author">
    <w:name w:val="author"/>
    <w:basedOn w:val="a"/>
    <w:rsid w:val="00312B51"/>
    <w:pPr>
      <w:spacing w:before="100" w:beforeAutospacing="1" w:after="100" w:afterAutospacing="1"/>
    </w:pPr>
    <w:rPr>
      <w:lang w:val="en-US"/>
    </w:rPr>
  </w:style>
  <w:style w:type="paragraph" w:customStyle="1" w:styleId="ColorfulShading-Accent11">
    <w:name w:val="Colorful Shading - Accent 11"/>
    <w:hidden/>
    <w:uiPriority w:val="99"/>
    <w:semiHidden/>
    <w:rsid w:val="00312B51"/>
    <w:rPr>
      <w:rFonts w:ascii="Arial" w:eastAsia="Times New Roman" w:hAnsi="Arial" w:cs="Arial"/>
      <w:sz w:val="24"/>
      <w:szCs w:val="24"/>
      <w:lang w:val="en-GB" w:eastAsia="en-US"/>
    </w:rPr>
  </w:style>
  <w:style w:type="paragraph" w:styleId="28">
    <w:name w:val="toc 2"/>
    <w:basedOn w:val="a"/>
    <w:next w:val="a"/>
    <w:autoRedefine/>
    <w:uiPriority w:val="39"/>
    <w:unhideWhenUsed/>
    <w:rsid w:val="00312B51"/>
    <w:pPr>
      <w:tabs>
        <w:tab w:val="left" w:pos="1560"/>
        <w:tab w:val="right" w:pos="8920"/>
      </w:tabs>
      <w:ind w:left="709" w:hanging="709"/>
    </w:pPr>
    <w:rPr>
      <w:rFonts w:ascii="Arial" w:hAnsi="Arial" w:cs="Arial"/>
      <w:caps/>
      <w:noProof/>
    </w:rPr>
  </w:style>
  <w:style w:type="paragraph" w:styleId="41">
    <w:name w:val="toc 4"/>
    <w:basedOn w:val="a"/>
    <w:next w:val="a"/>
    <w:autoRedefine/>
    <w:uiPriority w:val="39"/>
    <w:unhideWhenUsed/>
    <w:rsid w:val="00312B51"/>
    <w:pPr>
      <w:spacing w:after="100" w:line="276" w:lineRule="auto"/>
      <w:ind w:left="660"/>
    </w:pPr>
    <w:rPr>
      <w:rFonts w:ascii="Calibri" w:hAnsi="Calibri"/>
      <w:sz w:val="22"/>
      <w:szCs w:val="22"/>
      <w:lang w:eastAsia="en-AU"/>
    </w:rPr>
  </w:style>
  <w:style w:type="paragraph" w:styleId="51">
    <w:name w:val="toc 5"/>
    <w:basedOn w:val="a"/>
    <w:next w:val="a"/>
    <w:autoRedefine/>
    <w:uiPriority w:val="39"/>
    <w:unhideWhenUsed/>
    <w:rsid w:val="00312B51"/>
    <w:pPr>
      <w:spacing w:after="100" w:line="276" w:lineRule="auto"/>
      <w:ind w:left="880"/>
    </w:pPr>
    <w:rPr>
      <w:rFonts w:ascii="Calibri" w:hAnsi="Calibri"/>
      <w:sz w:val="22"/>
      <w:szCs w:val="22"/>
      <w:lang w:eastAsia="en-AU"/>
    </w:rPr>
  </w:style>
  <w:style w:type="paragraph" w:styleId="61">
    <w:name w:val="toc 6"/>
    <w:basedOn w:val="a"/>
    <w:next w:val="a"/>
    <w:autoRedefine/>
    <w:uiPriority w:val="39"/>
    <w:unhideWhenUsed/>
    <w:rsid w:val="00312B51"/>
    <w:pPr>
      <w:spacing w:after="100" w:line="276" w:lineRule="auto"/>
      <w:ind w:left="1100"/>
    </w:pPr>
    <w:rPr>
      <w:rFonts w:ascii="Calibri" w:hAnsi="Calibri"/>
      <w:sz w:val="22"/>
      <w:szCs w:val="22"/>
      <w:lang w:eastAsia="en-AU"/>
    </w:rPr>
  </w:style>
  <w:style w:type="paragraph" w:styleId="71">
    <w:name w:val="toc 7"/>
    <w:basedOn w:val="a"/>
    <w:next w:val="a"/>
    <w:autoRedefine/>
    <w:uiPriority w:val="39"/>
    <w:unhideWhenUsed/>
    <w:rsid w:val="00312B51"/>
    <w:pPr>
      <w:spacing w:after="100" w:line="276" w:lineRule="auto"/>
      <w:ind w:left="1320"/>
    </w:pPr>
    <w:rPr>
      <w:rFonts w:ascii="Calibri" w:hAnsi="Calibri"/>
      <w:sz w:val="22"/>
      <w:szCs w:val="22"/>
      <w:lang w:eastAsia="en-AU"/>
    </w:rPr>
  </w:style>
  <w:style w:type="paragraph" w:styleId="81">
    <w:name w:val="toc 8"/>
    <w:basedOn w:val="a"/>
    <w:next w:val="a"/>
    <w:autoRedefine/>
    <w:uiPriority w:val="39"/>
    <w:unhideWhenUsed/>
    <w:rsid w:val="00312B51"/>
    <w:pPr>
      <w:spacing w:after="100" w:line="276" w:lineRule="auto"/>
      <w:ind w:left="1540"/>
    </w:pPr>
    <w:rPr>
      <w:rFonts w:ascii="Calibri" w:hAnsi="Calibri"/>
      <w:sz w:val="22"/>
      <w:szCs w:val="22"/>
      <w:lang w:eastAsia="en-AU"/>
    </w:rPr>
  </w:style>
  <w:style w:type="paragraph" w:styleId="91">
    <w:name w:val="toc 9"/>
    <w:basedOn w:val="a"/>
    <w:next w:val="a"/>
    <w:autoRedefine/>
    <w:uiPriority w:val="39"/>
    <w:unhideWhenUsed/>
    <w:rsid w:val="00312B51"/>
    <w:pPr>
      <w:spacing w:after="100" w:line="276" w:lineRule="auto"/>
      <w:ind w:left="1760"/>
    </w:pPr>
    <w:rPr>
      <w:rFonts w:ascii="Calibri" w:hAnsi="Calibri"/>
      <w:sz w:val="22"/>
      <w:szCs w:val="22"/>
      <w:lang w:eastAsia="en-AU"/>
    </w:rPr>
  </w:style>
  <w:style w:type="paragraph" w:styleId="afff4">
    <w:name w:val="table of figures"/>
    <w:basedOn w:val="a"/>
    <w:next w:val="a"/>
    <w:autoRedefine/>
    <w:uiPriority w:val="99"/>
    <w:unhideWhenUsed/>
    <w:rsid w:val="00312B51"/>
    <w:pPr>
      <w:tabs>
        <w:tab w:val="right" w:leader="dot" w:pos="8780"/>
      </w:tabs>
      <w:spacing w:line="360" w:lineRule="auto"/>
      <w:ind w:left="851" w:right="1" w:hanging="851"/>
    </w:pPr>
    <w:rPr>
      <w:rFonts w:ascii="Arial" w:hAnsi="Arial"/>
      <w:noProof/>
      <w:sz w:val="20"/>
    </w:rPr>
  </w:style>
  <w:style w:type="paragraph" w:customStyle="1" w:styleId="pl1">
    <w:name w:val="pl1"/>
    <w:basedOn w:val="a"/>
    <w:rsid w:val="00312B51"/>
    <w:rPr>
      <w:lang w:eastAsia="en-AU"/>
    </w:rPr>
  </w:style>
  <w:style w:type="paragraph" w:styleId="afff5">
    <w:name w:val="Revision"/>
    <w:hidden/>
    <w:uiPriority w:val="99"/>
    <w:semiHidden/>
    <w:rsid w:val="00312B51"/>
    <w:rPr>
      <w:rFonts w:ascii="Times New Roman" w:eastAsia="Times New Roman" w:hAnsi="Times New Roman"/>
      <w:sz w:val="24"/>
      <w:szCs w:val="24"/>
      <w:lang w:eastAsia="en-US"/>
    </w:rPr>
  </w:style>
  <w:style w:type="character" w:customStyle="1" w:styleId="st1">
    <w:name w:val="st1"/>
    <w:basedOn w:val="a0"/>
    <w:rsid w:val="00312B51"/>
  </w:style>
  <w:style w:type="character" w:customStyle="1" w:styleId="namevolno1">
    <w:name w:val="namevolno1"/>
    <w:rsid w:val="00312B51"/>
    <w:rPr>
      <w:i/>
      <w:iCs/>
    </w:rPr>
  </w:style>
  <w:style w:type="character" w:customStyle="1" w:styleId="issuedate1">
    <w:name w:val="issuedate1"/>
    <w:rsid w:val="00312B51"/>
    <w:rPr>
      <w:i/>
      <w:iCs/>
    </w:rPr>
  </w:style>
  <w:style w:type="paragraph" w:customStyle="1" w:styleId="Style2">
    <w:name w:val="Style2"/>
    <w:basedOn w:val="2"/>
    <w:link w:val="Style2Char"/>
    <w:qFormat/>
    <w:rsid w:val="00312B51"/>
    <w:rPr>
      <w:sz w:val="20"/>
      <w:szCs w:val="20"/>
    </w:rPr>
  </w:style>
  <w:style w:type="character" w:customStyle="1" w:styleId="Style2Char">
    <w:name w:val="Style2 Char"/>
    <w:link w:val="Style2"/>
    <w:rsid w:val="00312B51"/>
    <w:rPr>
      <w:rFonts w:ascii="Arial Bold" w:eastAsia="Times New Roman" w:hAnsi="Arial Bold" w:cs="Times New Roman"/>
      <w:b/>
      <w:color w:val="000000"/>
      <w:sz w:val="20"/>
      <w:szCs w:val="20"/>
    </w:rPr>
  </w:style>
  <w:style w:type="character" w:customStyle="1" w:styleId="gl3">
    <w:name w:val="gl3"/>
    <w:basedOn w:val="a0"/>
    <w:rsid w:val="00312B51"/>
  </w:style>
  <w:style w:type="paragraph" w:customStyle="1" w:styleId="Standaard">
    <w:name w:val="Standaard"/>
    <w:basedOn w:val="a"/>
    <w:next w:val="a"/>
    <w:uiPriority w:val="99"/>
    <w:rsid w:val="00312B51"/>
    <w:pPr>
      <w:autoSpaceDE w:val="0"/>
      <w:autoSpaceDN w:val="0"/>
      <w:adjustRightInd w:val="0"/>
    </w:pPr>
    <w:rPr>
      <w:rFonts w:eastAsia="Calibri"/>
      <w:lang w:eastAsia="en-AU"/>
    </w:rPr>
  </w:style>
  <w:style w:type="character" w:customStyle="1" w:styleId="googqs-tidbit-1">
    <w:name w:val="goog_qs-tidbit-1"/>
    <w:basedOn w:val="a0"/>
    <w:rsid w:val="00312B51"/>
  </w:style>
  <w:style w:type="character" w:customStyle="1" w:styleId="pages">
    <w:name w:val="pages"/>
    <w:basedOn w:val="a0"/>
    <w:rsid w:val="00312B51"/>
  </w:style>
  <w:style w:type="table" w:styleId="afff6">
    <w:name w:val="Table Grid"/>
    <w:basedOn w:val="a1"/>
    <w:uiPriority w:val="39"/>
    <w:rsid w:val="00F343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fff6"/>
    <w:uiPriority w:val="59"/>
    <w:rsid w:val="00A40B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ff6"/>
    <w:uiPriority w:val="59"/>
    <w:rsid w:val="008C190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ff6"/>
    <w:uiPriority w:val="59"/>
    <w:rsid w:val="000721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ff6"/>
    <w:uiPriority w:val="59"/>
    <w:rsid w:val="00993D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string-name">
    <w:name w:val="nlm_string-name"/>
    <w:basedOn w:val="a0"/>
    <w:rsid w:val="00EF382A"/>
  </w:style>
  <w:style w:type="character" w:customStyle="1" w:styleId="nlmyear">
    <w:name w:val="nlm_year"/>
    <w:basedOn w:val="a0"/>
    <w:rsid w:val="00EF382A"/>
  </w:style>
  <w:style w:type="character" w:customStyle="1" w:styleId="nlmarticle-title">
    <w:name w:val="nlm_article-title"/>
    <w:basedOn w:val="a0"/>
    <w:rsid w:val="00EF382A"/>
  </w:style>
  <w:style w:type="character" w:customStyle="1" w:styleId="nlmfpage">
    <w:name w:val="nlm_fpage"/>
    <w:basedOn w:val="a0"/>
    <w:rsid w:val="00EF382A"/>
  </w:style>
  <w:style w:type="character" w:customStyle="1" w:styleId="nlmlpage">
    <w:name w:val="nlm_lpage"/>
    <w:basedOn w:val="a0"/>
    <w:rsid w:val="00EF382A"/>
  </w:style>
  <w:style w:type="table" w:styleId="6-3">
    <w:name w:val="List Table 6 Colorful Accent 3"/>
    <w:basedOn w:val="a1"/>
    <w:uiPriority w:val="51"/>
    <w:rsid w:val="00830932"/>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2">
    <w:name w:val="List Table 6 Colorful"/>
    <w:basedOn w:val="a1"/>
    <w:uiPriority w:val="51"/>
    <w:rsid w:val="0083093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3">
    <w:name w:val="樣式1"/>
    <w:basedOn w:val="a1"/>
    <w:uiPriority w:val="99"/>
    <w:rsid w:val="00331F4B"/>
    <w:tblPr>
      <w:tblBorders>
        <w:top w:val="single" w:sz="4" w:space="0" w:color="auto"/>
        <w:bottom w:val="single" w:sz="4" w:space="0" w:color="auto"/>
      </w:tblBorders>
    </w:tblPr>
  </w:style>
  <w:style w:type="character" w:styleId="afff7">
    <w:name w:val="line number"/>
    <w:basedOn w:val="a0"/>
    <w:uiPriority w:val="99"/>
    <w:semiHidden/>
    <w:unhideWhenUsed/>
    <w:rsid w:val="00C45B2C"/>
  </w:style>
  <w:style w:type="paragraph" w:styleId="afff8">
    <w:name w:val="Bibliography"/>
    <w:basedOn w:val="a"/>
    <w:next w:val="a"/>
    <w:unhideWhenUsed/>
    <w:rsid w:val="00C63992"/>
    <w:pPr>
      <w:spacing w:line="480" w:lineRule="auto"/>
      <w:ind w:left="720" w:hanging="720"/>
    </w:pPr>
  </w:style>
  <w:style w:type="paragraph" w:customStyle="1" w:styleId="EndNoteBibliography">
    <w:name w:val="EndNote Bibliography"/>
    <w:basedOn w:val="a"/>
    <w:link w:val="EndNoteBibliography0"/>
    <w:rsid w:val="00717E7B"/>
    <w:pPr>
      <w:widowControl w:val="0"/>
      <w:spacing w:line="240" w:lineRule="atLeast"/>
      <w:ind w:firstLineChars="200" w:firstLine="200"/>
      <w:jc w:val="both"/>
    </w:pPr>
    <w:rPr>
      <w:rFonts w:eastAsia="新細明體"/>
      <w:kern w:val="2"/>
      <w:szCs w:val="22"/>
      <w:lang w:val="en-US" w:eastAsia="zh-CN"/>
    </w:rPr>
  </w:style>
  <w:style w:type="character" w:customStyle="1" w:styleId="EndNoteBibliography0">
    <w:name w:val="EndNote Bibliography 字元"/>
    <w:basedOn w:val="a0"/>
    <w:link w:val="EndNoteBibliography"/>
    <w:rsid w:val="00717E7B"/>
    <w:rPr>
      <w:rFonts w:ascii="Times New Roman" w:eastAsia="新細明體" w:hAnsi="Times New Roman"/>
      <w:kern w:val="2"/>
      <w:sz w:val="24"/>
      <w:szCs w:val="22"/>
      <w:lang w:val="en-US" w:eastAsia="zh-CN"/>
    </w:rPr>
  </w:style>
  <w:style w:type="character" w:styleId="afff9">
    <w:name w:val="Unresolved Mention"/>
    <w:basedOn w:val="a0"/>
    <w:uiPriority w:val="99"/>
    <w:semiHidden/>
    <w:unhideWhenUsed/>
    <w:rsid w:val="002F5C97"/>
    <w:rPr>
      <w:color w:val="605E5C"/>
      <w:shd w:val="clear" w:color="auto" w:fill="E1DFDD"/>
    </w:rPr>
  </w:style>
  <w:style w:type="paragraph" w:customStyle="1" w:styleId="afffa">
    <w:name w:val="章節標"/>
    <w:basedOn w:val="a"/>
    <w:link w:val="afffb"/>
    <w:qFormat/>
    <w:rsid w:val="0064746E"/>
    <w:pPr>
      <w:widowControl w:val="0"/>
      <w:spacing w:before="120" w:after="120" w:line="360" w:lineRule="exact"/>
      <w:jc w:val="both"/>
    </w:pPr>
    <w:rPr>
      <w:rFonts w:eastAsia="新細明體"/>
      <w:b/>
      <w:bCs/>
      <w:kern w:val="2"/>
      <w:szCs w:val="32"/>
      <w:lang w:val="en-US" w:eastAsia="zh-CN"/>
    </w:rPr>
  </w:style>
  <w:style w:type="character" w:customStyle="1" w:styleId="afffb">
    <w:name w:val="章節標 字元"/>
    <w:basedOn w:val="a0"/>
    <w:link w:val="afffa"/>
    <w:rsid w:val="0064746E"/>
    <w:rPr>
      <w:rFonts w:ascii="Times New Roman" w:eastAsia="新細明體" w:hAnsi="Times New Roman"/>
      <w:b/>
      <w:bCs/>
      <w:kern w:val="2"/>
      <w:sz w:val="24"/>
      <w:szCs w:val="32"/>
      <w:lang w:val="en-US" w:eastAsia="zh-CN"/>
    </w:rPr>
  </w:style>
  <w:style w:type="paragraph" w:customStyle="1" w:styleId="keywords">
    <w:name w:val="key words"/>
    <w:rsid w:val="00605AEE"/>
    <w:pPr>
      <w:widowControl w:val="0"/>
      <w:spacing w:after="120"/>
      <w:ind w:firstLine="288"/>
      <w:jc w:val="both"/>
    </w:pPr>
    <w:rPr>
      <w:rFonts w:ascii="Times New Roman" w:eastAsia="Times New Roman" w:hAnsi="Times New Roman"/>
      <w:b/>
      <w:bCs/>
      <w:i/>
      <w:iCs/>
      <w:color w:val="000000"/>
      <w:sz w:val="18"/>
      <w:szCs w:val="18"/>
      <w:u w:color="000000"/>
      <w:lang w:val="en-US" w:eastAsia="en-US"/>
    </w:rPr>
  </w:style>
  <w:style w:type="character" w:customStyle="1" w:styleId="year">
    <w:name w:val="year"/>
    <w:basedOn w:val="a0"/>
    <w:rsid w:val="00D75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75850">
      <w:bodyDiv w:val="1"/>
      <w:marLeft w:val="0"/>
      <w:marRight w:val="0"/>
      <w:marTop w:val="0"/>
      <w:marBottom w:val="0"/>
      <w:divBdr>
        <w:top w:val="none" w:sz="0" w:space="0" w:color="auto"/>
        <w:left w:val="none" w:sz="0" w:space="0" w:color="auto"/>
        <w:bottom w:val="none" w:sz="0" w:space="0" w:color="auto"/>
        <w:right w:val="none" w:sz="0" w:space="0" w:color="auto"/>
      </w:divBdr>
    </w:div>
    <w:div w:id="217278048">
      <w:bodyDiv w:val="1"/>
      <w:marLeft w:val="0"/>
      <w:marRight w:val="0"/>
      <w:marTop w:val="0"/>
      <w:marBottom w:val="0"/>
      <w:divBdr>
        <w:top w:val="none" w:sz="0" w:space="0" w:color="auto"/>
        <w:left w:val="none" w:sz="0" w:space="0" w:color="auto"/>
        <w:bottom w:val="none" w:sz="0" w:space="0" w:color="auto"/>
        <w:right w:val="none" w:sz="0" w:space="0" w:color="auto"/>
      </w:divBdr>
    </w:div>
    <w:div w:id="243535216">
      <w:bodyDiv w:val="1"/>
      <w:marLeft w:val="0"/>
      <w:marRight w:val="0"/>
      <w:marTop w:val="0"/>
      <w:marBottom w:val="0"/>
      <w:divBdr>
        <w:top w:val="none" w:sz="0" w:space="0" w:color="auto"/>
        <w:left w:val="none" w:sz="0" w:space="0" w:color="auto"/>
        <w:bottom w:val="none" w:sz="0" w:space="0" w:color="auto"/>
        <w:right w:val="none" w:sz="0" w:space="0" w:color="auto"/>
      </w:divBdr>
      <w:divsChild>
        <w:div w:id="182404629">
          <w:marLeft w:val="0"/>
          <w:marRight w:val="0"/>
          <w:marTop w:val="0"/>
          <w:marBottom w:val="0"/>
          <w:divBdr>
            <w:top w:val="none" w:sz="0" w:space="0" w:color="auto"/>
            <w:left w:val="none" w:sz="0" w:space="0" w:color="auto"/>
            <w:bottom w:val="none" w:sz="0" w:space="0" w:color="auto"/>
            <w:right w:val="none" w:sz="0" w:space="0" w:color="auto"/>
          </w:divBdr>
        </w:div>
        <w:div w:id="705906203">
          <w:marLeft w:val="0"/>
          <w:marRight w:val="0"/>
          <w:marTop w:val="0"/>
          <w:marBottom w:val="0"/>
          <w:divBdr>
            <w:top w:val="none" w:sz="0" w:space="0" w:color="auto"/>
            <w:left w:val="none" w:sz="0" w:space="0" w:color="auto"/>
            <w:bottom w:val="none" w:sz="0" w:space="0" w:color="auto"/>
            <w:right w:val="none" w:sz="0" w:space="0" w:color="auto"/>
          </w:divBdr>
        </w:div>
        <w:div w:id="1170485314">
          <w:marLeft w:val="0"/>
          <w:marRight w:val="0"/>
          <w:marTop w:val="0"/>
          <w:marBottom w:val="0"/>
          <w:divBdr>
            <w:top w:val="none" w:sz="0" w:space="0" w:color="auto"/>
            <w:left w:val="none" w:sz="0" w:space="0" w:color="auto"/>
            <w:bottom w:val="none" w:sz="0" w:space="0" w:color="auto"/>
            <w:right w:val="none" w:sz="0" w:space="0" w:color="auto"/>
          </w:divBdr>
        </w:div>
        <w:div w:id="1633174286">
          <w:marLeft w:val="0"/>
          <w:marRight w:val="0"/>
          <w:marTop w:val="0"/>
          <w:marBottom w:val="0"/>
          <w:divBdr>
            <w:top w:val="none" w:sz="0" w:space="0" w:color="auto"/>
            <w:left w:val="none" w:sz="0" w:space="0" w:color="auto"/>
            <w:bottom w:val="none" w:sz="0" w:space="0" w:color="auto"/>
            <w:right w:val="none" w:sz="0" w:space="0" w:color="auto"/>
          </w:divBdr>
        </w:div>
        <w:div w:id="1753089331">
          <w:marLeft w:val="0"/>
          <w:marRight w:val="0"/>
          <w:marTop w:val="0"/>
          <w:marBottom w:val="0"/>
          <w:divBdr>
            <w:top w:val="none" w:sz="0" w:space="0" w:color="auto"/>
            <w:left w:val="none" w:sz="0" w:space="0" w:color="auto"/>
            <w:bottom w:val="none" w:sz="0" w:space="0" w:color="auto"/>
            <w:right w:val="none" w:sz="0" w:space="0" w:color="auto"/>
          </w:divBdr>
        </w:div>
        <w:div w:id="2012833315">
          <w:marLeft w:val="0"/>
          <w:marRight w:val="0"/>
          <w:marTop w:val="0"/>
          <w:marBottom w:val="0"/>
          <w:divBdr>
            <w:top w:val="none" w:sz="0" w:space="0" w:color="auto"/>
            <w:left w:val="none" w:sz="0" w:space="0" w:color="auto"/>
            <w:bottom w:val="none" w:sz="0" w:space="0" w:color="auto"/>
            <w:right w:val="none" w:sz="0" w:space="0" w:color="auto"/>
          </w:divBdr>
        </w:div>
        <w:div w:id="2140300815">
          <w:marLeft w:val="0"/>
          <w:marRight w:val="0"/>
          <w:marTop w:val="0"/>
          <w:marBottom w:val="0"/>
          <w:divBdr>
            <w:top w:val="none" w:sz="0" w:space="0" w:color="auto"/>
            <w:left w:val="none" w:sz="0" w:space="0" w:color="auto"/>
            <w:bottom w:val="none" w:sz="0" w:space="0" w:color="auto"/>
            <w:right w:val="none" w:sz="0" w:space="0" w:color="auto"/>
          </w:divBdr>
        </w:div>
      </w:divsChild>
    </w:div>
    <w:div w:id="262107951">
      <w:bodyDiv w:val="1"/>
      <w:marLeft w:val="0"/>
      <w:marRight w:val="0"/>
      <w:marTop w:val="0"/>
      <w:marBottom w:val="0"/>
      <w:divBdr>
        <w:top w:val="none" w:sz="0" w:space="0" w:color="auto"/>
        <w:left w:val="none" w:sz="0" w:space="0" w:color="auto"/>
        <w:bottom w:val="none" w:sz="0" w:space="0" w:color="auto"/>
        <w:right w:val="none" w:sz="0" w:space="0" w:color="auto"/>
      </w:divBdr>
      <w:divsChild>
        <w:div w:id="1482427132">
          <w:marLeft w:val="0"/>
          <w:marRight w:val="0"/>
          <w:marTop w:val="0"/>
          <w:marBottom w:val="0"/>
          <w:divBdr>
            <w:top w:val="none" w:sz="0" w:space="0" w:color="auto"/>
            <w:left w:val="none" w:sz="0" w:space="0" w:color="auto"/>
            <w:bottom w:val="none" w:sz="0" w:space="0" w:color="auto"/>
            <w:right w:val="none" w:sz="0" w:space="0" w:color="auto"/>
          </w:divBdr>
        </w:div>
        <w:div w:id="1599211464">
          <w:marLeft w:val="0"/>
          <w:marRight w:val="0"/>
          <w:marTop w:val="0"/>
          <w:marBottom w:val="0"/>
          <w:divBdr>
            <w:top w:val="none" w:sz="0" w:space="0" w:color="auto"/>
            <w:left w:val="none" w:sz="0" w:space="0" w:color="auto"/>
            <w:bottom w:val="none" w:sz="0" w:space="0" w:color="auto"/>
            <w:right w:val="none" w:sz="0" w:space="0" w:color="auto"/>
          </w:divBdr>
        </w:div>
        <w:div w:id="1805266549">
          <w:marLeft w:val="0"/>
          <w:marRight w:val="0"/>
          <w:marTop w:val="0"/>
          <w:marBottom w:val="0"/>
          <w:divBdr>
            <w:top w:val="none" w:sz="0" w:space="0" w:color="auto"/>
            <w:left w:val="none" w:sz="0" w:space="0" w:color="auto"/>
            <w:bottom w:val="none" w:sz="0" w:space="0" w:color="auto"/>
            <w:right w:val="none" w:sz="0" w:space="0" w:color="auto"/>
          </w:divBdr>
        </w:div>
        <w:div w:id="1884712520">
          <w:marLeft w:val="0"/>
          <w:marRight w:val="0"/>
          <w:marTop w:val="0"/>
          <w:marBottom w:val="0"/>
          <w:divBdr>
            <w:top w:val="none" w:sz="0" w:space="0" w:color="auto"/>
            <w:left w:val="none" w:sz="0" w:space="0" w:color="auto"/>
            <w:bottom w:val="none" w:sz="0" w:space="0" w:color="auto"/>
            <w:right w:val="none" w:sz="0" w:space="0" w:color="auto"/>
          </w:divBdr>
        </w:div>
      </w:divsChild>
    </w:div>
    <w:div w:id="328870194">
      <w:bodyDiv w:val="1"/>
      <w:marLeft w:val="0"/>
      <w:marRight w:val="0"/>
      <w:marTop w:val="0"/>
      <w:marBottom w:val="0"/>
      <w:divBdr>
        <w:top w:val="none" w:sz="0" w:space="0" w:color="auto"/>
        <w:left w:val="none" w:sz="0" w:space="0" w:color="auto"/>
        <w:bottom w:val="none" w:sz="0" w:space="0" w:color="auto"/>
        <w:right w:val="none" w:sz="0" w:space="0" w:color="auto"/>
      </w:divBdr>
      <w:divsChild>
        <w:div w:id="44457047">
          <w:marLeft w:val="0"/>
          <w:marRight w:val="0"/>
          <w:marTop w:val="0"/>
          <w:marBottom w:val="0"/>
          <w:divBdr>
            <w:top w:val="none" w:sz="0" w:space="0" w:color="auto"/>
            <w:left w:val="none" w:sz="0" w:space="0" w:color="auto"/>
            <w:bottom w:val="none" w:sz="0" w:space="0" w:color="auto"/>
            <w:right w:val="none" w:sz="0" w:space="0" w:color="auto"/>
          </w:divBdr>
          <w:divsChild>
            <w:div w:id="1467355527">
              <w:marLeft w:val="0"/>
              <w:marRight w:val="0"/>
              <w:marTop w:val="0"/>
              <w:marBottom w:val="0"/>
              <w:divBdr>
                <w:top w:val="none" w:sz="0" w:space="0" w:color="auto"/>
                <w:left w:val="none" w:sz="0" w:space="0" w:color="auto"/>
                <w:bottom w:val="none" w:sz="0" w:space="0" w:color="auto"/>
                <w:right w:val="none" w:sz="0" w:space="0" w:color="auto"/>
              </w:divBdr>
              <w:divsChild>
                <w:div w:id="819153544">
                  <w:marLeft w:val="0"/>
                  <w:marRight w:val="0"/>
                  <w:marTop w:val="0"/>
                  <w:marBottom w:val="0"/>
                  <w:divBdr>
                    <w:top w:val="none" w:sz="0" w:space="0" w:color="auto"/>
                    <w:left w:val="none" w:sz="0" w:space="0" w:color="auto"/>
                    <w:bottom w:val="none" w:sz="0" w:space="0" w:color="auto"/>
                    <w:right w:val="none" w:sz="0" w:space="0" w:color="auto"/>
                  </w:divBdr>
                  <w:divsChild>
                    <w:div w:id="964852018">
                      <w:marLeft w:val="0"/>
                      <w:marRight w:val="0"/>
                      <w:marTop w:val="0"/>
                      <w:marBottom w:val="0"/>
                      <w:divBdr>
                        <w:top w:val="none" w:sz="0" w:space="0" w:color="auto"/>
                        <w:left w:val="none" w:sz="0" w:space="0" w:color="auto"/>
                        <w:bottom w:val="none" w:sz="0" w:space="0" w:color="auto"/>
                        <w:right w:val="none" w:sz="0" w:space="0" w:color="auto"/>
                      </w:divBdr>
                      <w:divsChild>
                        <w:div w:id="1146700009">
                          <w:marLeft w:val="0"/>
                          <w:marRight w:val="0"/>
                          <w:marTop w:val="0"/>
                          <w:marBottom w:val="0"/>
                          <w:divBdr>
                            <w:top w:val="none" w:sz="0" w:space="0" w:color="auto"/>
                            <w:left w:val="none" w:sz="0" w:space="0" w:color="auto"/>
                            <w:bottom w:val="none" w:sz="0" w:space="0" w:color="auto"/>
                            <w:right w:val="none" w:sz="0" w:space="0" w:color="auto"/>
                          </w:divBdr>
                          <w:divsChild>
                            <w:div w:id="1931809124">
                              <w:marLeft w:val="0"/>
                              <w:marRight w:val="0"/>
                              <w:marTop w:val="0"/>
                              <w:marBottom w:val="0"/>
                              <w:divBdr>
                                <w:top w:val="none" w:sz="0" w:space="0" w:color="auto"/>
                                <w:left w:val="none" w:sz="0" w:space="0" w:color="auto"/>
                                <w:bottom w:val="none" w:sz="0" w:space="0" w:color="auto"/>
                                <w:right w:val="none" w:sz="0" w:space="0" w:color="auto"/>
                              </w:divBdr>
                              <w:divsChild>
                                <w:div w:id="951547398">
                                  <w:marLeft w:val="0"/>
                                  <w:marRight w:val="0"/>
                                  <w:marTop w:val="0"/>
                                  <w:marBottom w:val="0"/>
                                  <w:divBdr>
                                    <w:top w:val="none" w:sz="0" w:space="0" w:color="auto"/>
                                    <w:left w:val="none" w:sz="0" w:space="0" w:color="auto"/>
                                    <w:bottom w:val="none" w:sz="0" w:space="0" w:color="auto"/>
                                    <w:right w:val="none" w:sz="0" w:space="0" w:color="auto"/>
                                  </w:divBdr>
                                  <w:divsChild>
                                    <w:div w:id="1740522058">
                                      <w:marLeft w:val="0"/>
                                      <w:marRight w:val="0"/>
                                      <w:marTop w:val="0"/>
                                      <w:marBottom w:val="0"/>
                                      <w:divBdr>
                                        <w:top w:val="none" w:sz="0" w:space="0" w:color="auto"/>
                                        <w:left w:val="none" w:sz="0" w:space="0" w:color="auto"/>
                                        <w:bottom w:val="none" w:sz="0" w:space="0" w:color="auto"/>
                                        <w:right w:val="none" w:sz="0" w:space="0" w:color="auto"/>
                                      </w:divBdr>
                                      <w:divsChild>
                                        <w:div w:id="1378512269">
                                          <w:marLeft w:val="0"/>
                                          <w:marRight w:val="0"/>
                                          <w:marTop w:val="0"/>
                                          <w:marBottom w:val="0"/>
                                          <w:divBdr>
                                            <w:top w:val="none" w:sz="0" w:space="0" w:color="auto"/>
                                            <w:left w:val="none" w:sz="0" w:space="0" w:color="auto"/>
                                            <w:bottom w:val="none" w:sz="0" w:space="0" w:color="auto"/>
                                            <w:right w:val="none" w:sz="0" w:space="0" w:color="auto"/>
                                          </w:divBdr>
                                          <w:divsChild>
                                            <w:div w:id="212214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5599726">
          <w:marLeft w:val="0"/>
          <w:marRight w:val="0"/>
          <w:marTop w:val="0"/>
          <w:marBottom w:val="0"/>
          <w:divBdr>
            <w:top w:val="none" w:sz="0" w:space="0" w:color="auto"/>
            <w:left w:val="none" w:sz="0" w:space="0" w:color="auto"/>
            <w:bottom w:val="none" w:sz="0" w:space="0" w:color="auto"/>
            <w:right w:val="none" w:sz="0" w:space="0" w:color="auto"/>
          </w:divBdr>
          <w:divsChild>
            <w:div w:id="1640497683">
              <w:marLeft w:val="0"/>
              <w:marRight w:val="0"/>
              <w:marTop w:val="0"/>
              <w:marBottom w:val="0"/>
              <w:divBdr>
                <w:top w:val="none" w:sz="0" w:space="0" w:color="auto"/>
                <w:left w:val="none" w:sz="0" w:space="0" w:color="auto"/>
                <w:bottom w:val="none" w:sz="0" w:space="0" w:color="auto"/>
                <w:right w:val="none" w:sz="0" w:space="0" w:color="auto"/>
              </w:divBdr>
              <w:divsChild>
                <w:div w:id="1538810826">
                  <w:marLeft w:val="0"/>
                  <w:marRight w:val="0"/>
                  <w:marTop w:val="0"/>
                  <w:marBottom w:val="0"/>
                  <w:divBdr>
                    <w:top w:val="none" w:sz="0" w:space="0" w:color="auto"/>
                    <w:left w:val="none" w:sz="0" w:space="0" w:color="auto"/>
                    <w:bottom w:val="none" w:sz="0" w:space="0" w:color="auto"/>
                    <w:right w:val="none" w:sz="0" w:space="0" w:color="auto"/>
                  </w:divBdr>
                  <w:divsChild>
                    <w:div w:id="336540458">
                      <w:marLeft w:val="0"/>
                      <w:marRight w:val="0"/>
                      <w:marTop w:val="0"/>
                      <w:marBottom w:val="0"/>
                      <w:divBdr>
                        <w:top w:val="none" w:sz="0" w:space="0" w:color="auto"/>
                        <w:left w:val="none" w:sz="0" w:space="0" w:color="auto"/>
                        <w:bottom w:val="none" w:sz="0" w:space="0" w:color="auto"/>
                        <w:right w:val="none" w:sz="0" w:space="0" w:color="auto"/>
                      </w:divBdr>
                      <w:divsChild>
                        <w:div w:id="2020542478">
                          <w:marLeft w:val="0"/>
                          <w:marRight w:val="0"/>
                          <w:marTop w:val="0"/>
                          <w:marBottom w:val="0"/>
                          <w:divBdr>
                            <w:top w:val="none" w:sz="0" w:space="0" w:color="auto"/>
                            <w:left w:val="none" w:sz="0" w:space="0" w:color="auto"/>
                            <w:bottom w:val="none" w:sz="0" w:space="0" w:color="auto"/>
                            <w:right w:val="none" w:sz="0" w:space="0" w:color="auto"/>
                          </w:divBdr>
                          <w:divsChild>
                            <w:div w:id="1106928066">
                              <w:marLeft w:val="0"/>
                              <w:marRight w:val="0"/>
                              <w:marTop w:val="0"/>
                              <w:marBottom w:val="0"/>
                              <w:divBdr>
                                <w:top w:val="none" w:sz="0" w:space="0" w:color="auto"/>
                                <w:left w:val="none" w:sz="0" w:space="0" w:color="auto"/>
                                <w:bottom w:val="none" w:sz="0" w:space="0" w:color="auto"/>
                                <w:right w:val="none" w:sz="0" w:space="0" w:color="auto"/>
                              </w:divBdr>
                              <w:divsChild>
                                <w:div w:id="67117153">
                                  <w:marLeft w:val="0"/>
                                  <w:marRight w:val="0"/>
                                  <w:marTop w:val="0"/>
                                  <w:marBottom w:val="0"/>
                                  <w:divBdr>
                                    <w:top w:val="none" w:sz="0" w:space="0" w:color="auto"/>
                                    <w:left w:val="none" w:sz="0" w:space="0" w:color="auto"/>
                                    <w:bottom w:val="none" w:sz="0" w:space="0" w:color="auto"/>
                                    <w:right w:val="none" w:sz="0" w:space="0" w:color="auto"/>
                                  </w:divBdr>
                                  <w:divsChild>
                                    <w:div w:id="59952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389488">
      <w:bodyDiv w:val="1"/>
      <w:marLeft w:val="0"/>
      <w:marRight w:val="0"/>
      <w:marTop w:val="0"/>
      <w:marBottom w:val="0"/>
      <w:divBdr>
        <w:top w:val="none" w:sz="0" w:space="0" w:color="auto"/>
        <w:left w:val="none" w:sz="0" w:space="0" w:color="auto"/>
        <w:bottom w:val="none" w:sz="0" w:space="0" w:color="auto"/>
        <w:right w:val="none" w:sz="0" w:space="0" w:color="auto"/>
      </w:divBdr>
    </w:div>
    <w:div w:id="540824500">
      <w:bodyDiv w:val="1"/>
      <w:marLeft w:val="0"/>
      <w:marRight w:val="0"/>
      <w:marTop w:val="0"/>
      <w:marBottom w:val="0"/>
      <w:divBdr>
        <w:top w:val="none" w:sz="0" w:space="0" w:color="auto"/>
        <w:left w:val="none" w:sz="0" w:space="0" w:color="auto"/>
        <w:bottom w:val="none" w:sz="0" w:space="0" w:color="auto"/>
        <w:right w:val="none" w:sz="0" w:space="0" w:color="auto"/>
      </w:divBdr>
    </w:div>
    <w:div w:id="730621907">
      <w:bodyDiv w:val="1"/>
      <w:marLeft w:val="0"/>
      <w:marRight w:val="0"/>
      <w:marTop w:val="0"/>
      <w:marBottom w:val="0"/>
      <w:divBdr>
        <w:top w:val="none" w:sz="0" w:space="0" w:color="auto"/>
        <w:left w:val="none" w:sz="0" w:space="0" w:color="auto"/>
        <w:bottom w:val="none" w:sz="0" w:space="0" w:color="auto"/>
        <w:right w:val="none" w:sz="0" w:space="0" w:color="auto"/>
      </w:divBdr>
    </w:div>
    <w:div w:id="827132078">
      <w:bodyDiv w:val="1"/>
      <w:marLeft w:val="0"/>
      <w:marRight w:val="0"/>
      <w:marTop w:val="0"/>
      <w:marBottom w:val="0"/>
      <w:divBdr>
        <w:top w:val="none" w:sz="0" w:space="0" w:color="auto"/>
        <w:left w:val="none" w:sz="0" w:space="0" w:color="auto"/>
        <w:bottom w:val="none" w:sz="0" w:space="0" w:color="auto"/>
        <w:right w:val="none" w:sz="0" w:space="0" w:color="auto"/>
      </w:divBdr>
    </w:div>
    <w:div w:id="849107676">
      <w:bodyDiv w:val="1"/>
      <w:marLeft w:val="0"/>
      <w:marRight w:val="0"/>
      <w:marTop w:val="0"/>
      <w:marBottom w:val="0"/>
      <w:divBdr>
        <w:top w:val="none" w:sz="0" w:space="0" w:color="auto"/>
        <w:left w:val="none" w:sz="0" w:space="0" w:color="auto"/>
        <w:bottom w:val="none" w:sz="0" w:space="0" w:color="auto"/>
        <w:right w:val="none" w:sz="0" w:space="0" w:color="auto"/>
      </w:divBdr>
    </w:div>
    <w:div w:id="938835865">
      <w:bodyDiv w:val="1"/>
      <w:marLeft w:val="0"/>
      <w:marRight w:val="0"/>
      <w:marTop w:val="0"/>
      <w:marBottom w:val="0"/>
      <w:divBdr>
        <w:top w:val="none" w:sz="0" w:space="0" w:color="auto"/>
        <w:left w:val="none" w:sz="0" w:space="0" w:color="auto"/>
        <w:bottom w:val="none" w:sz="0" w:space="0" w:color="auto"/>
        <w:right w:val="none" w:sz="0" w:space="0" w:color="auto"/>
      </w:divBdr>
      <w:divsChild>
        <w:div w:id="444691530">
          <w:marLeft w:val="0"/>
          <w:marRight w:val="0"/>
          <w:marTop w:val="0"/>
          <w:marBottom w:val="0"/>
          <w:divBdr>
            <w:top w:val="none" w:sz="0" w:space="0" w:color="auto"/>
            <w:left w:val="none" w:sz="0" w:space="0" w:color="auto"/>
            <w:bottom w:val="none" w:sz="0" w:space="0" w:color="auto"/>
            <w:right w:val="none" w:sz="0" w:space="0" w:color="auto"/>
          </w:divBdr>
        </w:div>
        <w:div w:id="893931725">
          <w:marLeft w:val="0"/>
          <w:marRight w:val="0"/>
          <w:marTop w:val="0"/>
          <w:marBottom w:val="0"/>
          <w:divBdr>
            <w:top w:val="none" w:sz="0" w:space="0" w:color="auto"/>
            <w:left w:val="none" w:sz="0" w:space="0" w:color="auto"/>
            <w:bottom w:val="none" w:sz="0" w:space="0" w:color="auto"/>
            <w:right w:val="none" w:sz="0" w:space="0" w:color="auto"/>
          </w:divBdr>
        </w:div>
        <w:div w:id="936866583">
          <w:marLeft w:val="0"/>
          <w:marRight w:val="0"/>
          <w:marTop w:val="0"/>
          <w:marBottom w:val="0"/>
          <w:divBdr>
            <w:top w:val="none" w:sz="0" w:space="0" w:color="auto"/>
            <w:left w:val="none" w:sz="0" w:space="0" w:color="auto"/>
            <w:bottom w:val="none" w:sz="0" w:space="0" w:color="auto"/>
            <w:right w:val="none" w:sz="0" w:space="0" w:color="auto"/>
          </w:divBdr>
        </w:div>
        <w:div w:id="1476600945">
          <w:marLeft w:val="0"/>
          <w:marRight w:val="0"/>
          <w:marTop w:val="0"/>
          <w:marBottom w:val="0"/>
          <w:divBdr>
            <w:top w:val="none" w:sz="0" w:space="0" w:color="auto"/>
            <w:left w:val="none" w:sz="0" w:space="0" w:color="auto"/>
            <w:bottom w:val="none" w:sz="0" w:space="0" w:color="auto"/>
            <w:right w:val="none" w:sz="0" w:space="0" w:color="auto"/>
          </w:divBdr>
        </w:div>
        <w:div w:id="1481381848">
          <w:marLeft w:val="0"/>
          <w:marRight w:val="0"/>
          <w:marTop w:val="0"/>
          <w:marBottom w:val="0"/>
          <w:divBdr>
            <w:top w:val="none" w:sz="0" w:space="0" w:color="auto"/>
            <w:left w:val="none" w:sz="0" w:space="0" w:color="auto"/>
            <w:bottom w:val="none" w:sz="0" w:space="0" w:color="auto"/>
            <w:right w:val="none" w:sz="0" w:space="0" w:color="auto"/>
          </w:divBdr>
        </w:div>
        <w:div w:id="1488591018">
          <w:marLeft w:val="0"/>
          <w:marRight w:val="0"/>
          <w:marTop w:val="0"/>
          <w:marBottom w:val="0"/>
          <w:divBdr>
            <w:top w:val="none" w:sz="0" w:space="0" w:color="auto"/>
            <w:left w:val="none" w:sz="0" w:space="0" w:color="auto"/>
            <w:bottom w:val="none" w:sz="0" w:space="0" w:color="auto"/>
            <w:right w:val="none" w:sz="0" w:space="0" w:color="auto"/>
          </w:divBdr>
        </w:div>
        <w:div w:id="1636596119">
          <w:marLeft w:val="0"/>
          <w:marRight w:val="0"/>
          <w:marTop w:val="0"/>
          <w:marBottom w:val="0"/>
          <w:divBdr>
            <w:top w:val="none" w:sz="0" w:space="0" w:color="auto"/>
            <w:left w:val="none" w:sz="0" w:space="0" w:color="auto"/>
            <w:bottom w:val="none" w:sz="0" w:space="0" w:color="auto"/>
            <w:right w:val="none" w:sz="0" w:space="0" w:color="auto"/>
          </w:divBdr>
        </w:div>
      </w:divsChild>
    </w:div>
    <w:div w:id="953562626">
      <w:bodyDiv w:val="1"/>
      <w:marLeft w:val="0"/>
      <w:marRight w:val="0"/>
      <w:marTop w:val="0"/>
      <w:marBottom w:val="0"/>
      <w:divBdr>
        <w:top w:val="none" w:sz="0" w:space="0" w:color="auto"/>
        <w:left w:val="none" w:sz="0" w:space="0" w:color="auto"/>
        <w:bottom w:val="none" w:sz="0" w:space="0" w:color="auto"/>
        <w:right w:val="none" w:sz="0" w:space="0" w:color="auto"/>
      </w:divBdr>
      <w:divsChild>
        <w:div w:id="998967687">
          <w:marLeft w:val="0"/>
          <w:marRight w:val="0"/>
          <w:marTop w:val="0"/>
          <w:marBottom w:val="0"/>
          <w:divBdr>
            <w:top w:val="none" w:sz="0" w:space="0" w:color="auto"/>
            <w:left w:val="none" w:sz="0" w:space="0" w:color="auto"/>
            <w:bottom w:val="none" w:sz="0" w:space="0" w:color="auto"/>
            <w:right w:val="none" w:sz="0" w:space="0" w:color="auto"/>
          </w:divBdr>
        </w:div>
        <w:div w:id="430273935">
          <w:marLeft w:val="0"/>
          <w:marRight w:val="0"/>
          <w:marTop w:val="0"/>
          <w:marBottom w:val="0"/>
          <w:divBdr>
            <w:top w:val="none" w:sz="0" w:space="0" w:color="auto"/>
            <w:left w:val="none" w:sz="0" w:space="0" w:color="auto"/>
            <w:bottom w:val="none" w:sz="0" w:space="0" w:color="auto"/>
            <w:right w:val="none" w:sz="0" w:space="0" w:color="auto"/>
          </w:divBdr>
        </w:div>
        <w:div w:id="690110540">
          <w:marLeft w:val="0"/>
          <w:marRight w:val="0"/>
          <w:marTop w:val="0"/>
          <w:marBottom w:val="0"/>
          <w:divBdr>
            <w:top w:val="none" w:sz="0" w:space="0" w:color="auto"/>
            <w:left w:val="none" w:sz="0" w:space="0" w:color="auto"/>
            <w:bottom w:val="none" w:sz="0" w:space="0" w:color="auto"/>
            <w:right w:val="none" w:sz="0" w:space="0" w:color="auto"/>
          </w:divBdr>
        </w:div>
        <w:div w:id="897394729">
          <w:marLeft w:val="0"/>
          <w:marRight w:val="0"/>
          <w:marTop w:val="0"/>
          <w:marBottom w:val="0"/>
          <w:divBdr>
            <w:top w:val="none" w:sz="0" w:space="0" w:color="auto"/>
            <w:left w:val="none" w:sz="0" w:space="0" w:color="auto"/>
            <w:bottom w:val="none" w:sz="0" w:space="0" w:color="auto"/>
            <w:right w:val="none" w:sz="0" w:space="0" w:color="auto"/>
          </w:divBdr>
        </w:div>
        <w:div w:id="1286472848">
          <w:marLeft w:val="0"/>
          <w:marRight w:val="0"/>
          <w:marTop w:val="0"/>
          <w:marBottom w:val="0"/>
          <w:divBdr>
            <w:top w:val="none" w:sz="0" w:space="0" w:color="auto"/>
            <w:left w:val="none" w:sz="0" w:space="0" w:color="auto"/>
            <w:bottom w:val="none" w:sz="0" w:space="0" w:color="auto"/>
            <w:right w:val="none" w:sz="0" w:space="0" w:color="auto"/>
          </w:divBdr>
        </w:div>
        <w:div w:id="244846087">
          <w:marLeft w:val="0"/>
          <w:marRight w:val="0"/>
          <w:marTop w:val="0"/>
          <w:marBottom w:val="0"/>
          <w:divBdr>
            <w:top w:val="none" w:sz="0" w:space="0" w:color="auto"/>
            <w:left w:val="none" w:sz="0" w:space="0" w:color="auto"/>
            <w:bottom w:val="none" w:sz="0" w:space="0" w:color="auto"/>
            <w:right w:val="none" w:sz="0" w:space="0" w:color="auto"/>
          </w:divBdr>
        </w:div>
      </w:divsChild>
    </w:div>
    <w:div w:id="991249128">
      <w:bodyDiv w:val="1"/>
      <w:marLeft w:val="0"/>
      <w:marRight w:val="0"/>
      <w:marTop w:val="0"/>
      <w:marBottom w:val="0"/>
      <w:divBdr>
        <w:top w:val="none" w:sz="0" w:space="0" w:color="auto"/>
        <w:left w:val="none" w:sz="0" w:space="0" w:color="auto"/>
        <w:bottom w:val="none" w:sz="0" w:space="0" w:color="auto"/>
        <w:right w:val="none" w:sz="0" w:space="0" w:color="auto"/>
      </w:divBdr>
    </w:div>
    <w:div w:id="1129133166">
      <w:bodyDiv w:val="1"/>
      <w:marLeft w:val="0"/>
      <w:marRight w:val="0"/>
      <w:marTop w:val="0"/>
      <w:marBottom w:val="0"/>
      <w:divBdr>
        <w:top w:val="none" w:sz="0" w:space="0" w:color="auto"/>
        <w:left w:val="none" w:sz="0" w:space="0" w:color="auto"/>
        <w:bottom w:val="none" w:sz="0" w:space="0" w:color="auto"/>
        <w:right w:val="none" w:sz="0" w:space="0" w:color="auto"/>
      </w:divBdr>
    </w:div>
    <w:div w:id="1157187482">
      <w:bodyDiv w:val="1"/>
      <w:marLeft w:val="0"/>
      <w:marRight w:val="0"/>
      <w:marTop w:val="0"/>
      <w:marBottom w:val="0"/>
      <w:divBdr>
        <w:top w:val="none" w:sz="0" w:space="0" w:color="auto"/>
        <w:left w:val="none" w:sz="0" w:space="0" w:color="auto"/>
        <w:bottom w:val="none" w:sz="0" w:space="0" w:color="auto"/>
        <w:right w:val="none" w:sz="0" w:space="0" w:color="auto"/>
      </w:divBdr>
    </w:div>
    <w:div w:id="1243180771">
      <w:bodyDiv w:val="1"/>
      <w:marLeft w:val="0"/>
      <w:marRight w:val="0"/>
      <w:marTop w:val="0"/>
      <w:marBottom w:val="0"/>
      <w:divBdr>
        <w:top w:val="none" w:sz="0" w:space="0" w:color="auto"/>
        <w:left w:val="none" w:sz="0" w:space="0" w:color="auto"/>
        <w:bottom w:val="none" w:sz="0" w:space="0" w:color="auto"/>
        <w:right w:val="none" w:sz="0" w:space="0" w:color="auto"/>
      </w:divBdr>
      <w:divsChild>
        <w:div w:id="291790082">
          <w:marLeft w:val="0"/>
          <w:marRight w:val="0"/>
          <w:marTop w:val="0"/>
          <w:marBottom w:val="0"/>
          <w:divBdr>
            <w:top w:val="none" w:sz="0" w:space="0" w:color="auto"/>
            <w:left w:val="none" w:sz="0" w:space="0" w:color="auto"/>
            <w:bottom w:val="none" w:sz="0" w:space="0" w:color="auto"/>
            <w:right w:val="none" w:sz="0" w:space="0" w:color="auto"/>
          </w:divBdr>
          <w:divsChild>
            <w:div w:id="733311118">
              <w:marLeft w:val="0"/>
              <w:marRight w:val="0"/>
              <w:marTop w:val="0"/>
              <w:marBottom w:val="0"/>
              <w:divBdr>
                <w:top w:val="none" w:sz="0" w:space="0" w:color="auto"/>
                <w:left w:val="none" w:sz="0" w:space="0" w:color="auto"/>
                <w:bottom w:val="none" w:sz="0" w:space="0" w:color="auto"/>
                <w:right w:val="none" w:sz="0" w:space="0" w:color="auto"/>
              </w:divBdr>
              <w:divsChild>
                <w:div w:id="2078277927">
                  <w:marLeft w:val="0"/>
                  <w:marRight w:val="0"/>
                  <w:marTop w:val="0"/>
                  <w:marBottom w:val="0"/>
                  <w:divBdr>
                    <w:top w:val="none" w:sz="0" w:space="0" w:color="auto"/>
                    <w:left w:val="none" w:sz="0" w:space="0" w:color="auto"/>
                    <w:bottom w:val="none" w:sz="0" w:space="0" w:color="auto"/>
                    <w:right w:val="none" w:sz="0" w:space="0" w:color="auto"/>
                  </w:divBdr>
                  <w:divsChild>
                    <w:div w:id="281113117">
                      <w:marLeft w:val="0"/>
                      <w:marRight w:val="0"/>
                      <w:marTop w:val="0"/>
                      <w:marBottom w:val="0"/>
                      <w:divBdr>
                        <w:top w:val="none" w:sz="0" w:space="0" w:color="auto"/>
                        <w:left w:val="none" w:sz="0" w:space="0" w:color="auto"/>
                        <w:bottom w:val="none" w:sz="0" w:space="0" w:color="auto"/>
                        <w:right w:val="none" w:sz="0" w:space="0" w:color="auto"/>
                      </w:divBdr>
                      <w:divsChild>
                        <w:div w:id="68236185">
                          <w:marLeft w:val="0"/>
                          <w:marRight w:val="0"/>
                          <w:marTop w:val="0"/>
                          <w:marBottom w:val="0"/>
                          <w:divBdr>
                            <w:top w:val="none" w:sz="0" w:space="0" w:color="auto"/>
                            <w:left w:val="none" w:sz="0" w:space="0" w:color="auto"/>
                            <w:bottom w:val="none" w:sz="0" w:space="0" w:color="auto"/>
                            <w:right w:val="none" w:sz="0" w:space="0" w:color="auto"/>
                          </w:divBdr>
                          <w:divsChild>
                            <w:div w:id="103018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87214">
      <w:bodyDiv w:val="1"/>
      <w:marLeft w:val="0"/>
      <w:marRight w:val="0"/>
      <w:marTop w:val="0"/>
      <w:marBottom w:val="0"/>
      <w:divBdr>
        <w:top w:val="none" w:sz="0" w:space="0" w:color="auto"/>
        <w:left w:val="none" w:sz="0" w:space="0" w:color="auto"/>
        <w:bottom w:val="none" w:sz="0" w:space="0" w:color="auto"/>
        <w:right w:val="none" w:sz="0" w:space="0" w:color="auto"/>
      </w:divBdr>
    </w:div>
    <w:div w:id="1291741321">
      <w:bodyDiv w:val="1"/>
      <w:marLeft w:val="0"/>
      <w:marRight w:val="0"/>
      <w:marTop w:val="0"/>
      <w:marBottom w:val="0"/>
      <w:divBdr>
        <w:top w:val="none" w:sz="0" w:space="0" w:color="auto"/>
        <w:left w:val="none" w:sz="0" w:space="0" w:color="auto"/>
        <w:bottom w:val="none" w:sz="0" w:space="0" w:color="auto"/>
        <w:right w:val="none" w:sz="0" w:space="0" w:color="auto"/>
      </w:divBdr>
    </w:div>
    <w:div w:id="1407848107">
      <w:bodyDiv w:val="1"/>
      <w:marLeft w:val="0"/>
      <w:marRight w:val="0"/>
      <w:marTop w:val="0"/>
      <w:marBottom w:val="0"/>
      <w:divBdr>
        <w:top w:val="none" w:sz="0" w:space="0" w:color="auto"/>
        <w:left w:val="none" w:sz="0" w:space="0" w:color="auto"/>
        <w:bottom w:val="none" w:sz="0" w:space="0" w:color="auto"/>
        <w:right w:val="none" w:sz="0" w:space="0" w:color="auto"/>
      </w:divBdr>
      <w:divsChild>
        <w:div w:id="72163916">
          <w:marLeft w:val="0"/>
          <w:marRight w:val="0"/>
          <w:marTop w:val="0"/>
          <w:marBottom w:val="0"/>
          <w:divBdr>
            <w:top w:val="none" w:sz="0" w:space="0" w:color="auto"/>
            <w:left w:val="none" w:sz="0" w:space="0" w:color="auto"/>
            <w:bottom w:val="none" w:sz="0" w:space="0" w:color="auto"/>
            <w:right w:val="none" w:sz="0" w:space="0" w:color="auto"/>
          </w:divBdr>
        </w:div>
        <w:div w:id="161237783">
          <w:marLeft w:val="0"/>
          <w:marRight w:val="0"/>
          <w:marTop w:val="0"/>
          <w:marBottom w:val="0"/>
          <w:divBdr>
            <w:top w:val="none" w:sz="0" w:space="0" w:color="auto"/>
            <w:left w:val="none" w:sz="0" w:space="0" w:color="auto"/>
            <w:bottom w:val="none" w:sz="0" w:space="0" w:color="auto"/>
            <w:right w:val="none" w:sz="0" w:space="0" w:color="auto"/>
          </w:divBdr>
        </w:div>
        <w:div w:id="274870498">
          <w:marLeft w:val="0"/>
          <w:marRight w:val="0"/>
          <w:marTop w:val="0"/>
          <w:marBottom w:val="0"/>
          <w:divBdr>
            <w:top w:val="none" w:sz="0" w:space="0" w:color="auto"/>
            <w:left w:val="none" w:sz="0" w:space="0" w:color="auto"/>
            <w:bottom w:val="none" w:sz="0" w:space="0" w:color="auto"/>
            <w:right w:val="none" w:sz="0" w:space="0" w:color="auto"/>
          </w:divBdr>
        </w:div>
        <w:div w:id="396905791">
          <w:marLeft w:val="0"/>
          <w:marRight w:val="0"/>
          <w:marTop w:val="0"/>
          <w:marBottom w:val="0"/>
          <w:divBdr>
            <w:top w:val="none" w:sz="0" w:space="0" w:color="auto"/>
            <w:left w:val="none" w:sz="0" w:space="0" w:color="auto"/>
            <w:bottom w:val="none" w:sz="0" w:space="0" w:color="auto"/>
            <w:right w:val="none" w:sz="0" w:space="0" w:color="auto"/>
          </w:divBdr>
        </w:div>
        <w:div w:id="1183470975">
          <w:marLeft w:val="0"/>
          <w:marRight w:val="0"/>
          <w:marTop w:val="0"/>
          <w:marBottom w:val="0"/>
          <w:divBdr>
            <w:top w:val="none" w:sz="0" w:space="0" w:color="auto"/>
            <w:left w:val="none" w:sz="0" w:space="0" w:color="auto"/>
            <w:bottom w:val="none" w:sz="0" w:space="0" w:color="auto"/>
            <w:right w:val="none" w:sz="0" w:space="0" w:color="auto"/>
          </w:divBdr>
        </w:div>
        <w:div w:id="1420173061">
          <w:marLeft w:val="0"/>
          <w:marRight w:val="0"/>
          <w:marTop w:val="0"/>
          <w:marBottom w:val="0"/>
          <w:divBdr>
            <w:top w:val="none" w:sz="0" w:space="0" w:color="auto"/>
            <w:left w:val="none" w:sz="0" w:space="0" w:color="auto"/>
            <w:bottom w:val="none" w:sz="0" w:space="0" w:color="auto"/>
            <w:right w:val="none" w:sz="0" w:space="0" w:color="auto"/>
          </w:divBdr>
        </w:div>
      </w:divsChild>
    </w:div>
    <w:div w:id="1485732966">
      <w:bodyDiv w:val="1"/>
      <w:marLeft w:val="0"/>
      <w:marRight w:val="0"/>
      <w:marTop w:val="0"/>
      <w:marBottom w:val="0"/>
      <w:divBdr>
        <w:top w:val="none" w:sz="0" w:space="0" w:color="auto"/>
        <w:left w:val="none" w:sz="0" w:space="0" w:color="auto"/>
        <w:bottom w:val="none" w:sz="0" w:space="0" w:color="auto"/>
        <w:right w:val="none" w:sz="0" w:space="0" w:color="auto"/>
      </w:divBdr>
      <w:divsChild>
        <w:div w:id="466312773">
          <w:marLeft w:val="0"/>
          <w:marRight w:val="0"/>
          <w:marTop w:val="0"/>
          <w:marBottom w:val="0"/>
          <w:divBdr>
            <w:top w:val="none" w:sz="0" w:space="0" w:color="auto"/>
            <w:left w:val="none" w:sz="0" w:space="0" w:color="auto"/>
            <w:bottom w:val="none" w:sz="0" w:space="0" w:color="auto"/>
            <w:right w:val="none" w:sz="0" w:space="0" w:color="auto"/>
          </w:divBdr>
        </w:div>
        <w:div w:id="589509785">
          <w:marLeft w:val="0"/>
          <w:marRight w:val="0"/>
          <w:marTop w:val="0"/>
          <w:marBottom w:val="0"/>
          <w:divBdr>
            <w:top w:val="none" w:sz="0" w:space="0" w:color="auto"/>
            <w:left w:val="none" w:sz="0" w:space="0" w:color="auto"/>
            <w:bottom w:val="none" w:sz="0" w:space="0" w:color="auto"/>
            <w:right w:val="none" w:sz="0" w:space="0" w:color="auto"/>
          </w:divBdr>
        </w:div>
        <w:div w:id="771439179">
          <w:marLeft w:val="0"/>
          <w:marRight w:val="0"/>
          <w:marTop w:val="0"/>
          <w:marBottom w:val="0"/>
          <w:divBdr>
            <w:top w:val="none" w:sz="0" w:space="0" w:color="auto"/>
            <w:left w:val="none" w:sz="0" w:space="0" w:color="auto"/>
            <w:bottom w:val="none" w:sz="0" w:space="0" w:color="auto"/>
            <w:right w:val="none" w:sz="0" w:space="0" w:color="auto"/>
          </w:divBdr>
        </w:div>
        <w:div w:id="1538662011">
          <w:marLeft w:val="0"/>
          <w:marRight w:val="0"/>
          <w:marTop w:val="0"/>
          <w:marBottom w:val="0"/>
          <w:divBdr>
            <w:top w:val="none" w:sz="0" w:space="0" w:color="auto"/>
            <w:left w:val="none" w:sz="0" w:space="0" w:color="auto"/>
            <w:bottom w:val="none" w:sz="0" w:space="0" w:color="auto"/>
            <w:right w:val="none" w:sz="0" w:space="0" w:color="auto"/>
          </w:divBdr>
        </w:div>
        <w:div w:id="1566989515">
          <w:marLeft w:val="0"/>
          <w:marRight w:val="0"/>
          <w:marTop w:val="0"/>
          <w:marBottom w:val="0"/>
          <w:divBdr>
            <w:top w:val="none" w:sz="0" w:space="0" w:color="auto"/>
            <w:left w:val="none" w:sz="0" w:space="0" w:color="auto"/>
            <w:bottom w:val="none" w:sz="0" w:space="0" w:color="auto"/>
            <w:right w:val="none" w:sz="0" w:space="0" w:color="auto"/>
          </w:divBdr>
        </w:div>
        <w:div w:id="1909261626">
          <w:marLeft w:val="0"/>
          <w:marRight w:val="0"/>
          <w:marTop w:val="0"/>
          <w:marBottom w:val="0"/>
          <w:divBdr>
            <w:top w:val="none" w:sz="0" w:space="0" w:color="auto"/>
            <w:left w:val="none" w:sz="0" w:space="0" w:color="auto"/>
            <w:bottom w:val="none" w:sz="0" w:space="0" w:color="auto"/>
            <w:right w:val="none" w:sz="0" w:space="0" w:color="auto"/>
          </w:divBdr>
        </w:div>
      </w:divsChild>
    </w:div>
    <w:div w:id="1615400096">
      <w:bodyDiv w:val="1"/>
      <w:marLeft w:val="0"/>
      <w:marRight w:val="0"/>
      <w:marTop w:val="0"/>
      <w:marBottom w:val="0"/>
      <w:divBdr>
        <w:top w:val="none" w:sz="0" w:space="0" w:color="auto"/>
        <w:left w:val="none" w:sz="0" w:space="0" w:color="auto"/>
        <w:bottom w:val="none" w:sz="0" w:space="0" w:color="auto"/>
        <w:right w:val="none" w:sz="0" w:space="0" w:color="auto"/>
      </w:divBdr>
    </w:div>
    <w:div w:id="1629781882">
      <w:bodyDiv w:val="1"/>
      <w:marLeft w:val="0"/>
      <w:marRight w:val="0"/>
      <w:marTop w:val="0"/>
      <w:marBottom w:val="0"/>
      <w:divBdr>
        <w:top w:val="none" w:sz="0" w:space="0" w:color="auto"/>
        <w:left w:val="none" w:sz="0" w:space="0" w:color="auto"/>
        <w:bottom w:val="none" w:sz="0" w:space="0" w:color="auto"/>
        <w:right w:val="none" w:sz="0" w:space="0" w:color="auto"/>
      </w:divBdr>
    </w:div>
    <w:div w:id="1684092941">
      <w:bodyDiv w:val="1"/>
      <w:marLeft w:val="0"/>
      <w:marRight w:val="0"/>
      <w:marTop w:val="0"/>
      <w:marBottom w:val="0"/>
      <w:divBdr>
        <w:top w:val="none" w:sz="0" w:space="0" w:color="auto"/>
        <w:left w:val="none" w:sz="0" w:space="0" w:color="auto"/>
        <w:bottom w:val="none" w:sz="0" w:space="0" w:color="auto"/>
        <w:right w:val="none" w:sz="0" w:space="0" w:color="auto"/>
      </w:divBdr>
      <w:divsChild>
        <w:div w:id="216012823">
          <w:marLeft w:val="0"/>
          <w:marRight w:val="0"/>
          <w:marTop w:val="0"/>
          <w:marBottom w:val="0"/>
          <w:divBdr>
            <w:top w:val="none" w:sz="0" w:space="0" w:color="auto"/>
            <w:left w:val="none" w:sz="0" w:space="0" w:color="auto"/>
            <w:bottom w:val="none" w:sz="0" w:space="0" w:color="auto"/>
            <w:right w:val="none" w:sz="0" w:space="0" w:color="auto"/>
          </w:divBdr>
        </w:div>
        <w:div w:id="835919560">
          <w:marLeft w:val="0"/>
          <w:marRight w:val="0"/>
          <w:marTop w:val="0"/>
          <w:marBottom w:val="0"/>
          <w:divBdr>
            <w:top w:val="none" w:sz="0" w:space="0" w:color="auto"/>
            <w:left w:val="none" w:sz="0" w:space="0" w:color="auto"/>
            <w:bottom w:val="none" w:sz="0" w:space="0" w:color="auto"/>
            <w:right w:val="none" w:sz="0" w:space="0" w:color="auto"/>
          </w:divBdr>
        </w:div>
      </w:divsChild>
    </w:div>
    <w:div w:id="1695885882">
      <w:bodyDiv w:val="1"/>
      <w:marLeft w:val="0"/>
      <w:marRight w:val="0"/>
      <w:marTop w:val="0"/>
      <w:marBottom w:val="0"/>
      <w:divBdr>
        <w:top w:val="none" w:sz="0" w:space="0" w:color="auto"/>
        <w:left w:val="none" w:sz="0" w:space="0" w:color="auto"/>
        <w:bottom w:val="none" w:sz="0" w:space="0" w:color="auto"/>
        <w:right w:val="none" w:sz="0" w:space="0" w:color="auto"/>
      </w:divBdr>
    </w:div>
    <w:div w:id="1725986199">
      <w:bodyDiv w:val="1"/>
      <w:marLeft w:val="0"/>
      <w:marRight w:val="0"/>
      <w:marTop w:val="0"/>
      <w:marBottom w:val="0"/>
      <w:divBdr>
        <w:top w:val="none" w:sz="0" w:space="0" w:color="auto"/>
        <w:left w:val="none" w:sz="0" w:space="0" w:color="auto"/>
        <w:bottom w:val="none" w:sz="0" w:space="0" w:color="auto"/>
        <w:right w:val="none" w:sz="0" w:space="0" w:color="auto"/>
      </w:divBdr>
      <w:divsChild>
        <w:div w:id="331101834">
          <w:marLeft w:val="0"/>
          <w:marRight w:val="0"/>
          <w:marTop w:val="0"/>
          <w:marBottom w:val="0"/>
          <w:divBdr>
            <w:top w:val="none" w:sz="0" w:space="0" w:color="auto"/>
            <w:left w:val="none" w:sz="0" w:space="0" w:color="auto"/>
            <w:bottom w:val="none" w:sz="0" w:space="0" w:color="auto"/>
            <w:right w:val="none" w:sz="0" w:space="0" w:color="auto"/>
          </w:divBdr>
        </w:div>
        <w:div w:id="924345457">
          <w:marLeft w:val="0"/>
          <w:marRight w:val="0"/>
          <w:marTop w:val="0"/>
          <w:marBottom w:val="0"/>
          <w:divBdr>
            <w:top w:val="none" w:sz="0" w:space="0" w:color="auto"/>
            <w:left w:val="none" w:sz="0" w:space="0" w:color="auto"/>
            <w:bottom w:val="none" w:sz="0" w:space="0" w:color="auto"/>
            <w:right w:val="none" w:sz="0" w:space="0" w:color="auto"/>
          </w:divBdr>
        </w:div>
        <w:div w:id="1083844650">
          <w:marLeft w:val="0"/>
          <w:marRight w:val="0"/>
          <w:marTop w:val="0"/>
          <w:marBottom w:val="0"/>
          <w:divBdr>
            <w:top w:val="none" w:sz="0" w:space="0" w:color="auto"/>
            <w:left w:val="none" w:sz="0" w:space="0" w:color="auto"/>
            <w:bottom w:val="none" w:sz="0" w:space="0" w:color="auto"/>
            <w:right w:val="none" w:sz="0" w:space="0" w:color="auto"/>
          </w:divBdr>
        </w:div>
        <w:div w:id="1418207319">
          <w:marLeft w:val="0"/>
          <w:marRight w:val="0"/>
          <w:marTop w:val="0"/>
          <w:marBottom w:val="0"/>
          <w:divBdr>
            <w:top w:val="none" w:sz="0" w:space="0" w:color="auto"/>
            <w:left w:val="none" w:sz="0" w:space="0" w:color="auto"/>
            <w:bottom w:val="none" w:sz="0" w:space="0" w:color="auto"/>
            <w:right w:val="none" w:sz="0" w:space="0" w:color="auto"/>
          </w:divBdr>
        </w:div>
        <w:div w:id="1646425857">
          <w:marLeft w:val="0"/>
          <w:marRight w:val="0"/>
          <w:marTop w:val="0"/>
          <w:marBottom w:val="0"/>
          <w:divBdr>
            <w:top w:val="none" w:sz="0" w:space="0" w:color="auto"/>
            <w:left w:val="none" w:sz="0" w:space="0" w:color="auto"/>
            <w:bottom w:val="none" w:sz="0" w:space="0" w:color="auto"/>
            <w:right w:val="none" w:sz="0" w:space="0" w:color="auto"/>
          </w:divBdr>
        </w:div>
        <w:div w:id="1845198118">
          <w:marLeft w:val="0"/>
          <w:marRight w:val="0"/>
          <w:marTop w:val="0"/>
          <w:marBottom w:val="0"/>
          <w:divBdr>
            <w:top w:val="none" w:sz="0" w:space="0" w:color="auto"/>
            <w:left w:val="none" w:sz="0" w:space="0" w:color="auto"/>
            <w:bottom w:val="none" w:sz="0" w:space="0" w:color="auto"/>
            <w:right w:val="none" w:sz="0" w:space="0" w:color="auto"/>
          </w:divBdr>
        </w:div>
      </w:divsChild>
    </w:div>
    <w:div w:id="2056155672">
      <w:bodyDiv w:val="1"/>
      <w:marLeft w:val="0"/>
      <w:marRight w:val="0"/>
      <w:marTop w:val="0"/>
      <w:marBottom w:val="0"/>
      <w:divBdr>
        <w:top w:val="none" w:sz="0" w:space="0" w:color="auto"/>
        <w:left w:val="none" w:sz="0" w:space="0" w:color="auto"/>
        <w:bottom w:val="none" w:sz="0" w:space="0" w:color="auto"/>
        <w:right w:val="none" w:sz="0" w:space="0" w:color="auto"/>
      </w:divBdr>
      <w:divsChild>
        <w:div w:id="631903213">
          <w:marLeft w:val="0"/>
          <w:marRight w:val="0"/>
          <w:marTop w:val="0"/>
          <w:marBottom w:val="0"/>
          <w:divBdr>
            <w:top w:val="none" w:sz="0" w:space="0" w:color="auto"/>
            <w:left w:val="none" w:sz="0" w:space="0" w:color="auto"/>
            <w:bottom w:val="none" w:sz="0" w:space="0" w:color="auto"/>
            <w:right w:val="none" w:sz="0" w:space="0" w:color="auto"/>
          </w:divBdr>
        </w:div>
        <w:div w:id="894201480">
          <w:marLeft w:val="0"/>
          <w:marRight w:val="0"/>
          <w:marTop w:val="0"/>
          <w:marBottom w:val="0"/>
          <w:divBdr>
            <w:top w:val="none" w:sz="0" w:space="0" w:color="auto"/>
            <w:left w:val="none" w:sz="0" w:space="0" w:color="auto"/>
            <w:bottom w:val="none" w:sz="0" w:space="0" w:color="auto"/>
            <w:right w:val="none" w:sz="0" w:space="0" w:color="auto"/>
          </w:divBdr>
        </w:div>
        <w:div w:id="1007904169">
          <w:marLeft w:val="0"/>
          <w:marRight w:val="0"/>
          <w:marTop w:val="0"/>
          <w:marBottom w:val="0"/>
          <w:divBdr>
            <w:top w:val="none" w:sz="0" w:space="0" w:color="auto"/>
            <w:left w:val="none" w:sz="0" w:space="0" w:color="auto"/>
            <w:bottom w:val="none" w:sz="0" w:space="0" w:color="auto"/>
            <w:right w:val="none" w:sz="0" w:space="0" w:color="auto"/>
          </w:divBdr>
        </w:div>
        <w:div w:id="1064372977">
          <w:marLeft w:val="0"/>
          <w:marRight w:val="0"/>
          <w:marTop w:val="0"/>
          <w:marBottom w:val="0"/>
          <w:divBdr>
            <w:top w:val="none" w:sz="0" w:space="0" w:color="auto"/>
            <w:left w:val="none" w:sz="0" w:space="0" w:color="auto"/>
            <w:bottom w:val="none" w:sz="0" w:space="0" w:color="auto"/>
            <w:right w:val="none" w:sz="0" w:space="0" w:color="auto"/>
          </w:divBdr>
        </w:div>
        <w:div w:id="1943536134">
          <w:marLeft w:val="0"/>
          <w:marRight w:val="0"/>
          <w:marTop w:val="0"/>
          <w:marBottom w:val="0"/>
          <w:divBdr>
            <w:top w:val="none" w:sz="0" w:space="0" w:color="auto"/>
            <w:left w:val="none" w:sz="0" w:space="0" w:color="auto"/>
            <w:bottom w:val="none" w:sz="0" w:space="0" w:color="auto"/>
            <w:right w:val="none" w:sz="0" w:space="0" w:color="auto"/>
          </w:divBdr>
        </w:div>
      </w:divsChild>
    </w:div>
    <w:div w:id="213721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resconrec.2019.104583" TargetMode="External"/><Relationship Id="rId21" Type="http://schemas.openxmlformats.org/officeDocument/2006/relationships/hyperlink" Target="https://doi.org/10.14746/sr.2021.5.3.05" TargetMode="External"/><Relationship Id="rId42" Type="http://schemas.openxmlformats.org/officeDocument/2006/relationships/hyperlink" Target="https://doi.org/10.1080/00913367.2017.1281777" TargetMode="External"/><Relationship Id="rId47" Type="http://schemas.openxmlformats.org/officeDocument/2006/relationships/hyperlink" Target="https://doi.org/10.1080/13563467.2019.1598964" TargetMode="External"/><Relationship Id="rId63" Type="http://schemas.openxmlformats.org/officeDocument/2006/relationships/hyperlink" Target="https://doi.org/10.1007/s43615-022-00172-y" TargetMode="External"/><Relationship Id="rId68" Type="http://schemas.openxmlformats.org/officeDocument/2006/relationships/hyperlink" Target="https://doi.org/10.1016/j.jclepro.2018.07.230" TargetMode="External"/><Relationship Id="rId84" Type="http://schemas.openxmlformats.org/officeDocument/2006/relationships/hyperlink" Target="https://doi.org/10.1016/j.jclepro.2015.12.061" TargetMode="External"/><Relationship Id="rId89" Type="http://schemas.openxmlformats.org/officeDocument/2006/relationships/header" Target="header2.xml"/><Relationship Id="rId16" Type="http://schemas.openxmlformats.org/officeDocument/2006/relationships/hyperlink" Target="https://doi.org/10.1111/jiec.12603" TargetMode="External"/><Relationship Id="rId11" Type="http://schemas.openxmlformats.org/officeDocument/2006/relationships/hyperlink" Target="https://doi.org/10.1002/bse.3046" TargetMode="External"/><Relationship Id="rId32" Type="http://schemas.openxmlformats.org/officeDocument/2006/relationships/hyperlink" Target="https://doi.org/10.1504/ijbpscm.2024.140034" TargetMode="External"/><Relationship Id="rId37" Type="http://schemas.openxmlformats.org/officeDocument/2006/relationships/hyperlink" Target="https://doi.org/10.1016/j.jclepro.2006.12.006" TargetMode="External"/><Relationship Id="rId53" Type="http://schemas.openxmlformats.org/officeDocument/2006/relationships/hyperlink" Target="https://doi.org/10.1080/07488008808408783" TargetMode="External"/><Relationship Id="rId58" Type="http://schemas.openxmlformats.org/officeDocument/2006/relationships/hyperlink" Target="https://doi.org/10.1177/001316447003000308" TargetMode="External"/><Relationship Id="rId74" Type="http://schemas.openxmlformats.org/officeDocument/2006/relationships/hyperlink" Target="https://doi.org/10.1016/j.envdev.2015.09.002" TargetMode="External"/><Relationship Id="rId79" Type="http://schemas.openxmlformats.org/officeDocument/2006/relationships/hyperlink" Target="https://doi.org/10.1108/14635771011049326" TargetMode="External"/><Relationship Id="rId5" Type="http://schemas.openxmlformats.org/officeDocument/2006/relationships/webSettings" Target="webSettings.xml"/><Relationship Id="rId90" Type="http://schemas.openxmlformats.org/officeDocument/2006/relationships/footer" Target="footer1.xml"/><Relationship Id="rId22" Type="http://schemas.openxmlformats.org/officeDocument/2006/relationships/hyperlink" Target="https://doi.org/10.1016/j.jclepro.2020.122558" TargetMode="External"/><Relationship Id="rId27" Type="http://schemas.openxmlformats.org/officeDocument/2006/relationships/hyperlink" Target="https://doi.org/10.18848/2325-1115/cgp/v12i01/25-35" TargetMode="External"/><Relationship Id="rId43" Type="http://schemas.openxmlformats.org/officeDocument/2006/relationships/hyperlink" Target="https://doi.org/10.1007/978-3-030-80519-7_5" TargetMode="External"/><Relationship Id="rId48" Type="http://schemas.openxmlformats.org/officeDocument/2006/relationships/hyperlink" Target="https://doi.org/10.1111/jiec.12977" TargetMode="External"/><Relationship Id="rId64" Type="http://schemas.openxmlformats.org/officeDocument/2006/relationships/hyperlink" Target="https://doi.org/10.14448/jes.01.0002" TargetMode="External"/><Relationship Id="rId69" Type="http://schemas.openxmlformats.org/officeDocument/2006/relationships/hyperlink" Target="https://doi.org/10.4018/978-1-7998-8014-1.ch003" TargetMode="External"/><Relationship Id="rId8" Type="http://schemas.openxmlformats.org/officeDocument/2006/relationships/hyperlink" Target="https://doi.org/10.3390/su13168997" TargetMode="External"/><Relationship Id="rId51" Type="http://schemas.openxmlformats.org/officeDocument/2006/relationships/hyperlink" Target="https://doi.org/10.1007/s43615-025-00511-9" TargetMode="External"/><Relationship Id="rId72" Type="http://schemas.openxmlformats.org/officeDocument/2006/relationships/hyperlink" Target="https://doi.org/10.1108/ijlm-04-2018-0109" TargetMode="External"/><Relationship Id="rId80" Type="http://schemas.openxmlformats.org/officeDocument/2006/relationships/hyperlink" Target="https://doi.org/10.1016/j.resconrec.2017.10.033" TargetMode="External"/><Relationship Id="rId85" Type="http://schemas.openxmlformats.org/officeDocument/2006/relationships/hyperlink" Target="https://doi.org/10.1016/j.jclepro.2017.03.177"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1016/j.envdev.2013.04.001" TargetMode="External"/><Relationship Id="rId17" Type="http://schemas.openxmlformats.org/officeDocument/2006/relationships/hyperlink" Target="https://doi.org/10.1002/bse.2069" TargetMode="External"/><Relationship Id="rId25" Type="http://schemas.openxmlformats.org/officeDocument/2006/relationships/hyperlink" Target="https://doi.org/10.1002/bse.2336" TargetMode="External"/><Relationship Id="rId33" Type="http://schemas.openxmlformats.org/officeDocument/2006/relationships/hyperlink" Target="https://doi.org/10.1007/s10018-018-0223-z" TargetMode="External"/><Relationship Id="rId38" Type="http://schemas.openxmlformats.org/officeDocument/2006/relationships/hyperlink" Target="https://doi.org/10.3390/su12062459" TargetMode="External"/><Relationship Id="rId46" Type="http://schemas.openxmlformats.org/officeDocument/2006/relationships/hyperlink" Target="https://doi.org/10.1016/j.rmal.2022.100027" TargetMode="External"/><Relationship Id="rId59" Type="http://schemas.openxmlformats.org/officeDocument/2006/relationships/hyperlink" Target="https://doi.org/10.1111/j.1745-3992.2007.00099.x" TargetMode="External"/><Relationship Id="rId67" Type="http://schemas.openxmlformats.org/officeDocument/2006/relationships/hyperlink" Target="https://doi.org/10.1016/j.procir.2017.02.047" TargetMode="External"/><Relationship Id="rId20" Type="http://schemas.openxmlformats.org/officeDocument/2006/relationships/hyperlink" Target="https://doi.org/10.1080/23311975.2020.1818408" TargetMode="External"/><Relationship Id="rId41" Type="http://schemas.openxmlformats.org/officeDocument/2006/relationships/hyperlink" Target="https://doi.org/10.1016/j.jclepro.2016.03.126" TargetMode="External"/><Relationship Id="rId54" Type="http://schemas.openxmlformats.org/officeDocument/2006/relationships/hyperlink" Target="https://doi.org/10.4236/ib.2011.34052" TargetMode="External"/><Relationship Id="rId62" Type="http://schemas.openxmlformats.org/officeDocument/2006/relationships/hyperlink" Target="https://doi.org/10.13140/RG.2.1.3516.8725" TargetMode="External"/><Relationship Id="rId70" Type="http://schemas.openxmlformats.org/officeDocument/2006/relationships/hyperlink" Target="https://doi.org/10.1177/21582440241240624" TargetMode="External"/><Relationship Id="rId75" Type="http://schemas.openxmlformats.org/officeDocument/2006/relationships/hyperlink" Target="https://doi.org/10.1016/j.resconrec.2018.10.027" TargetMode="External"/><Relationship Id="rId83" Type="http://schemas.openxmlformats.org/officeDocument/2006/relationships/hyperlink" Target="https://doi.org/10.1002/bse.2048" TargetMode="External"/><Relationship Id="rId88" Type="http://schemas.openxmlformats.org/officeDocument/2006/relationships/header" Target="header1.xml"/><Relationship Id="rId9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wasman.2011.10.004" TargetMode="External"/><Relationship Id="rId23" Type="http://schemas.openxmlformats.org/officeDocument/2006/relationships/hyperlink" Target="https://doi.org/10.1017/cbo9780511802843" TargetMode="External"/><Relationship Id="rId28" Type="http://schemas.openxmlformats.org/officeDocument/2006/relationships/hyperlink" Target="https://doi.org/10.1111/j.1467-8551.2006.00500.x" TargetMode="External"/><Relationship Id="rId36" Type="http://schemas.openxmlformats.org/officeDocument/2006/relationships/hyperlink" Target="https://doi.org/10.1016/j.jclepro.2015.09.007" TargetMode="External"/><Relationship Id="rId49" Type="http://schemas.openxmlformats.org/officeDocument/2006/relationships/hyperlink" Target="https://doi.org/10.1016/j.techfore.2017.09.010" TargetMode="External"/><Relationship Id="rId57" Type="http://schemas.openxmlformats.org/officeDocument/2006/relationships/hyperlink" Target="https://doi.org/10.1016/j.ecolecon.2009.11.002" TargetMode="External"/><Relationship Id="rId10" Type="http://schemas.openxmlformats.org/officeDocument/2006/relationships/hyperlink" Target="https://doi.org/10.1037/0033-2909.103.3.411" TargetMode="External"/><Relationship Id="rId31" Type="http://schemas.openxmlformats.org/officeDocument/2006/relationships/hyperlink" Target="https://doi.org/10.1002/tie.21764" TargetMode="External"/><Relationship Id="rId44" Type="http://schemas.openxmlformats.org/officeDocument/2006/relationships/hyperlink" Target="https://doi.org/10.1108/ebr-10-2013-0128" TargetMode="External"/><Relationship Id="rId52" Type="http://schemas.openxmlformats.org/officeDocument/2006/relationships/hyperlink" Target="https://doi.org/10.1007/s11625-014-0264-6" TargetMode="External"/><Relationship Id="rId60" Type="http://schemas.openxmlformats.org/officeDocument/2006/relationships/hyperlink" Target="https://doi.org/10.1016/j.jclepro.2015.12.042" TargetMode="External"/><Relationship Id="rId65" Type="http://schemas.openxmlformats.org/officeDocument/2006/relationships/hyperlink" Target="https://doi.org/10.1016/j.jclepro.2021.128629" TargetMode="External"/><Relationship Id="rId73" Type="http://schemas.openxmlformats.org/officeDocument/2006/relationships/hyperlink" Target="https://doi.org/10.3390/logistics7010001" TargetMode="External"/><Relationship Id="rId78" Type="http://schemas.openxmlformats.org/officeDocument/2006/relationships/hyperlink" Target="https://doi.org/10.1016/j.ijpe.2019.02.011" TargetMode="External"/><Relationship Id="rId81" Type="http://schemas.openxmlformats.org/officeDocument/2006/relationships/hyperlink" Target="https://doi.org/10.1016/j.ecolecon.2013.05.016" TargetMode="External"/><Relationship Id="rId86" Type="http://schemas.openxmlformats.org/officeDocument/2006/relationships/hyperlink" Target="https://doi.org/10.1016/j.jclepro.2018.01.089" TargetMode="External"/><Relationship Id="rId4" Type="http://schemas.openxmlformats.org/officeDocument/2006/relationships/settings" Target="settings.xml"/><Relationship Id="rId9" Type="http://schemas.openxmlformats.org/officeDocument/2006/relationships/hyperlink" Target="https://doi.org/10.1016/j.jclepro.2020.123421" TargetMode="External"/><Relationship Id="rId13" Type="http://schemas.openxmlformats.org/officeDocument/2006/relationships/hyperlink" Target="https://doi.org/10.1002/bse.2518" TargetMode="External"/><Relationship Id="rId18" Type="http://schemas.openxmlformats.org/officeDocument/2006/relationships/hyperlink" Target="https://doi.org/10.4324/9780203807644" TargetMode="External"/><Relationship Id="rId39" Type="http://schemas.openxmlformats.org/officeDocument/2006/relationships/hyperlink" Target="https://doi.org/10.1146/annurev.es.26.110195.000245" TargetMode="External"/><Relationship Id="rId34" Type="http://schemas.openxmlformats.org/officeDocument/2006/relationships/hyperlink" Target="https://doi.org/10.1016/j.omega.2015.05.015" TargetMode="External"/><Relationship Id="rId50" Type="http://schemas.openxmlformats.org/officeDocument/2006/relationships/hyperlink" Target="https://doi.org/10.1108/bij-11-2017-0304" TargetMode="External"/><Relationship Id="rId55" Type="http://schemas.openxmlformats.org/officeDocument/2006/relationships/hyperlink" Target="https://doi.org/10.1016/s0261-5177(02)00006-7" TargetMode="External"/><Relationship Id="rId76" Type="http://schemas.openxmlformats.org/officeDocument/2006/relationships/hyperlink" Target="https://doi.org/10.28992/ijsam.v3i2.99" TargetMode="External"/><Relationship Id="rId7" Type="http://schemas.openxmlformats.org/officeDocument/2006/relationships/endnotes" Target="endnotes.xml"/><Relationship Id="rId71" Type="http://schemas.openxmlformats.org/officeDocument/2006/relationships/hyperlink" Target="https://doi.org/10.1016/j.rser.2017.01.011"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doi.org/10.4337/9781839100598.00026" TargetMode="External"/><Relationship Id="rId24" Type="http://schemas.openxmlformats.org/officeDocument/2006/relationships/hyperlink" Target="https://doi.org/10.1080/00207543.2018.1519264" TargetMode="External"/><Relationship Id="rId40" Type="http://schemas.openxmlformats.org/officeDocument/2006/relationships/hyperlink" Target="https://doi.org/10.13140/2.1.4786.528" TargetMode="External"/><Relationship Id="rId45" Type="http://schemas.openxmlformats.org/officeDocument/2006/relationships/hyperlink" Target="https://doi.org/10.2753/mtp1069-6679190202" TargetMode="External"/><Relationship Id="rId66" Type="http://schemas.openxmlformats.org/officeDocument/2006/relationships/hyperlink" Target="https://doi.org/10.1016/j.jclepro.2017.08.213" TargetMode="External"/><Relationship Id="rId87" Type="http://schemas.openxmlformats.org/officeDocument/2006/relationships/hyperlink" Target="https://doi.org/10.1016/j.tre.2021.102509" TargetMode="External"/><Relationship Id="rId61" Type="http://schemas.openxmlformats.org/officeDocument/2006/relationships/hyperlink" Target="https://doi.org/10.1016/s0272-6963(98)00021-7" TargetMode="External"/><Relationship Id="rId82" Type="http://schemas.openxmlformats.org/officeDocument/2006/relationships/hyperlink" Target="https://doi.org/10.1038/531435a" TargetMode="External"/><Relationship Id="rId19" Type="http://schemas.openxmlformats.org/officeDocument/2006/relationships/hyperlink" Target="https://doi.org/10.2307/20650323" TargetMode="External"/><Relationship Id="rId14" Type="http://schemas.openxmlformats.org/officeDocument/2006/relationships/hyperlink" Target="https://iiste.org/Journals/index.php/IEL/article/download/2240/2253" TargetMode="External"/><Relationship Id="rId30" Type="http://schemas.openxmlformats.org/officeDocument/2006/relationships/hyperlink" Target="https://doi.org/10.1108/jic-06-2017-0079" TargetMode="External"/><Relationship Id="rId35" Type="http://schemas.openxmlformats.org/officeDocument/2006/relationships/hyperlink" Target="https://doi.org/10.1016/j.envsoft.2015.06.014" TargetMode="External"/><Relationship Id="rId56" Type="http://schemas.openxmlformats.org/officeDocument/2006/relationships/hyperlink" Target="https://doi.org/10.1016/j.ecolecon.2017.06.041" TargetMode="External"/><Relationship Id="rId77" Type="http://schemas.openxmlformats.org/officeDocument/2006/relationships/hyperlink" Target="https://doi.org/10.1177/09721509166456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CC39B-191F-4DA0-8626-C78EC0035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28</Pages>
  <Words>34075</Words>
  <Characters>194232</Characters>
  <Application>Microsoft Office Word</Application>
  <DocSecurity>0</DocSecurity>
  <Lines>1618</Lines>
  <Paragraphs>455</Paragraphs>
  <ScaleCrop>false</ScaleCrop>
  <HeadingPairs>
    <vt:vector size="2" baseType="variant">
      <vt:variant>
        <vt:lpstr>Title</vt:lpstr>
      </vt:variant>
      <vt:variant>
        <vt:i4>1</vt:i4>
      </vt:variant>
    </vt:vector>
  </HeadingPairs>
  <TitlesOfParts>
    <vt:vector size="1" baseType="lpstr">
      <vt:lpstr/>
    </vt:vector>
  </TitlesOfParts>
  <Company>University of Newcastle</Company>
  <LinksUpToDate>false</LinksUpToDate>
  <CharactersWithSpaces>227852</CharactersWithSpaces>
  <SharedDoc>false</SharedDoc>
  <HLinks>
    <vt:vector size="30" baseType="variant">
      <vt:variant>
        <vt:i4>1704015</vt:i4>
      </vt:variant>
      <vt:variant>
        <vt:i4>9</vt:i4>
      </vt:variant>
      <vt:variant>
        <vt:i4>0</vt:i4>
      </vt:variant>
      <vt:variant>
        <vt:i4>5</vt:i4>
      </vt:variant>
      <vt:variant>
        <vt:lpwstr>http://www.emeraldinsight.com/search.htm?ct=all&amp;st1=Simon+Lavers&amp;fd1=aut&amp;PHPSESSID=p5t2f4c7prtm8v39n3bojqs5c3</vt:lpwstr>
      </vt:variant>
      <vt:variant>
        <vt:lpwstr/>
      </vt:variant>
      <vt:variant>
        <vt:i4>327710</vt:i4>
      </vt:variant>
      <vt:variant>
        <vt:i4>6</vt:i4>
      </vt:variant>
      <vt:variant>
        <vt:i4>0</vt:i4>
      </vt:variant>
      <vt:variant>
        <vt:i4>5</vt:i4>
      </vt:variant>
      <vt:variant>
        <vt:lpwstr>http://www.ingentaconnect.com/content/mcb/059</vt:lpwstr>
      </vt:variant>
      <vt:variant>
        <vt:lpwstr/>
      </vt:variant>
      <vt:variant>
        <vt:i4>4653067</vt:i4>
      </vt:variant>
      <vt:variant>
        <vt:i4>2</vt:i4>
      </vt:variant>
      <vt:variant>
        <vt:i4>0</vt:i4>
      </vt:variant>
      <vt:variant>
        <vt:i4>5</vt:i4>
      </vt:variant>
      <vt:variant>
        <vt:lpwstr/>
      </vt:variant>
      <vt:variant>
        <vt:lpwstr>_ENREF_6</vt:lpwstr>
      </vt:variant>
      <vt:variant>
        <vt:i4>7471200</vt:i4>
      </vt:variant>
      <vt:variant>
        <vt:i4>3</vt:i4>
      </vt:variant>
      <vt:variant>
        <vt:i4>0</vt:i4>
      </vt:variant>
      <vt:variant>
        <vt:i4>5</vt:i4>
      </vt:variant>
      <vt:variant>
        <vt:lpwstr>http://www.specials.rediff.com/</vt:lpwstr>
      </vt:variant>
      <vt:variant>
        <vt:lpwstr/>
      </vt:variant>
      <vt:variant>
        <vt:i4>8257660</vt:i4>
      </vt:variant>
      <vt:variant>
        <vt:i4>0</vt:i4>
      </vt:variant>
      <vt:variant>
        <vt:i4>0</vt:i4>
      </vt:variant>
      <vt:variant>
        <vt:i4>5</vt:i4>
      </vt:variant>
      <vt:variant>
        <vt:lpwstr>http://edgar.jrc.ec.europa.eu/CO2REPORT2012.pdf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anny yang</cp:lastModifiedBy>
  <cp:revision>6</cp:revision>
  <cp:lastPrinted>2025-12-21T03:32:00Z</cp:lastPrinted>
  <dcterms:created xsi:type="dcterms:W3CDTF">2025-12-13T17:00:00Z</dcterms:created>
  <dcterms:modified xsi:type="dcterms:W3CDTF">2025-12-21T09:43:00Z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id="ll5c6OxH"/&gt;&lt;style id="http://www.zotero.org/styles/apa" locale="en-US" hasBibliography="1" bibliographyStyleHasBeenSet="1"/&gt;&lt;prefs&gt;&lt;pref name="fieldType" value="Field"/&gt;&lt;/prefs&gt;&lt;/data&gt;</vt:lpwstr>
  </property>
  <property fmtid="{D5CDD505-2E9C-101B-9397-08002B2CF9AE}" pid="3" name="GrammarlyDocumentId">
    <vt:lpwstr>80d7c304-49c6-45f5-8cef-baec88a5aed1</vt:lpwstr>
  </property>
</Properties>
</file>