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81730" w14:textId="77777777" w:rsidR="004F5D9D" w:rsidRPr="005F1B2C" w:rsidRDefault="00534E43" w:rsidP="00172688">
      <w:pPr>
        <w:spacing w:beforeLines="150" w:before="360" w:after="0" w:line="520" w:lineRule="exact"/>
        <w:jc w:val="center"/>
        <w:rPr>
          <w:rFonts w:ascii="Times New Roman" w:hAnsi="Times New Roman" w:cs="Times New Roman"/>
          <w:b/>
          <w:sz w:val="32"/>
          <w:szCs w:val="32"/>
        </w:rPr>
      </w:pPr>
      <w:bookmarkStart w:id="0" w:name="_Hlk127350359"/>
      <w:bookmarkStart w:id="1" w:name="_Hlk161445730"/>
      <w:r>
        <w:rPr>
          <w:rFonts w:ascii="Times New Roman" w:hAnsi="Times New Roman" w:cs="Times New Roman"/>
          <w:b/>
          <w:sz w:val="32"/>
          <w:szCs w:val="32"/>
        </w:rPr>
        <w:t>Brand Avoidance: Scale Development and Validation</w:t>
      </w:r>
    </w:p>
    <w:p w14:paraId="225E5139" w14:textId="77777777" w:rsidR="004F5D9D" w:rsidRPr="005F1B2C" w:rsidRDefault="004F5D9D" w:rsidP="00172688">
      <w:pPr>
        <w:snapToGrid w:val="0"/>
        <w:spacing w:after="0" w:line="300" w:lineRule="auto"/>
        <w:jc w:val="center"/>
        <w:rPr>
          <w:rFonts w:ascii="Times New Roman" w:hAnsi="Times New Roman" w:cs="Times New Roman"/>
          <w:sz w:val="26"/>
          <w:szCs w:val="26"/>
          <w:shd w:val="clear" w:color="auto" w:fill="FFFFFF"/>
        </w:rPr>
      </w:pPr>
    </w:p>
    <w:p w14:paraId="175EC7CF" w14:textId="77777777" w:rsidR="004F5D9D" w:rsidRPr="005F1B2C" w:rsidRDefault="00534E43" w:rsidP="00172688">
      <w:pPr>
        <w:snapToGrid w:val="0"/>
        <w:spacing w:after="0" w:line="300" w:lineRule="auto"/>
        <w:jc w:val="center"/>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 xml:space="preserve">Ajay Chandel </w:t>
      </w:r>
    </w:p>
    <w:p w14:paraId="2A240A58" w14:textId="77777777" w:rsidR="004F5D9D" w:rsidRPr="005F1B2C" w:rsidRDefault="00534E43" w:rsidP="00172688">
      <w:pPr>
        <w:snapToGrid w:val="0"/>
        <w:spacing w:after="0" w:line="300" w:lineRule="auto"/>
        <w:jc w:val="center"/>
        <w:rPr>
          <w:rFonts w:ascii="Times New Roman" w:hAnsi="Times New Roman" w:cs="Times New Roman"/>
          <w:bCs/>
          <w:sz w:val="26"/>
          <w:szCs w:val="26"/>
        </w:rPr>
      </w:pPr>
      <w:r>
        <w:rPr>
          <w:rFonts w:ascii="Times New Roman" w:hAnsi="Times New Roman" w:cs="Times New Roman"/>
          <w:bCs/>
          <w:sz w:val="26"/>
          <w:szCs w:val="26"/>
        </w:rPr>
        <w:t>Mittal School of Business, Lovely Professional University, Punjab, India.</w:t>
      </w:r>
    </w:p>
    <w:p w14:paraId="43ADAA02" w14:textId="77777777" w:rsidR="004F5D9D" w:rsidRPr="005F1B2C" w:rsidRDefault="00534E43" w:rsidP="00172688">
      <w:pPr>
        <w:snapToGrid w:val="0"/>
        <w:spacing w:after="0" w:line="300" w:lineRule="auto"/>
        <w:ind w:left="2160" w:firstLine="720"/>
        <w:rPr>
          <w:rFonts w:ascii="Times New Roman" w:eastAsia="Calibri" w:hAnsi="Times New Roman" w:cs="Times New Roman"/>
          <w:sz w:val="26"/>
          <w:szCs w:val="26"/>
          <w:shd w:val="clear" w:color="auto" w:fill="FFFFFF"/>
          <w:lang w:bidi="fa-IR"/>
        </w:rPr>
      </w:pPr>
      <w:r>
        <w:rPr>
          <w:rFonts w:ascii="Times New Roman" w:eastAsia="SimSun" w:hAnsi="Times New Roman" w:cs="Times New Roman"/>
          <w:sz w:val="26"/>
          <w:szCs w:val="26"/>
          <w:lang w:val="vi-VN" w:eastAsia="zh-CN"/>
        </w:rPr>
        <w:t>E-M</w:t>
      </w:r>
      <w:r>
        <w:rPr>
          <w:rFonts w:ascii="Times New Roman" w:eastAsia="新細明體" w:hAnsi="Times New Roman" w:cs="Times New Roman"/>
          <w:sz w:val="26"/>
          <w:szCs w:val="26"/>
          <w:lang w:val="vi-VN" w:eastAsia="zh-TW"/>
        </w:rPr>
        <w:t>ail:</w:t>
      </w:r>
      <w:r>
        <w:rPr>
          <w:rFonts w:ascii="Times New Roman" w:eastAsia="新細明體" w:hAnsi="Times New Roman" w:cs="Times New Roman"/>
          <w:sz w:val="26"/>
          <w:szCs w:val="26"/>
          <w:lang w:eastAsia="zh-TW"/>
        </w:rPr>
        <w:t xml:space="preserve"> </w:t>
      </w:r>
      <w:r>
        <w:rPr>
          <w:rFonts w:ascii="Times New Roman" w:hAnsi="Times New Roman" w:cs="Times New Roman"/>
          <w:bCs/>
          <w:sz w:val="26"/>
          <w:szCs w:val="26"/>
        </w:rPr>
        <w:t xml:space="preserve">ajaysinghchandel2@gmail.com </w:t>
      </w:r>
    </w:p>
    <w:p w14:paraId="785FF8F9" w14:textId="77777777" w:rsidR="004F5D9D" w:rsidRPr="005F1B2C" w:rsidRDefault="004F5D9D" w:rsidP="00172688">
      <w:pPr>
        <w:snapToGrid w:val="0"/>
        <w:spacing w:after="0" w:line="300" w:lineRule="auto"/>
        <w:jc w:val="center"/>
        <w:rPr>
          <w:rFonts w:ascii="Times New Roman" w:hAnsi="Times New Roman" w:cs="Times New Roman"/>
          <w:bCs/>
          <w:sz w:val="26"/>
          <w:szCs w:val="26"/>
        </w:rPr>
      </w:pPr>
    </w:p>
    <w:p w14:paraId="14DF5807" w14:textId="2E1B2172" w:rsidR="004F5D9D" w:rsidRPr="005F1B2C" w:rsidRDefault="00534E43" w:rsidP="00172688">
      <w:pPr>
        <w:snapToGrid w:val="0"/>
        <w:spacing w:after="0" w:line="300" w:lineRule="auto"/>
        <w:jc w:val="center"/>
        <w:rPr>
          <w:rFonts w:ascii="Times New Roman" w:hAnsi="Times New Roman" w:cs="Times New Roman"/>
          <w:bCs/>
          <w:sz w:val="26"/>
          <w:szCs w:val="26"/>
        </w:rPr>
      </w:pPr>
      <w:proofErr w:type="spellStart"/>
      <w:r>
        <w:rPr>
          <w:rFonts w:ascii="Times New Roman" w:hAnsi="Times New Roman" w:cs="Times New Roman"/>
          <w:bCs/>
          <w:sz w:val="26"/>
          <w:szCs w:val="26"/>
        </w:rPr>
        <w:t>Rohail</w:t>
      </w:r>
      <w:proofErr w:type="spellEnd"/>
      <w:r>
        <w:rPr>
          <w:rFonts w:ascii="Times New Roman" w:hAnsi="Times New Roman" w:cs="Times New Roman"/>
          <w:bCs/>
          <w:sz w:val="26"/>
          <w:szCs w:val="26"/>
        </w:rPr>
        <w:t xml:space="preserve"> Hassan</w:t>
      </w:r>
    </w:p>
    <w:p w14:paraId="5740C9DA" w14:textId="77777777" w:rsidR="004F5D9D" w:rsidRPr="005F1B2C" w:rsidRDefault="00534E43" w:rsidP="00172688">
      <w:pPr>
        <w:snapToGrid w:val="0"/>
        <w:spacing w:after="0" w:line="300" w:lineRule="auto"/>
        <w:jc w:val="center"/>
        <w:rPr>
          <w:rFonts w:ascii="Times New Roman" w:hAnsi="Times New Roman" w:cs="Times New Roman"/>
          <w:bCs/>
          <w:sz w:val="26"/>
          <w:szCs w:val="26"/>
        </w:rPr>
      </w:pPr>
      <w:r>
        <w:rPr>
          <w:rFonts w:ascii="Times New Roman" w:hAnsi="Times New Roman" w:cs="Times New Roman"/>
          <w:bCs/>
          <w:sz w:val="26"/>
          <w:szCs w:val="26"/>
        </w:rPr>
        <w:t>Othman Yeop Abdullah Graduate School of Business (OYAGSB), Universiti Utara Malaysia,</w:t>
      </w:r>
      <w:r>
        <w:rPr>
          <w:rFonts w:ascii="Times New Roman" w:hAnsi="Times New Roman" w:cs="Times New Roman" w:hint="eastAsia"/>
          <w:bCs/>
          <w:sz w:val="26"/>
          <w:szCs w:val="26"/>
          <w:lang w:eastAsia="zh-TW"/>
        </w:rPr>
        <w:t xml:space="preserve"> </w:t>
      </w:r>
      <w:r>
        <w:rPr>
          <w:rFonts w:ascii="Times New Roman" w:hAnsi="Times New Roman" w:cs="Times New Roman"/>
          <w:bCs/>
          <w:sz w:val="26"/>
          <w:szCs w:val="26"/>
        </w:rPr>
        <w:t>Kuala Lumpur, Malaysia.</w:t>
      </w:r>
    </w:p>
    <w:p w14:paraId="6B8C8AB5" w14:textId="77777777" w:rsidR="004F5D9D" w:rsidRPr="005F1B2C" w:rsidRDefault="00534E43" w:rsidP="00172688">
      <w:pPr>
        <w:snapToGrid w:val="0"/>
        <w:spacing w:after="0" w:line="300" w:lineRule="auto"/>
        <w:jc w:val="center"/>
        <w:rPr>
          <w:rFonts w:ascii="Times New Roman" w:hAnsi="Times New Roman" w:cs="Times New Roman"/>
          <w:bCs/>
          <w:sz w:val="28"/>
          <w:szCs w:val="28"/>
        </w:rPr>
      </w:pPr>
      <w:r w:rsidRPr="007B32C6">
        <w:rPr>
          <w:rFonts w:ascii="Times New Roman" w:hAnsi="Times New Roman" w:cs="Times New Roman"/>
          <w:bCs/>
          <w:sz w:val="24"/>
          <w:szCs w:val="24"/>
        </w:rPr>
        <w:t>School of Business, VIZJA University, Warsaw, Poland</w:t>
      </w:r>
      <w:r>
        <w:rPr>
          <w:rFonts w:ascii="Times New Roman" w:hAnsi="Times New Roman" w:cs="Times New Roman"/>
          <w:bCs/>
          <w:sz w:val="28"/>
          <w:szCs w:val="28"/>
        </w:rPr>
        <w:t xml:space="preserve"> </w:t>
      </w:r>
    </w:p>
    <w:p w14:paraId="09B22BC8" w14:textId="77777777" w:rsidR="004F5D9D" w:rsidRPr="005F1B2C" w:rsidRDefault="00534E43" w:rsidP="00172688">
      <w:pPr>
        <w:snapToGrid w:val="0"/>
        <w:spacing w:after="0" w:line="300" w:lineRule="auto"/>
        <w:jc w:val="center"/>
        <w:rPr>
          <w:rFonts w:ascii="Times New Roman" w:eastAsia="SimSun" w:hAnsi="Times New Roman" w:cs="Times New Roman"/>
          <w:sz w:val="26"/>
          <w:szCs w:val="26"/>
          <w:lang w:val="vi-VN" w:eastAsia="zh-CN"/>
        </w:rPr>
      </w:pPr>
      <w:r>
        <w:rPr>
          <w:rFonts w:ascii="Times New Roman" w:eastAsia="SimSun" w:hAnsi="Times New Roman" w:cs="Times New Roman"/>
          <w:sz w:val="26"/>
          <w:szCs w:val="26"/>
          <w:lang w:val="vi-VN" w:eastAsia="zh-CN"/>
        </w:rPr>
        <w:t>E-Mail: rohail.hassan@uum.edu.my</w:t>
      </w:r>
    </w:p>
    <w:p w14:paraId="13464C09" w14:textId="77777777" w:rsidR="004F5D9D" w:rsidRPr="005F1B2C" w:rsidRDefault="004F5D9D" w:rsidP="00172688">
      <w:pPr>
        <w:snapToGrid w:val="0"/>
        <w:spacing w:after="0" w:line="300" w:lineRule="auto"/>
        <w:jc w:val="center"/>
        <w:rPr>
          <w:rFonts w:ascii="Times New Roman" w:hAnsi="Times New Roman" w:cs="Times New Roman"/>
          <w:b/>
          <w:sz w:val="26"/>
          <w:szCs w:val="26"/>
        </w:rPr>
      </w:pPr>
    </w:p>
    <w:p w14:paraId="0ADFA77A" w14:textId="77777777" w:rsidR="004F5D9D" w:rsidRPr="005F1B2C" w:rsidRDefault="00534E43" w:rsidP="00172688">
      <w:pPr>
        <w:snapToGrid w:val="0"/>
        <w:spacing w:after="0" w:line="300" w:lineRule="auto"/>
        <w:jc w:val="center"/>
        <w:rPr>
          <w:rFonts w:ascii="Times New Roman" w:hAnsi="Times New Roman" w:cs="Times New Roman"/>
          <w:bCs/>
          <w:sz w:val="26"/>
          <w:szCs w:val="26"/>
        </w:rPr>
      </w:pPr>
      <w:r>
        <w:rPr>
          <w:rFonts w:ascii="Times New Roman" w:hAnsi="Times New Roman" w:cs="Times New Roman"/>
          <w:bCs/>
          <w:sz w:val="26"/>
          <w:szCs w:val="26"/>
        </w:rPr>
        <w:t>Punam Mishra</w:t>
      </w:r>
    </w:p>
    <w:p w14:paraId="41289B42" w14:textId="77777777" w:rsidR="004F5D9D" w:rsidRPr="005F1B2C" w:rsidRDefault="00534E43" w:rsidP="00172688">
      <w:pPr>
        <w:snapToGrid w:val="0"/>
        <w:spacing w:after="0" w:line="300" w:lineRule="auto"/>
        <w:jc w:val="center"/>
        <w:rPr>
          <w:rFonts w:ascii="Times New Roman" w:hAnsi="Times New Roman" w:cs="Times New Roman"/>
          <w:bCs/>
          <w:sz w:val="26"/>
          <w:szCs w:val="26"/>
        </w:rPr>
      </w:pPr>
      <w:r>
        <w:rPr>
          <w:rFonts w:ascii="Times New Roman" w:hAnsi="Times New Roman" w:cs="Times New Roman"/>
          <w:bCs/>
          <w:sz w:val="26"/>
          <w:szCs w:val="26"/>
        </w:rPr>
        <w:t>Institute of Management, JK Lakshmipat University, Jaipur, Rajasthan, India.</w:t>
      </w:r>
    </w:p>
    <w:p w14:paraId="4DD905B2" w14:textId="77777777" w:rsidR="004F5D9D" w:rsidRPr="005F1B2C" w:rsidRDefault="00534E43" w:rsidP="00172688">
      <w:pPr>
        <w:snapToGrid w:val="0"/>
        <w:spacing w:after="0" w:line="300" w:lineRule="auto"/>
        <w:jc w:val="center"/>
        <w:rPr>
          <w:rFonts w:ascii="Times New Roman" w:hAnsi="Times New Roman" w:cs="Times New Roman"/>
          <w:bCs/>
          <w:sz w:val="26"/>
          <w:szCs w:val="26"/>
        </w:rPr>
      </w:pPr>
      <w:r>
        <w:rPr>
          <w:rFonts w:ascii="Times New Roman" w:hAnsi="Times New Roman" w:cs="Times New Roman"/>
          <w:bCs/>
          <w:sz w:val="26"/>
          <w:szCs w:val="26"/>
        </w:rPr>
        <w:t>Email: punammishra@jklu.edu.in</w:t>
      </w:r>
    </w:p>
    <w:p w14:paraId="19BC6BE3" w14:textId="77777777" w:rsidR="004F5D9D" w:rsidRPr="005F1B2C" w:rsidRDefault="004F5D9D" w:rsidP="00172688">
      <w:pPr>
        <w:snapToGrid w:val="0"/>
        <w:spacing w:after="0" w:line="300" w:lineRule="auto"/>
        <w:jc w:val="center"/>
        <w:rPr>
          <w:rFonts w:ascii="Times New Roman" w:hAnsi="Times New Roman" w:cs="Times New Roman"/>
          <w:bCs/>
          <w:sz w:val="26"/>
          <w:szCs w:val="26"/>
        </w:rPr>
      </w:pPr>
    </w:p>
    <w:p w14:paraId="6C839E5B" w14:textId="77777777" w:rsidR="004F5D9D" w:rsidRPr="005F1B2C" w:rsidRDefault="00534E43" w:rsidP="00172688">
      <w:pPr>
        <w:snapToGrid w:val="0"/>
        <w:spacing w:after="0" w:line="300" w:lineRule="auto"/>
        <w:jc w:val="center"/>
        <w:rPr>
          <w:rFonts w:ascii="Times New Roman" w:hAnsi="Times New Roman" w:cs="Times New Roman"/>
          <w:bCs/>
          <w:sz w:val="26"/>
          <w:szCs w:val="26"/>
        </w:rPr>
      </w:pPr>
      <w:r>
        <w:rPr>
          <w:rFonts w:ascii="Times New Roman" w:hAnsi="Times New Roman" w:cs="Times New Roman"/>
          <w:bCs/>
          <w:sz w:val="26"/>
          <w:szCs w:val="26"/>
        </w:rPr>
        <w:t>Anurag Pahuja</w:t>
      </w:r>
    </w:p>
    <w:p w14:paraId="105F006C" w14:textId="77777777" w:rsidR="004F5D9D" w:rsidRPr="005F1B2C" w:rsidRDefault="00534E43" w:rsidP="00172688">
      <w:pPr>
        <w:snapToGrid w:val="0"/>
        <w:spacing w:after="0" w:line="300" w:lineRule="auto"/>
        <w:jc w:val="center"/>
        <w:rPr>
          <w:rFonts w:ascii="Times New Roman" w:hAnsi="Times New Roman" w:cs="Times New Roman"/>
          <w:bCs/>
          <w:sz w:val="26"/>
          <w:szCs w:val="26"/>
        </w:rPr>
      </w:pPr>
      <w:r>
        <w:rPr>
          <w:rFonts w:ascii="Times New Roman" w:hAnsi="Times New Roman" w:cs="Times New Roman"/>
          <w:bCs/>
          <w:sz w:val="26"/>
          <w:szCs w:val="26"/>
        </w:rPr>
        <w:t>Mittal School of Business, Lovely Professional University, Punjab, India.</w:t>
      </w:r>
    </w:p>
    <w:p w14:paraId="279FF059" w14:textId="77777777" w:rsidR="004F5D9D" w:rsidRPr="005F1B2C" w:rsidRDefault="00534E43" w:rsidP="00172688">
      <w:pPr>
        <w:snapToGrid w:val="0"/>
        <w:spacing w:after="0" w:line="300" w:lineRule="auto"/>
        <w:jc w:val="center"/>
        <w:rPr>
          <w:rFonts w:ascii="Times New Roman" w:hAnsi="Times New Roman" w:cs="Times New Roman"/>
          <w:bCs/>
          <w:sz w:val="26"/>
          <w:szCs w:val="26"/>
        </w:rPr>
      </w:pPr>
      <w:r>
        <w:rPr>
          <w:rFonts w:ascii="Times New Roman" w:hAnsi="Times New Roman" w:cs="Times New Roman"/>
          <w:bCs/>
          <w:sz w:val="26"/>
          <w:szCs w:val="26"/>
        </w:rPr>
        <w:t>Email: anuragpahuja77@gmail.com</w:t>
      </w:r>
    </w:p>
    <w:p w14:paraId="3DD45A41" w14:textId="77777777" w:rsidR="004F5D9D" w:rsidRPr="005F1B2C" w:rsidRDefault="004F5D9D" w:rsidP="00172688">
      <w:pPr>
        <w:snapToGrid w:val="0"/>
        <w:spacing w:after="0" w:line="300" w:lineRule="auto"/>
        <w:jc w:val="center"/>
        <w:rPr>
          <w:rFonts w:ascii="Times New Roman" w:hAnsi="Times New Roman" w:cs="Times New Roman"/>
          <w:bCs/>
          <w:sz w:val="26"/>
          <w:szCs w:val="26"/>
        </w:rPr>
      </w:pPr>
    </w:p>
    <w:p w14:paraId="169733E0" w14:textId="77777777" w:rsidR="004F5D9D" w:rsidRPr="005F1B2C" w:rsidRDefault="004F5D9D" w:rsidP="00172688">
      <w:pPr>
        <w:snapToGrid w:val="0"/>
        <w:spacing w:after="0" w:line="300" w:lineRule="auto"/>
        <w:jc w:val="center"/>
        <w:rPr>
          <w:rFonts w:ascii="Times New Roman" w:hAnsi="Times New Roman" w:cs="Times New Roman"/>
          <w:bCs/>
          <w:sz w:val="26"/>
          <w:szCs w:val="26"/>
        </w:rPr>
      </w:pPr>
    </w:p>
    <w:p w14:paraId="41ADDE0F" w14:textId="77777777" w:rsidR="004F5D9D" w:rsidRPr="005F1B2C" w:rsidRDefault="00534E43" w:rsidP="00687217">
      <w:pPr>
        <w:spacing w:after="0" w:line="300" w:lineRule="auto"/>
        <w:jc w:val="center"/>
        <w:rPr>
          <w:rFonts w:ascii="Times New Roman" w:hAnsi="Times New Roman" w:cs="Times New Roman"/>
          <w:b/>
          <w:sz w:val="26"/>
          <w:szCs w:val="26"/>
        </w:rPr>
      </w:pPr>
      <w:r>
        <w:rPr>
          <w:rFonts w:ascii="Times New Roman" w:hAnsi="Times New Roman" w:cs="Times New Roman"/>
          <w:b/>
          <w:sz w:val="26"/>
          <w:szCs w:val="26"/>
        </w:rPr>
        <w:t>ABSTRACT</w:t>
      </w:r>
    </w:p>
    <w:p w14:paraId="462CBC71" w14:textId="4AB116FA" w:rsidR="004F5D9D" w:rsidRPr="005F1B2C" w:rsidRDefault="00534E43" w:rsidP="00687217">
      <w:pPr>
        <w:autoSpaceDE w:val="0"/>
        <w:autoSpaceDN w:val="0"/>
        <w:adjustRightInd w:val="0"/>
        <w:spacing w:after="0" w:line="300" w:lineRule="auto"/>
        <w:ind w:firstLineChars="200" w:firstLine="520"/>
        <w:jc w:val="both"/>
        <w:rPr>
          <w:rFonts w:ascii="Times New Roman" w:hAnsi="Times New Roman" w:cs="Times New Roman"/>
          <w:kern w:val="2"/>
          <w:sz w:val="26"/>
          <w:szCs w:val="26"/>
          <w14:ligatures w14:val="standardContextual"/>
        </w:rPr>
      </w:pPr>
      <w:r>
        <w:rPr>
          <w:rFonts w:ascii="Times New Roman" w:hAnsi="Times New Roman" w:cs="Times New Roman"/>
          <w:kern w:val="2"/>
          <w:sz w:val="26"/>
          <w:szCs w:val="26"/>
          <w14:ligatures w14:val="standardContextual"/>
        </w:rPr>
        <w:t xml:space="preserve">The study addresses the asymmetry in existing branding literature, which predominantly focuses on the positive outcomes of favorable consumer-brand relationships. It explores the consequences of negative brand assessments. This study identifies the key antecedents of brand avoidance and develops a validated scale to assess brand health. The research employs a mixed-methods approach, combining qualitative and quantitative methods, and collects data from millennial respondents using purposive sampling. As a result, we developed a brand avoidance scale and tested it for its reliability and validity. The study identifies five antecedents of brand avoidance: experiential, moral, deficit-value, identity, and oppositional brand-loyalty-based avoidance. The brand avoidance scale is quantitatively tested among millennials regarding their non-buying intention towards </w:t>
      </w:r>
      <w:r>
        <w:rPr>
          <w:rFonts w:ascii="Times New Roman" w:hAnsi="Times New Roman" w:cs="Times New Roman"/>
          <w:kern w:val="2"/>
          <w:sz w:val="26"/>
          <w:szCs w:val="26"/>
          <w14:ligatures w14:val="standardContextual"/>
        </w:rPr>
        <w:lastRenderedPageBreak/>
        <w:t>smartphones, which nomologically supports a positive relationship. This research contributes to the branding literature by providing a more balanced scale that incorporates both positive and negative outcomes. It is a practical tool for brand managers to assess and address their brand's health, particularly amid growing brand avoidance. The study is confined to millennials and their non-buying intentions towards smartphones. Future research could expand the application of the brand avoidance scale to other demographic groups and product categories. Brand managers may use this brand avoidance scale to evaluate and address the health of their brands, helping them understand and mitigate consumer brand avoidance behavior. This scale may help identify and address the negative perceptions that lead to brand avoidance.</w:t>
      </w:r>
    </w:p>
    <w:p w14:paraId="3D461078" w14:textId="77777777" w:rsidR="004F5D9D" w:rsidRPr="005F1B2C" w:rsidRDefault="004F5D9D" w:rsidP="00687217">
      <w:pPr>
        <w:widowControl w:val="0"/>
        <w:autoSpaceDE w:val="0"/>
        <w:autoSpaceDN w:val="0"/>
        <w:adjustRightInd w:val="0"/>
        <w:spacing w:after="0" w:line="300" w:lineRule="auto"/>
        <w:ind w:firstLine="360"/>
        <w:jc w:val="both"/>
        <w:rPr>
          <w:rFonts w:ascii="Times New Roman" w:hAnsi="Times New Roman" w:cs="Times New Roman"/>
          <w:kern w:val="2"/>
          <w:sz w:val="26"/>
          <w:szCs w:val="26"/>
          <w14:ligatures w14:val="standardContextual"/>
        </w:rPr>
      </w:pPr>
    </w:p>
    <w:p w14:paraId="43F2A821" w14:textId="77777777" w:rsidR="004F5D9D" w:rsidRPr="005F1B2C" w:rsidRDefault="00534E43" w:rsidP="00687217">
      <w:pPr>
        <w:spacing w:after="0" w:line="300" w:lineRule="auto"/>
        <w:ind w:left="1260" w:hangingChars="484" w:hanging="1260"/>
        <w:contextualSpacing/>
        <w:jc w:val="both"/>
        <w:rPr>
          <w:rFonts w:ascii="Times New Roman" w:hAnsi="Times New Roman" w:cs="Times New Roman"/>
          <w:kern w:val="2"/>
          <w:sz w:val="26"/>
          <w:szCs w:val="26"/>
          <w14:ligatures w14:val="standardContextual"/>
        </w:rPr>
      </w:pPr>
      <w:r>
        <w:rPr>
          <w:rFonts w:ascii="Times New Roman" w:hAnsi="Times New Roman" w:cs="Times New Roman"/>
          <w:b/>
          <w:bCs/>
          <w:kern w:val="2"/>
          <w:sz w:val="26"/>
          <w:szCs w:val="26"/>
          <w14:ligatures w14:val="standardContextual"/>
        </w:rPr>
        <w:t>Keywords</w:t>
      </w:r>
      <w:r>
        <w:rPr>
          <w:rFonts w:ascii="Times New Roman" w:hAnsi="Times New Roman" w:cs="Times New Roman"/>
          <w:kern w:val="2"/>
          <w:sz w:val="26"/>
          <w:szCs w:val="26"/>
          <w14:ligatures w14:val="standardContextual"/>
        </w:rPr>
        <w:t>: Brand avoidance, Experiential brand avoidance, Value deficiency avoidance, Identity avoidance, Moral avoidance, Oppositional brand loyalty, Brand avoidance scale</w:t>
      </w:r>
    </w:p>
    <w:p w14:paraId="4F28E057" w14:textId="77777777" w:rsidR="004F5D9D" w:rsidRPr="005F1B2C" w:rsidRDefault="004F5D9D" w:rsidP="00687217">
      <w:pPr>
        <w:spacing w:after="0" w:line="300" w:lineRule="auto"/>
        <w:ind w:left="1275" w:hangingChars="490" w:hanging="1275"/>
        <w:contextualSpacing/>
        <w:jc w:val="both"/>
        <w:rPr>
          <w:rFonts w:ascii="Times New Roman" w:hAnsi="Times New Roman" w:cs="Times New Roman"/>
          <w:b/>
          <w:bCs/>
          <w:kern w:val="2"/>
          <w:sz w:val="26"/>
          <w:szCs w:val="26"/>
          <w14:ligatures w14:val="standardContextual"/>
        </w:rPr>
      </w:pPr>
    </w:p>
    <w:p w14:paraId="6E334816" w14:textId="77777777" w:rsidR="004F5D9D" w:rsidRPr="005F1B2C" w:rsidRDefault="00534E43" w:rsidP="00687217">
      <w:pPr>
        <w:autoSpaceDE w:val="0"/>
        <w:autoSpaceDN w:val="0"/>
        <w:adjustRightInd w:val="0"/>
        <w:spacing w:after="0" w:line="300" w:lineRule="auto"/>
        <w:ind w:firstLineChars="200" w:firstLine="521"/>
        <w:jc w:val="center"/>
        <w:rPr>
          <w:rFonts w:ascii="Times New Roman" w:hAnsi="Times New Roman" w:cs="Times New Roman"/>
          <w:b/>
          <w:bCs/>
          <w:sz w:val="26"/>
          <w:szCs w:val="26"/>
        </w:rPr>
      </w:pPr>
      <w:r>
        <w:rPr>
          <w:rFonts w:ascii="Times New Roman" w:hAnsi="Times New Roman" w:cs="Times New Roman"/>
          <w:b/>
          <w:bCs/>
          <w:sz w:val="26"/>
          <w:szCs w:val="26"/>
        </w:rPr>
        <w:t>INTRODUCTION</w:t>
      </w:r>
    </w:p>
    <w:p w14:paraId="40617611" w14:textId="77777777" w:rsidR="004F5D9D" w:rsidRPr="005F1B2C" w:rsidRDefault="00534E43" w:rsidP="00687217">
      <w:pPr>
        <w:autoSpaceDE w:val="0"/>
        <w:autoSpaceDN w:val="0"/>
        <w:adjustRightInd w:val="0"/>
        <w:spacing w:after="0" w:line="300" w:lineRule="auto"/>
        <w:ind w:firstLineChars="200" w:firstLine="520"/>
        <w:jc w:val="both"/>
        <w:rPr>
          <w:rFonts w:ascii="Times New Roman" w:eastAsia="Calibri" w:hAnsi="Times New Roman" w:cs="Times New Roman"/>
          <w:sz w:val="26"/>
          <w:szCs w:val="26"/>
          <w:lang w:val="en-IN"/>
        </w:rPr>
      </w:pPr>
      <w:bookmarkStart w:id="2" w:name="_Hlk128042776"/>
      <w:r>
        <w:rPr>
          <w:rFonts w:ascii="Times New Roman" w:eastAsia="Calibri" w:hAnsi="Times New Roman" w:cs="Times New Roman"/>
          <w:sz w:val="26"/>
          <w:szCs w:val="26"/>
          <w:lang w:val="en-IN"/>
        </w:rPr>
        <w:t>According to a widely accepted concept in the branding literature, customers' patronage of a brand is driven by both intrinsic and extrinsic factors. These elements can emanate from an array of sources, such as consumer and brand characteristics as well as external stimuli, and ideally result in constructive consumer-brand associations leading to phenomena such as brand love and loyalty (Odoom et al., 2019; Carroll &amp; Ahuvia, 2006) and fondness and acceptance (Narteh et al., 2012).</w:t>
      </w:r>
    </w:p>
    <w:p w14:paraId="75FB509A" w14:textId="77777777" w:rsidR="004F5D9D" w:rsidRPr="005F1B2C" w:rsidRDefault="00534E43" w:rsidP="00687217">
      <w:pPr>
        <w:autoSpaceDE w:val="0"/>
        <w:autoSpaceDN w:val="0"/>
        <w:adjustRightInd w:val="0"/>
        <w:spacing w:after="0" w:line="300" w:lineRule="auto"/>
        <w:ind w:firstLineChars="200" w:firstLine="520"/>
        <w:jc w:val="both"/>
        <w:rPr>
          <w:rFonts w:ascii="Times New Roman" w:eastAsia="Calibri" w:hAnsi="Times New Roman" w:cs="Times New Roman"/>
          <w:sz w:val="26"/>
          <w:szCs w:val="26"/>
          <w:lang w:val="en-IN"/>
        </w:rPr>
      </w:pPr>
      <w:r>
        <w:rPr>
          <w:rFonts w:ascii="Times New Roman" w:eastAsia="Calibri" w:hAnsi="Times New Roman" w:cs="Times New Roman"/>
          <w:sz w:val="26"/>
          <w:szCs w:val="26"/>
          <w:lang w:val="en-IN"/>
        </w:rPr>
        <w:t xml:space="preserve">While the positive outcomes of congenial consumer-brand relationships, as discussed above, warrant further investigation, the findings from negative brand evaluations still require attention. </w:t>
      </w:r>
      <w:r>
        <w:rPr>
          <w:rFonts w:ascii="Times New Roman" w:hAnsi="Times New Roman" w:cs="Times New Roman"/>
          <w:kern w:val="2"/>
          <w:sz w:val="26"/>
          <w:szCs w:val="26"/>
          <w14:ligatures w14:val="standardContextual"/>
        </w:rPr>
        <w:t>This</w:t>
      </w:r>
      <w:r>
        <w:rPr>
          <w:rFonts w:ascii="Times New Roman" w:eastAsia="Calibri" w:hAnsi="Times New Roman" w:cs="Times New Roman"/>
          <w:sz w:val="26"/>
          <w:szCs w:val="26"/>
          <w:lang w:val="en-IN"/>
        </w:rPr>
        <w:t xml:space="preserve"> lop-sidedness seems evident in the branding literature, as brand managers are keen to understand the real-world outcomes of fostering favorable consumer-brand relationships. However, scholars argue that understanding consumer–brand relationships requires attention to both positive and negative perspectives, as each offers complementary insights into consumer behavior. As a result, phenomena such as brand avoidance, hate, apathy, and rejection (negative consumer-brand relationships) must be highlighted (Wolter et al., 2016). An increasing number of consumers appear to be turning against and avoiding certain cosmetics and food brands because of formulations based on the assumption that some brands conduct animal testing or use animal-tested products (Logical Harmony, 2018).</w:t>
      </w:r>
    </w:p>
    <w:p w14:paraId="45500966" w14:textId="77777777" w:rsidR="004F5D9D" w:rsidRPr="005F1B2C" w:rsidRDefault="00534E43" w:rsidP="00687217">
      <w:pPr>
        <w:autoSpaceDE w:val="0"/>
        <w:autoSpaceDN w:val="0"/>
        <w:adjustRightInd w:val="0"/>
        <w:spacing w:after="0" w:line="300" w:lineRule="auto"/>
        <w:ind w:firstLineChars="200" w:firstLine="520"/>
        <w:jc w:val="both"/>
        <w:rPr>
          <w:rFonts w:ascii="Times New Roman" w:eastAsia="Calibri" w:hAnsi="Times New Roman" w:cs="Times New Roman"/>
          <w:sz w:val="26"/>
          <w:szCs w:val="26"/>
          <w:lang w:val="en-IN"/>
        </w:rPr>
      </w:pPr>
      <w:r>
        <w:rPr>
          <w:rFonts w:ascii="Times New Roman" w:eastAsia="Calibri" w:hAnsi="Times New Roman" w:cs="Times New Roman"/>
          <w:sz w:val="26"/>
          <w:szCs w:val="26"/>
          <w:lang w:val="en-IN"/>
        </w:rPr>
        <w:t>Similarly, according to the Centers for Disease Control and Prevention (CDC), approximately 50 percent of the U.S. population consumes at least one sugary drink daily, with millennials most likely to do so. These sugary drinks are associated with a variety of health issues, such as obesity, type 2 diabetes, and tooth decay. In light of such predicaments, consumers and activists create anti-brand pages/communities on social media, urging people to avoid such brands, thereby fuelling the phenomenon. Recent work also highlights ideological and geopolitical avoidance, in which consumers consciously distance themselves from brands associated with contested political or ethical positions, thereby demonstrating the expanding scope of modern avoidance behaviors (Efendi &amp; Alfansi, 2025).</w:t>
      </w:r>
    </w:p>
    <w:p w14:paraId="2A8565CC" w14:textId="77777777" w:rsidR="004F5D9D" w:rsidRPr="005F1B2C" w:rsidRDefault="00534E43" w:rsidP="00687217">
      <w:pPr>
        <w:autoSpaceDE w:val="0"/>
        <w:autoSpaceDN w:val="0"/>
        <w:adjustRightInd w:val="0"/>
        <w:spacing w:after="0" w:line="300" w:lineRule="auto"/>
        <w:ind w:firstLineChars="200" w:firstLine="520"/>
        <w:jc w:val="both"/>
        <w:rPr>
          <w:rFonts w:ascii="Times New Roman" w:eastAsia="Calibri" w:hAnsi="Times New Roman" w:cs="Times New Roman"/>
          <w:sz w:val="26"/>
          <w:szCs w:val="26"/>
          <w:lang w:val="en-IN"/>
        </w:rPr>
      </w:pPr>
      <w:r>
        <w:rPr>
          <w:rFonts w:ascii="Times New Roman" w:eastAsia="Calibri" w:hAnsi="Times New Roman" w:cs="Times New Roman"/>
          <w:sz w:val="26"/>
          <w:szCs w:val="26"/>
          <w:lang w:val="en-IN"/>
        </w:rPr>
        <w:t xml:space="preserve">The existing literature on consumers actively avoiding or rejecting brands has many lacunae. Since a </w:t>
      </w:r>
      <w:r>
        <w:rPr>
          <w:rFonts w:ascii="Times New Roman" w:hAnsi="Times New Roman" w:cs="Times New Roman"/>
          <w:kern w:val="2"/>
          <w:sz w:val="26"/>
          <w:szCs w:val="26"/>
          <w14:ligatures w14:val="standardContextual"/>
        </w:rPr>
        <w:t>brand</w:t>
      </w:r>
      <w:r>
        <w:rPr>
          <w:rFonts w:ascii="Times New Roman" w:eastAsia="Calibri" w:hAnsi="Times New Roman" w:cs="Times New Roman"/>
          <w:sz w:val="26"/>
          <w:szCs w:val="26"/>
          <w:lang w:val="en-IN"/>
        </w:rPr>
        <w:t xml:space="preserve"> is a complex, multifaceted construct (Keller, 1993; Stern, 2006), it is logical to envision brand avoidance as a multi-dimensional construct. However, mainstream work in </w:t>
      </w:r>
      <w:r>
        <w:rPr>
          <w:rFonts w:ascii="Times New Roman" w:hAnsi="Times New Roman" w:cs="Times New Roman"/>
          <w:kern w:val="2"/>
          <w:sz w:val="26"/>
          <w:szCs w:val="26"/>
          <w14:ligatures w14:val="standardContextual"/>
        </w:rPr>
        <w:t>this</w:t>
      </w:r>
      <w:r>
        <w:rPr>
          <w:rFonts w:ascii="Times New Roman" w:eastAsia="Calibri" w:hAnsi="Times New Roman" w:cs="Times New Roman"/>
          <w:sz w:val="26"/>
          <w:szCs w:val="26"/>
          <w:lang w:val="en-IN"/>
        </w:rPr>
        <w:t xml:space="preserve"> domain focuses solely on unidimensional motives for brand avoidance behavior. In addition, the work conducted so far is not only insufficient (Albert &amp; Thomson, 2018) but is inclined towards developing qualitative and exploratory perspectives (Knittel et al., 2016) that fail to elucidate the phenomenon and its determinants using consolidated models (Hegner et al., 2017) and hence lead to inconsistent and inconclusive results and findings (Demirbag-Kaplan et al., 2015; Kucuk, 2007). Although these studies provide valuable insights, the evidence remains fragmented because prior research has not integrated experiential, identity-based, moral, value-related, and oppositional loyalty motives into a unified framework to explain how brand avoidance develops. Despite growing instances of brand avoidance, no credibly recognized, widely verified procedures exist in the branding literature for understanding such negative consumer-brand responses.</w:t>
      </w:r>
    </w:p>
    <w:p w14:paraId="5A9F117C" w14:textId="77777777" w:rsidR="004F5D9D" w:rsidRPr="005F1B2C" w:rsidRDefault="00534E43" w:rsidP="00687217">
      <w:pPr>
        <w:autoSpaceDE w:val="0"/>
        <w:autoSpaceDN w:val="0"/>
        <w:adjustRightInd w:val="0"/>
        <w:spacing w:after="0" w:line="300" w:lineRule="auto"/>
        <w:ind w:firstLineChars="200" w:firstLine="520"/>
        <w:jc w:val="both"/>
        <w:rPr>
          <w:rFonts w:ascii="Times New Roman" w:eastAsia="Calibri" w:hAnsi="Times New Roman" w:cs="Times New Roman"/>
          <w:sz w:val="26"/>
          <w:szCs w:val="26"/>
          <w:lang w:val="en-IN"/>
        </w:rPr>
      </w:pPr>
      <w:r>
        <w:rPr>
          <w:rFonts w:ascii="Times New Roman" w:eastAsia="Calibri" w:hAnsi="Times New Roman" w:cs="Times New Roman"/>
          <w:sz w:val="26"/>
          <w:szCs w:val="26"/>
          <w:lang w:val="en-IN"/>
        </w:rPr>
        <w:t xml:space="preserve">Furthermore, </w:t>
      </w:r>
      <w:r>
        <w:rPr>
          <w:rFonts w:ascii="Times New Roman" w:hAnsi="Times New Roman" w:cs="Times New Roman"/>
          <w:kern w:val="2"/>
          <w:sz w:val="26"/>
          <w:szCs w:val="26"/>
          <w14:ligatures w14:val="standardContextual"/>
        </w:rPr>
        <w:t>according</w:t>
      </w:r>
      <w:r>
        <w:rPr>
          <w:rFonts w:ascii="Times New Roman" w:eastAsia="Calibri" w:hAnsi="Times New Roman" w:cs="Times New Roman"/>
          <w:sz w:val="26"/>
          <w:szCs w:val="26"/>
          <w:lang w:val="en-IN"/>
        </w:rPr>
        <w:t xml:space="preserve"> to researchers, there is still potential for empirical research in consumer </w:t>
      </w:r>
      <w:r>
        <w:rPr>
          <w:rFonts w:ascii="Times New Roman" w:hAnsi="Times New Roman" w:cs="Times New Roman"/>
          <w:kern w:val="2"/>
          <w:sz w:val="26"/>
          <w:szCs w:val="26"/>
          <w14:ligatures w14:val="standardContextual"/>
        </w:rPr>
        <w:t>research</w:t>
      </w:r>
      <w:r>
        <w:rPr>
          <w:rFonts w:ascii="Times New Roman" w:eastAsia="Calibri" w:hAnsi="Times New Roman" w:cs="Times New Roman"/>
          <w:sz w:val="26"/>
          <w:szCs w:val="26"/>
          <w:lang w:val="en-IN"/>
        </w:rPr>
        <w:t xml:space="preserve"> to expand our understanding of interactions between consumers and brands (Albert &amp; Thomson, 2018). Following the development of explicit scenarios depicting consumers actively avoiding certain brands, it has become essential to develop a well-defined scale to assess the prevalence of brand avoidance across both academic and practitioner communities. Consequently, this study aims to develop a measurable scale to help brand managers identify the causes of past instances in which their brands were avoided and devise strategies to prevent such situations. Another limitation in existing scholarship is the absence of a validated multi-dimensional measurement scale, as most prior studies rely on exploratory insights or reflective indicators that do not align with the formative nature of brand avoidance.</w:t>
      </w:r>
    </w:p>
    <w:p w14:paraId="236E9BBD" w14:textId="77777777" w:rsidR="004F5D9D" w:rsidRPr="005F1B2C" w:rsidRDefault="00534E43" w:rsidP="00687217">
      <w:pPr>
        <w:autoSpaceDE w:val="0"/>
        <w:autoSpaceDN w:val="0"/>
        <w:adjustRightInd w:val="0"/>
        <w:spacing w:after="0" w:line="300" w:lineRule="auto"/>
        <w:ind w:firstLineChars="200" w:firstLine="520"/>
        <w:jc w:val="both"/>
        <w:rPr>
          <w:rFonts w:ascii="Times New Roman" w:eastAsia="Calibri" w:hAnsi="Times New Roman" w:cs="Times New Roman"/>
          <w:sz w:val="26"/>
          <w:szCs w:val="26"/>
          <w:lang w:val="en-IN"/>
        </w:rPr>
      </w:pPr>
      <w:r>
        <w:rPr>
          <w:rFonts w:ascii="Times New Roman" w:eastAsia="Calibri" w:hAnsi="Times New Roman" w:cs="Times New Roman"/>
          <w:sz w:val="26"/>
          <w:szCs w:val="26"/>
          <w:lang w:val="en-IN"/>
        </w:rPr>
        <w:t xml:space="preserve">Adding to the uniqueness of this work, this study has three primary goals. Based on existing conceptualizations, this study contributes to the development of an empirical measure to analyze </w:t>
      </w:r>
      <w:r>
        <w:rPr>
          <w:rFonts w:ascii="Times New Roman" w:hAnsi="Times New Roman" w:cs="Times New Roman"/>
          <w:kern w:val="2"/>
          <w:sz w:val="26"/>
          <w:szCs w:val="26"/>
          <w14:ligatures w14:val="standardContextual"/>
        </w:rPr>
        <w:t>the</w:t>
      </w:r>
      <w:r>
        <w:rPr>
          <w:rFonts w:ascii="Times New Roman" w:eastAsia="Calibri" w:hAnsi="Times New Roman" w:cs="Times New Roman"/>
          <w:sz w:val="26"/>
          <w:szCs w:val="26"/>
          <w:lang w:val="en-IN"/>
        </w:rPr>
        <w:t xml:space="preserve"> otherwise theoretical concept of brand avoidance. Furthermore, this study examines the impact of brand avoidance on consumers' non-buying intentions, a topic that has been previously unexplored in the existing literature. Finally, the study reports findings from a South Asian marketplace perspective that have not received empirical attention in the existing literature on consumer brand management. This asymmetry in understanding of the consumer-brand relationship from the perspective of developing countries needs to be bridged, as consumer behavior in the developing world differs considerably from that in developed countries. Moreover, empirical evidence on brand avoidance among emerging-market millennial segments remains scarce, limiting the generalisability of predominantly Western findings.</w:t>
      </w:r>
    </w:p>
    <w:p w14:paraId="65596565" w14:textId="77777777" w:rsidR="004F5D9D" w:rsidRDefault="00534E43" w:rsidP="00687217">
      <w:pPr>
        <w:autoSpaceDE w:val="0"/>
        <w:autoSpaceDN w:val="0"/>
        <w:adjustRightInd w:val="0"/>
        <w:spacing w:after="0" w:line="300" w:lineRule="auto"/>
        <w:ind w:firstLineChars="200" w:firstLine="520"/>
        <w:jc w:val="both"/>
        <w:rPr>
          <w:rFonts w:ascii="Times New Roman" w:hAnsi="Times New Roman" w:cs="Times New Roman"/>
          <w:sz w:val="26"/>
          <w:szCs w:val="26"/>
        </w:rPr>
      </w:pPr>
      <w:r>
        <w:rPr>
          <w:rFonts w:ascii="Times New Roman" w:hAnsi="Times New Roman" w:cs="Times New Roman"/>
          <w:sz w:val="26"/>
          <w:szCs w:val="26"/>
        </w:rPr>
        <w:t>Despite this progress, a significant gap remains in the literature. Several recent studies have examined brand avoidance as a downstream behavioral outcome of brand hate (Bryson et al., 2013; Romani et al., 2015; Hegner et al., 2017), demonstrating that moral violations, identity threats, and perceived injustice can escalate into intentional rejection and avoidance. However, these studies primarily treat avoidance as a consequence rather than an independent, multi-dimensional construct. Moreover, the existing scales used in these studies were designed to capture emotional hostility or boycott intentions—not the broader formative drivers of brand avoidance. This reinforces the need for a theoretically anchored and psychometrically validated scale that captures avoidance holistically rather than as a by-product of hate.</w:t>
      </w:r>
    </w:p>
    <w:p w14:paraId="3193B553" w14:textId="77777777" w:rsidR="005F1B2C" w:rsidRPr="005F1B2C" w:rsidRDefault="005F1B2C" w:rsidP="00687217">
      <w:pPr>
        <w:autoSpaceDE w:val="0"/>
        <w:autoSpaceDN w:val="0"/>
        <w:adjustRightInd w:val="0"/>
        <w:spacing w:after="0" w:line="300" w:lineRule="auto"/>
        <w:ind w:firstLineChars="200" w:firstLine="520"/>
        <w:jc w:val="both"/>
        <w:rPr>
          <w:rFonts w:ascii="Times New Roman" w:hAnsi="Times New Roman" w:cs="Times New Roman"/>
          <w:sz w:val="26"/>
          <w:szCs w:val="26"/>
        </w:rPr>
      </w:pPr>
    </w:p>
    <w:p w14:paraId="0A9FFEA2" w14:textId="77777777" w:rsidR="004F5D9D" w:rsidRPr="005F1B2C" w:rsidRDefault="00534E43" w:rsidP="005F1B2C">
      <w:pPr>
        <w:autoSpaceDE w:val="0"/>
        <w:autoSpaceDN w:val="0"/>
        <w:adjustRightInd w:val="0"/>
        <w:snapToGrid w:val="0"/>
        <w:spacing w:after="0" w:line="300" w:lineRule="auto"/>
        <w:jc w:val="center"/>
        <w:rPr>
          <w:rFonts w:ascii="Times New Roman" w:hAnsi="Times New Roman" w:cs="Times New Roman"/>
          <w:b/>
          <w:bCs/>
          <w:sz w:val="26"/>
          <w:szCs w:val="26"/>
        </w:rPr>
      </w:pPr>
      <w:r>
        <w:rPr>
          <w:rFonts w:ascii="Times New Roman" w:hAnsi="Times New Roman" w:cs="Times New Roman"/>
          <w:b/>
          <w:bCs/>
          <w:sz w:val="26"/>
          <w:szCs w:val="26"/>
        </w:rPr>
        <w:t>THEORETICAL BACKGROUND AND REVIEW OF LITERATURE</w:t>
      </w:r>
    </w:p>
    <w:p w14:paraId="36F83949" w14:textId="3E4AE09B" w:rsidR="004F5D9D" w:rsidRPr="005F1B2C" w:rsidRDefault="00534E43" w:rsidP="00687217">
      <w:pPr>
        <w:autoSpaceDE w:val="0"/>
        <w:autoSpaceDN w:val="0"/>
        <w:adjustRightInd w:val="0"/>
        <w:spacing w:after="0" w:line="300" w:lineRule="auto"/>
        <w:ind w:firstLineChars="200" w:firstLine="520"/>
        <w:jc w:val="both"/>
        <w:rPr>
          <w:rFonts w:ascii="Times New Roman" w:hAnsi="Times New Roman" w:cs="Times New Roman"/>
          <w:sz w:val="26"/>
          <w:szCs w:val="26"/>
          <w:lang w:val="en-IN"/>
        </w:rPr>
      </w:pPr>
      <w:r>
        <w:rPr>
          <w:rFonts w:ascii="Times New Roman" w:hAnsi="Times New Roman" w:cs="Times New Roman"/>
          <w:sz w:val="26"/>
          <w:szCs w:val="26"/>
          <w:lang w:val="en-IN"/>
        </w:rPr>
        <w:t>Although several streams of research have explored negative consumer–brand relationships, the literature remains fragmented in its explanations of the multiple pathways through which brand avoidance develops. Prior work has examined experiential dissatisfaction, identity threats, moral conflicts, and value deficiency as separate antecedents, yet these strands have rarely been integrated into a unified conceptual framework. This lack of synthesis has led to inconsistent operationalization of brand avoidance, making it difficult to compare findings across studies. Recent scholarship continues to expand this space by examining brand avoidance in diverse contexts, including B2B service settings, greenwashing responses, and sustainable fashion consumption, indicating that the construct's multidimensionality remains highly relevant in contemporary markets (Otoo et al., 2023; Sajid et al., 2024). Therefore, a consolidated review of these antecedents is essential to justify a multi-dimensional formative scale</w:t>
      </w:r>
      <w:r w:rsidR="003239FC">
        <w:rPr>
          <w:rFonts w:ascii="Times New Roman" w:hAnsi="Times New Roman" w:cs="Times New Roman"/>
          <w:sz w:val="26"/>
          <w:szCs w:val="26"/>
          <w:lang w:val="en-IN"/>
        </w:rPr>
        <w:t xml:space="preserve"> theoretically</w:t>
      </w:r>
      <w:r>
        <w:rPr>
          <w:rFonts w:ascii="Times New Roman" w:hAnsi="Times New Roman" w:cs="Times New Roman"/>
          <w:sz w:val="26"/>
          <w:szCs w:val="26"/>
          <w:lang w:val="en-IN"/>
        </w:rPr>
        <w:t>.</w:t>
      </w:r>
    </w:p>
    <w:p w14:paraId="6BBA7457" w14:textId="77777777" w:rsidR="004F5D9D" w:rsidRPr="005F1B2C" w:rsidRDefault="00534E43" w:rsidP="00687217">
      <w:pPr>
        <w:autoSpaceDE w:val="0"/>
        <w:autoSpaceDN w:val="0"/>
        <w:adjustRightInd w:val="0"/>
        <w:spacing w:after="0" w:line="300" w:lineRule="auto"/>
        <w:ind w:firstLineChars="200" w:firstLine="520"/>
        <w:jc w:val="both"/>
        <w:rPr>
          <w:rFonts w:ascii="Times New Roman" w:hAnsi="Times New Roman" w:cs="Times New Roman"/>
          <w:sz w:val="26"/>
          <w:szCs w:val="26"/>
          <w:lang w:val="en-IN"/>
        </w:rPr>
      </w:pPr>
      <w:r>
        <w:rPr>
          <w:rFonts w:ascii="Times New Roman" w:hAnsi="Times New Roman" w:cs="Times New Roman"/>
          <w:sz w:val="26"/>
          <w:szCs w:val="26"/>
          <w:lang w:val="en-IN"/>
        </w:rPr>
        <w:t xml:space="preserve">The explicit development of the 'brand avoidance' phenomenon warrants greater attention in mainstream branding literature and should be clearly defined. Only a handful of studies openly cite the emerging concept of 'brand avoidance' (Thomson et al., 2005; Oliva et al., 1992). </w:t>
      </w:r>
    </w:p>
    <w:p w14:paraId="6B0E311A" w14:textId="77777777" w:rsidR="004F5D9D" w:rsidRPr="005F1B2C" w:rsidRDefault="00534E43" w:rsidP="00687217">
      <w:pPr>
        <w:autoSpaceDE w:val="0"/>
        <w:autoSpaceDN w:val="0"/>
        <w:adjustRightInd w:val="0"/>
        <w:spacing w:after="0" w:line="300" w:lineRule="auto"/>
        <w:ind w:firstLineChars="200" w:firstLine="520"/>
        <w:jc w:val="both"/>
        <w:rPr>
          <w:rFonts w:ascii="Times New Roman" w:hAnsi="Times New Roman" w:cs="Times New Roman"/>
          <w:sz w:val="26"/>
          <w:szCs w:val="26"/>
          <w:lang w:val="en-IN"/>
        </w:rPr>
      </w:pPr>
      <w:r>
        <w:rPr>
          <w:rFonts w:ascii="Times New Roman" w:hAnsi="Times New Roman" w:cs="Times New Roman"/>
          <w:sz w:val="26"/>
          <w:szCs w:val="26"/>
          <w:lang w:val="en-IN"/>
        </w:rPr>
        <w:t xml:space="preserve">Hogg and Michell (1997) coined the term 'anti-constellation' for product groups that are not selected by consumers and encompasses dual classification of anti-consumption behaviors: 'non-choice' (product or service not being affordable, accessible, or available) and 'anti-choice' (products considered to be unsuited and fickle despite being within the financial means). Anti-choice encompasses three overlapping factors that gradually increase in strength: </w:t>
      </w:r>
      <w:r>
        <w:rPr>
          <w:rFonts w:ascii="Times New Roman" w:hAnsi="Times New Roman" w:cs="Times New Roman"/>
          <w:kern w:val="2"/>
          <w:sz w:val="26"/>
          <w:szCs w:val="26"/>
          <w14:ligatures w14:val="standardContextual"/>
        </w:rPr>
        <w:t>abandonment</w:t>
      </w:r>
      <w:r>
        <w:rPr>
          <w:rFonts w:ascii="Times New Roman" w:hAnsi="Times New Roman" w:cs="Times New Roman"/>
          <w:sz w:val="26"/>
          <w:szCs w:val="26"/>
          <w:lang w:val="en-IN"/>
        </w:rPr>
        <w:t xml:space="preserve">, avoidance, and aversion (Hogg, 1998). Oliva et al. (1992) describe this construct as the opposite of brand loyalty. Just as brand loyalty is an outcome of satisfaction, the literature considers brand avoidance an outcome of dissatisfaction. </w:t>
      </w:r>
    </w:p>
    <w:p w14:paraId="1A7EAA42" w14:textId="77777777" w:rsidR="004F5D9D" w:rsidRPr="005F1B2C" w:rsidRDefault="00534E43" w:rsidP="00687217">
      <w:pPr>
        <w:autoSpaceDE w:val="0"/>
        <w:autoSpaceDN w:val="0"/>
        <w:adjustRightInd w:val="0"/>
        <w:spacing w:after="0" w:line="300" w:lineRule="auto"/>
        <w:ind w:firstLineChars="200" w:firstLine="520"/>
        <w:jc w:val="both"/>
        <w:rPr>
          <w:rFonts w:ascii="Times New Roman" w:hAnsi="Times New Roman" w:cs="Times New Roman"/>
          <w:sz w:val="26"/>
          <w:szCs w:val="26"/>
          <w:lang w:val="en-IN"/>
        </w:rPr>
      </w:pPr>
      <w:r>
        <w:rPr>
          <w:rFonts w:ascii="Times New Roman" w:hAnsi="Times New Roman" w:cs="Times New Roman"/>
          <w:sz w:val="26"/>
          <w:szCs w:val="26"/>
          <w:lang w:val="en-IN"/>
        </w:rPr>
        <w:t xml:space="preserve">Confirmation theory holds that customer expectations can be validated (confirmed) or refuted (disconfirmed) by comparing them with actual products or services (Halstead, 1989). Confirmation occurs when an actual offering meets customers’ requirements. On the other hand, disconfirmation occurs when events surpass or fall short of expectations. When a product/service </w:t>
      </w:r>
      <w:r>
        <w:rPr>
          <w:rFonts w:ascii="Times New Roman" w:hAnsi="Times New Roman" w:cs="Times New Roman"/>
          <w:kern w:val="2"/>
          <w:sz w:val="26"/>
          <w:szCs w:val="26"/>
          <w14:ligatures w14:val="standardContextual"/>
        </w:rPr>
        <w:t>falls</w:t>
      </w:r>
      <w:r>
        <w:rPr>
          <w:rFonts w:ascii="Times New Roman" w:hAnsi="Times New Roman" w:cs="Times New Roman"/>
          <w:sz w:val="26"/>
          <w:szCs w:val="26"/>
          <w:lang w:val="en-IN"/>
        </w:rPr>
        <w:t xml:space="preserve"> short of customer expectations, it often leads to customer dissatisfaction, which may trigger brand avoidance (Lee et al., 2009).</w:t>
      </w:r>
    </w:p>
    <w:p w14:paraId="08566A8A" w14:textId="77777777" w:rsidR="004F5D9D" w:rsidRPr="005F1B2C" w:rsidRDefault="00534E43" w:rsidP="00687217">
      <w:pPr>
        <w:autoSpaceDE w:val="0"/>
        <w:autoSpaceDN w:val="0"/>
        <w:adjustRightInd w:val="0"/>
        <w:spacing w:after="0" w:line="300" w:lineRule="auto"/>
        <w:ind w:firstLineChars="200" w:firstLine="520"/>
        <w:jc w:val="both"/>
        <w:rPr>
          <w:rFonts w:ascii="Times New Roman" w:hAnsi="Times New Roman" w:cs="Times New Roman"/>
          <w:sz w:val="26"/>
          <w:szCs w:val="26"/>
          <w:lang w:val="en-IN"/>
        </w:rPr>
      </w:pPr>
      <w:r>
        <w:rPr>
          <w:rFonts w:ascii="Times New Roman" w:hAnsi="Times New Roman" w:cs="Times New Roman"/>
          <w:sz w:val="26"/>
          <w:szCs w:val="26"/>
          <w:lang w:val="en-IN"/>
        </w:rPr>
        <w:t>In addition, the 'brand attachment' theory defines two patterns, anxiety and avoidance, explaining the mechanism of how personal relationships seem to lead to corresponding consumer-brand relationship outlooks. Whereas anxiety encompasses an individual's perception of oneself (</w:t>
      </w:r>
      <w:r>
        <w:rPr>
          <w:rFonts w:ascii="Times New Roman" w:hAnsi="Times New Roman" w:cs="Times New Roman"/>
          <w:kern w:val="2"/>
          <w:sz w:val="26"/>
          <w:szCs w:val="26"/>
          <w14:ligatures w14:val="standardContextual"/>
        </w:rPr>
        <w:t>high</w:t>
      </w:r>
      <w:r>
        <w:rPr>
          <w:rFonts w:ascii="Times New Roman" w:hAnsi="Times New Roman" w:cs="Times New Roman"/>
          <w:sz w:val="26"/>
          <w:szCs w:val="26"/>
          <w:lang w:val="en-IN"/>
        </w:rPr>
        <w:t xml:space="preserve"> anxiety suggests a negative perception), avoidance encompasses one's perception of others (a poor perception of others represented by high avoidance) (Whelan &amp; Dawar, 2016).</w:t>
      </w:r>
    </w:p>
    <w:p w14:paraId="7641EB53" w14:textId="77777777" w:rsidR="004F5D9D" w:rsidRPr="005F1B2C" w:rsidRDefault="004F5D9D">
      <w:pPr>
        <w:widowControl w:val="0"/>
        <w:autoSpaceDE w:val="0"/>
        <w:autoSpaceDN w:val="0"/>
        <w:adjustRightInd w:val="0"/>
        <w:spacing w:after="0" w:line="360" w:lineRule="exact"/>
        <w:ind w:firstLine="360"/>
        <w:jc w:val="both"/>
        <w:rPr>
          <w:rFonts w:ascii="Times New Roman" w:hAnsi="Times New Roman" w:cs="Times New Roman"/>
          <w:sz w:val="26"/>
          <w:szCs w:val="26"/>
          <w:lang w:val="en-IN"/>
        </w:rPr>
      </w:pPr>
    </w:p>
    <w:p w14:paraId="59EDBC06" w14:textId="77777777" w:rsidR="004F5D9D" w:rsidRPr="005F1B2C" w:rsidRDefault="00534E43" w:rsidP="005F1B2C">
      <w:pPr>
        <w:snapToGrid w:val="0"/>
        <w:spacing w:after="0" w:line="300" w:lineRule="auto"/>
        <w:ind w:right="91"/>
        <w:jc w:val="both"/>
        <w:rPr>
          <w:rFonts w:ascii="Times New Roman" w:hAnsi="Times New Roman" w:cs="Times New Roman"/>
          <w:b/>
          <w:sz w:val="26"/>
          <w:szCs w:val="26"/>
          <w:lang w:val="en-IN"/>
        </w:rPr>
      </w:pPr>
      <w:r>
        <w:rPr>
          <w:rFonts w:ascii="Times New Roman" w:hAnsi="Times New Roman" w:cs="Times New Roman"/>
          <w:b/>
          <w:sz w:val="26"/>
          <w:szCs w:val="26"/>
          <w:lang w:val="en-IN"/>
        </w:rPr>
        <w:t xml:space="preserve">Distinction Between Brand Avoidance </w:t>
      </w:r>
      <w:r w:rsidR="004F7FC9">
        <w:rPr>
          <w:rFonts w:ascii="Times New Roman" w:hAnsi="Times New Roman" w:cs="Times New Roman"/>
          <w:b/>
          <w:sz w:val="26"/>
          <w:szCs w:val="26"/>
          <w:lang w:val="en-IN"/>
        </w:rPr>
        <w:t>and</w:t>
      </w:r>
      <w:r>
        <w:rPr>
          <w:rFonts w:ascii="Times New Roman" w:hAnsi="Times New Roman" w:cs="Times New Roman"/>
          <w:b/>
          <w:sz w:val="26"/>
          <w:szCs w:val="26"/>
          <w:lang w:val="en-IN"/>
        </w:rPr>
        <w:t xml:space="preserve"> Other Related Constructs</w:t>
      </w:r>
    </w:p>
    <w:p w14:paraId="1053092D" w14:textId="77777777" w:rsidR="004F5D9D" w:rsidRPr="005F1B2C" w:rsidRDefault="00534E43" w:rsidP="00687217">
      <w:pPr>
        <w:autoSpaceDE w:val="0"/>
        <w:autoSpaceDN w:val="0"/>
        <w:adjustRightInd w:val="0"/>
        <w:spacing w:after="0" w:line="300" w:lineRule="auto"/>
        <w:ind w:firstLineChars="200" w:firstLine="520"/>
        <w:jc w:val="both"/>
        <w:rPr>
          <w:rFonts w:ascii="Times New Roman" w:hAnsi="Times New Roman" w:cs="Times New Roman"/>
          <w:sz w:val="26"/>
          <w:szCs w:val="26"/>
          <w:lang w:val="en-IN"/>
        </w:rPr>
      </w:pPr>
      <w:r>
        <w:rPr>
          <w:rFonts w:ascii="Times New Roman" w:hAnsi="Times New Roman" w:cs="Times New Roman"/>
          <w:sz w:val="26"/>
          <w:szCs w:val="26"/>
          <w:lang w:val="en-IN"/>
        </w:rPr>
        <w:t xml:space="preserve">Equally interesting, and closely related to yet distinct from, brand avoidance are the phenomena of brand </w:t>
      </w:r>
      <w:r>
        <w:rPr>
          <w:rFonts w:ascii="Times New Roman" w:hAnsi="Times New Roman" w:cs="Times New Roman"/>
          <w:kern w:val="2"/>
          <w:sz w:val="26"/>
          <w:szCs w:val="26"/>
          <w14:ligatures w14:val="standardContextual"/>
        </w:rPr>
        <w:t>boycotts</w:t>
      </w:r>
      <w:r>
        <w:rPr>
          <w:rFonts w:ascii="Times New Roman" w:hAnsi="Times New Roman" w:cs="Times New Roman"/>
          <w:sz w:val="26"/>
          <w:szCs w:val="26"/>
          <w:lang w:val="en-IN"/>
        </w:rPr>
        <w:t xml:space="preserve"> and brand hate. This section explores the phenomenon of brand hate and love to foster a deeper understanding of the broader discipline of negative consumer–brand relationships and draw meaningful distinctions from the concept of brand avoidance.</w:t>
      </w:r>
    </w:p>
    <w:p w14:paraId="5C93B267" w14:textId="77777777" w:rsidR="004F5D9D" w:rsidRPr="005F1B2C" w:rsidRDefault="00534E43" w:rsidP="00687217">
      <w:pPr>
        <w:autoSpaceDE w:val="0"/>
        <w:autoSpaceDN w:val="0"/>
        <w:adjustRightInd w:val="0"/>
        <w:spacing w:after="0" w:line="300" w:lineRule="auto"/>
        <w:ind w:firstLineChars="200" w:firstLine="520"/>
        <w:jc w:val="both"/>
        <w:rPr>
          <w:rFonts w:ascii="Times New Roman" w:hAnsi="Times New Roman" w:cs="Times New Roman"/>
          <w:sz w:val="26"/>
          <w:szCs w:val="26"/>
          <w:lang w:val="en-IN"/>
        </w:rPr>
      </w:pPr>
      <w:r>
        <w:rPr>
          <w:rFonts w:ascii="Times New Roman" w:hAnsi="Times New Roman" w:cs="Times New Roman"/>
          <w:sz w:val="26"/>
          <w:szCs w:val="26"/>
          <w:lang w:val="en-IN"/>
        </w:rPr>
        <w:t>Although boycotts are forms of anti-consumption and resistance, such as brand avoidance, they are typically carried out publicly, resulting in commercial penalties (Albrecht et al., 2013). Thus, a brand boycott is a community-based phenomenon, unlike avoidance, which is an individual-level phenomenon. The existing literature on brand hate can be classified into three distinct categories: social psychology (in the intergroup context), psychoanalysis (</w:t>
      </w:r>
      <w:r>
        <w:rPr>
          <w:rFonts w:ascii="Times New Roman" w:hAnsi="Times New Roman" w:cs="Times New Roman"/>
          <w:kern w:val="2"/>
          <w:sz w:val="26"/>
          <w:szCs w:val="26"/>
          <w14:ligatures w14:val="standardContextual"/>
        </w:rPr>
        <w:t>in</w:t>
      </w:r>
      <w:r>
        <w:rPr>
          <w:rFonts w:ascii="Times New Roman" w:hAnsi="Times New Roman" w:cs="Times New Roman"/>
          <w:sz w:val="26"/>
          <w:szCs w:val="26"/>
          <w:lang w:val="en-IN"/>
        </w:rPr>
        <w:t xml:space="preserve"> the interpersonal context), and basic emotion research (Rempel &amp; Burris, 2005). The Penguin Dictionary of Psychology defines hate as a "deep, enduring, intense emotion expressing animosity, anger, and hostility towards a person, group, or object" (Reber &amp; Reber, 2001). Sigmund Freud (1915), a psychoanalyst, described hate as an ego state that seeks to eliminate the cause of suffering. Within this classification, many conflicting definitions of hate exist. Some characterize hate as a motive to abolish the welfare of the hated entity (Rempel &amp; Burris, 2005). Many researchers have highlighted hate as an attitude (Ben-Ze'ev, 2000) or inclination rather than a momentary emotional state (Weingarten, 2006), because it is thought to persist over time and to require investigation into whether an object possesses inherently dangerous traits (Ben-Ze'ev, 2000). Amidst these contradictions, there is no mutually acceptable definition of brand hate. However, most researchers agree that hate can be characterized as an enduring, long-standing feeling (Rempel &amp; Burris, 2005; Weingarten, 2006). </w:t>
      </w:r>
    </w:p>
    <w:p w14:paraId="292FF5F5" w14:textId="77777777" w:rsidR="004F5D9D" w:rsidRPr="005F1B2C" w:rsidRDefault="00534E43" w:rsidP="00687217">
      <w:pPr>
        <w:autoSpaceDE w:val="0"/>
        <w:autoSpaceDN w:val="0"/>
        <w:adjustRightInd w:val="0"/>
        <w:spacing w:after="0" w:line="300" w:lineRule="auto"/>
        <w:ind w:firstLineChars="200" w:firstLine="520"/>
        <w:jc w:val="both"/>
        <w:rPr>
          <w:rFonts w:ascii="Times New Roman" w:hAnsi="Times New Roman" w:cs="Times New Roman"/>
          <w:sz w:val="26"/>
          <w:szCs w:val="26"/>
          <w:lang w:val="en-IN"/>
        </w:rPr>
      </w:pPr>
      <w:r>
        <w:rPr>
          <w:rFonts w:ascii="Times New Roman" w:hAnsi="Times New Roman" w:cs="Times New Roman"/>
          <w:sz w:val="26"/>
          <w:szCs w:val="26"/>
          <w:lang w:val="en-IN"/>
        </w:rPr>
        <w:t xml:space="preserve">In a study at University College London, Bartels and Zeki (2000) proposed that most parts of the cerebral cortex involved in judgment and cognition become deactivated during love. Surprisingly, hate could also be a deep-rooted passion, just like love. However, in the case of love, a lover is often less judgmental and more cognizant of the loved person than in the case of hate, where </w:t>
      </w:r>
      <w:r>
        <w:rPr>
          <w:rFonts w:ascii="Times New Roman" w:hAnsi="Times New Roman" w:cs="Times New Roman"/>
          <w:kern w:val="2"/>
          <w:sz w:val="26"/>
          <w:szCs w:val="26"/>
          <w14:ligatures w14:val="standardContextual"/>
        </w:rPr>
        <w:t>haters</w:t>
      </w:r>
      <w:r>
        <w:rPr>
          <w:rFonts w:ascii="Times New Roman" w:hAnsi="Times New Roman" w:cs="Times New Roman"/>
          <w:sz w:val="26"/>
          <w:szCs w:val="26"/>
          <w:lang w:val="en-IN"/>
        </w:rPr>
        <w:t xml:space="preserve"> might exercise strong judgment, employing manipulative strategies to damage, hurt, or exact vengeance. Interestingly, brand attachment (love) and aversion (hate) are assumed to represent opposing ends on a continuum. It was also proposed that an end-to-end swing would likely be possible with time (Johnson et al., 2011). The middle of these ends was calibrated as indifference, where the consumer-brand connection is neutral (Park et al., 2013). Brand avoidance could be assumed to lie between indifference and hate on the continuum, as it is not a state of indifference but an extreme negative emotion. This is because consumers' negative emotions towards brands may differ in strength (i.e., avoidance and hate). </w:t>
      </w:r>
    </w:p>
    <w:p w14:paraId="2FFB77FE" w14:textId="77777777" w:rsidR="004F5D9D" w:rsidRPr="005F1B2C" w:rsidRDefault="00534E43" w:rsidP="00687217">
      <w:pPr>
        <w:autoSpaceDE w:val="0"/>
        <w:autoSpaceDN w:val="0"/>
        <w:adjustRightInd w:val="0"/>
        <w:spacing w:after="0" w:line="300" w:lineRule="auto"/>
        <w:ind w:firstLineChars="200" w:firstLine="520"/>
        <w:jc w:val="both"/>
        <w:rPr>
          <w:rFonts w:ascii="Times New Roman" w:hAnsi="Times New Roman" w:cs="Times New Roman"/>
          <w:sz w:val="26"/>
          <w:szCs w:val="26"/>
          <w:lang w:val="en-IN"/>
        </w:rPr>
      </w:pPr>
      <w:r>
        <w:rPr>
          <w:rFonts w:ascii="Times New Roman" w:hAnsi="Times New Roman" w:cs="Times New Roman"/>
          <w:sz w:val="26"/>
          <w:szCs w:val="26"/>
          <w:lang w:val="en-IN"/>
        </w:rPr>
        <w:t>While concepts such as brand hate, boycotts, and anti-consumption share similarities with brand avoidance, they differ significantly in scope, intensity, and behavioral expression. However, past studies have often discussed these constructs descriptively without systematically positioning brand avoidance within this broader nomological network. Addressing this gap is crucial because developing a valid scale requires clearly delineating what brand avoidance is and what it is not. The present study builds on these distinctions to clarify conceptual boundaries and justify the inclusion of specific antecedent domains in the measurement model.</w:t>
      </w:r>
    </w:p>
    <w:p w14:paraId="5D3729C2" w14:textId="77777777" w:rsidR="004F5D9D" w:rsidRPr="00356BA1" w:rsidRDefault="00534E43" w:rsidP="00687217">
      <w:pPr>
        <w:autoSpaceDE w:val="0"/>
        <w:autoSpaceDN w:val="0"/>
        <w:adjustRightInd w:val="0"/>
        <w:spacing w:after="0" w:line="300" w:lineRule="auto"/>
        <w:ind w:firstLineChars="200" w:firstLine="520"/>
        <w:jc w:val="both"/>
        <w:rPr>
          <w:rFonts w:ascii="Times New Roman" w:hAnsi="Times New Roman" w:cs="Times New Roman"/>
          <w:sz w:val="26"/>
          <w:szCs w:val="26"/>
          <w:lang w:val="en-IN"/>
        </w:rPr>
      </w:pPr>
      <w:r>
        <w:rPr>
          <w:rFonts w:ascii="Times New Roman" w:hAnsi="Times New Roman" w:cs="Times New Roman"/>
          <w:sz w:val="26"/>
          <w:szCs w:val="26"/>
          <w:lang w:val="en-IN"/>
        </w:rPr>
        <w:t xml:space="preserve">Recent empirical studies further demonstrate that brand hate functions as a proximal antecedent of brand avoidance, with post-2021 evidence showing that moral violations, identity threats, and perceived injustice </w:t>
      </w:r>
      <w:r>
        <w:rPr>
          <w:rFonts w:ascii="Times New Roman" w:hAnsi="Times New Roman" w:cs="Times New Roman"/>
          <w:kern w:val="2"/>
          <w:sz w:val="26"/>
          <w:szCs w:val="26"/>
          <w14:ligatures w14:val="standardContextual"/>
        </w:rPr>
        <w:t>reliably</w:t>
      </w:r>
      <w:r>
        <w:rPr>
          <w:rFonts w:ascii="Times New Roman" w:hAnsi="Times New Roman" w:cs="Times New Roman"/>
          <w:sz w:val="26"/>
          <w:szCs w:val="26"/>
          <w:lang w:val="en-IN"/>
        </w:rPr>
        <w:t xml:space="preserve"> translate into avoidance behavior across categories (Ul Hassan et al., 2026; Walter et al., 2023).</w:t>
      </w:r>
    </w:p>
    <w:p w14:paraId="2849D331" w14:textId="77777777" w:rsidR="004F5D9D" w:rsidRPr="005F1B2C" w:rsidRDefault="00534E43" w:rsidP="00687217">
      <w:pPr>
        <w:autoSpaceDE w:val="0"/>
        <w:autoSpaceDN w:val="0"/>
        <w:adjustRightInd w:val="0"/>
        <w:spacing w:after="0" w:line="300" w:lineRule="auto"/>
        <w:ind w:firstLineChars="200" w:firstLine="520"/>
        <w:jc w:val="both"/>
        <w:rPr>
          <w:rFonts w:ascii="Times New Roman" w:hAnsi="Times New Roman" w:cs="Times New Roman"/>
          <w:sz w:val="26"/>
          <w:szCs w:val="26"/>
          <w:lang w:val="en-IN"/>
        </w:rPr>
      </w:pPr>
      <w:r>
        <w:rPr>
          <w:rFonts w:ascii="Times New Roman" w:hAnsi="Times New Roman" w:cs="Times New Roman"/>
          <w:sz w:val="26"/>
          <w:szCs w:val="26"/>
          <w:lang w:val="en-IN"/>
        </w:rPr>
        <w:t xml:space="preserve">Additionally, prior research linking brand hate to brand avoidance (e.g., Bryson et al., 2013; Romani et al., 2015) employs instruments that focus on extreme negative affect or activism rather than avoidance per se. As a result, the measures used in these studies lack content coverage of experiential, </w:t>
      </w:r>
      <w:r>
        <w:rPr>
          <w:rFonts w:ascii="Times New Roman" w:hAnsi="Times New Roman" w:cs="Times New Roman"/>
          <w:kern w:val="2"/>
          <w:sz w:val="26"/>
          <w:szCs w:val="26"/>
          <w14:ligatures w14:val="standardContextual"/>
        </w:rPr>
        <w:t>value</w:t>
      </w:r>
      <w:r>
        <w:rPr>
          <w:rFonts w:ascii="Times New Roman" w:hAnsi="Times New Roman" w:cs="Times New Roman"/>
          <w:sz w:val="26"/>
          <w:szCs w:val="26"/>
          <w:lang w:val="en-IN"/>
        </w:rPr>
        <w:t>-related, identity-based, and oppositional loyalty motives, which are theoretically established antecedents of avoidance. This measurement misalignment further justifies the development of a comprehensive formative scale that reflects the construct's full nomological breadth.</w:t>
      </w:r>
    </w:p>
    <w:p w14:paraId="3337BEDE" w14:textId="77777777" w:rsidR="004F5D9D" w:rsidRPr="005F1B2C" w:rsidRDefault="004F5D9D">
      <w:pPr>
        <w:spacing w:after="0" w:line="360" w:lineRule="exact"/>
        <w:ind w:right="90"/>
        <w:jc w:val="both"/>
        <w:rPr>
          <w:rFonts w:ascii="Times New Roman" w:hAnsi="Times New Roman" w:cs="Times New Roman"/>
          <w:b/>
          <w:bCs/>
          <w:sz w:val="26"/>
          <w:szCs w:val="26"/>
          <w:lang w:val="en-GB"/>
        </w:rPr>
      </w:pPr>
    </w:p>
    <w:p w14:paraId="7CA209BC" w14:textId="77777777" w:rsidR="004F5D9D" w:rsidRPr="005F1B2C" w:rsidRDefault="00534E43">
      <w:pPr>
        <w:spacing w:after="0" w:line="360" w:lineRule="exact"/>
        <w:ind w:right="90"/>
        <w:jc w:val="both"/>
        <w:rPr>
          <w:rFonts w:ascii="Times New Roman" w:hAnsi="Times New Roman" w:cs="Times New Roman"/>
          <w:b/>
          <w:bCs/>
          <w:sz w:val="26"/>
          <w:szCs w:val="26"/>
          <w:lang w:val="en-GB"/>
        </w:rPr>
      </w:pPr>
      <w:r>
        <w:rPr>
          <w:rFonts w:ascii="Times New Roman" w:hAnsi="Times New Roman" w:cs="Times New Roman"/>
          <w:b/>
          <w:bCs/>
          <w:sz w:val="26"/>
          <w:szCs w:val="26"/>
          <w:lang w:val="en-GB"/>
        </w:rPr>
        <w:t xml:space="preserve">Brand Avoidance </w:t>
      </w:r>
      <w:r w:rsidR="007B32C6">
        <w:rPr>
          <w:rFonts w:ascii="Times New Roman" w:hAnsi="Times New Roman" w:cs="Times New Roman"/>
          <w:b/>
          <w:bCs/>
          <w:sz w:val="26"/>
          <w:szCs w:val="26"/>
          <w:lang w:val="en-GB"/>
        </w:rPr>
        <w:t>and</w:t>
      </w:r>
      <w:r>
        <w:rPr>
          <w:rFonts w:ascii="Times New Roman" w:hAnsi="Times New Roman" w:cs="Times New Roman"/>
          <w:b/>
          <w:bCs/>
          <w:sz w:val="26"/>
          <w:szCs w:val="26"/>
          <w:lang w:val="en-GB"/>
        </w:rPr>
        <w:t xml:space="preserve"> Its Antecedents</w:t>
      </w:r>
    </w:p>
    <w:p w14:paraId="6F5C6F40" w14:textId="77777777" w:rsidR="004F5D9D" w:rsidRPr="005F1B2C" w:rsidRDefault="00534E43" w:rsidP="00687217">
      <w:pPr>
        <w:autoSpaceDE w:val="0"/>
        <w:autoSpaceDN w:val="0"/>
        <w:adjustRightInd w:val="0"/>
        <w:spacing w:after="0" w:line="300" w:lineRule="auto"/>
        <w:ind w:firstLineChars="200" w:firstLine="520"/>
        <w:jc w:val="both"/>
        <w:rPr>
          <w:rFonts w:ascii="Times New Roman" w:hAnsi="Times New Roman" w:cs="Times New Roman"/>
          <w:sz w:val="26"/>
          <w:szCs w:val="26"/>
          <w:lang w:val="en-IN"/>
        </w:rPr>
      </w:pPr>
      <w:r>
        <w:rPr>
          <w:rFonts w:ascii="Times New Roman" w:hAnsi="Times New Roman" w:cs="Times New Roman"/>
          <w:sz w:val="26"/>
          <w:szCs w:val="26"/>
          <w:lang w:val="en-IN"/>
        </w:rPr>
        <w:t xml:space="preserve">Building on the discussion above, brand avoidance can be defined as a motivational state that dissuades an individual from continuing a consumption relationship with a particular brand, leading to avoidance or outright rejection of the brand (Lee et al., 2009). In psychology, the term 'avoidance' refers to a motivational state characterized by behavior triggered by adverse or </w:t>
      </w:r>
      <w:r>
        <w:rPr>
          <w:rFonts w:ascii="Times New Roman" w:hAnsi="Times New Roman" w:cs="Times New Roman"/>
          <w:kern w:val="2"/>
          <w:sz w:val="26"/>
          <w:szCs w:val="26"/>
          <w14:ligatures w14:val="standardContextual"/>
        </w:rPr>
        <w:t>unwanted</w:t>
      </w:r>
      <w:r>
        <w:rPr>
          <w:rFonts w:ascii="Times New Roman" w:hAnsi="Times New Roman" w:cs="Times New Roman"/>
          <w:sz w:val="26"/>
          <w:szCs w:val="26"/>
          <w:lang w:val="en-IN"/>
        </w:rPr>
        <w:t xml:space="preserve"> events or possibilities (Markus &amp; Nurius, 1986; Elliot, 1999). This behavior occurs when customers deliberately shun brands even though they are available, accessible, and within their financial means. </w:t>
      </w:r>
    </w:p>
    <w:p w14:paraId="4824D120" w14:textId="77777777" w:rsidR="004F5D9D" w:rsidRPr="005F1B2C" w:rsidRDefault="00534E43" w:rsidP="00687217">
      <w:pPr>
        <w:autoSpaceDE w:val="0"/>
        <w:autoSpaceDN w:val="0"/>
        <w:adjustRightInd w:val="0"/>
        <w:spacing w:after="0" w:line="300" w:lineRule="auto"/>
        <w:ind w:firstLineChars="200" w:firstLine="520"/>
        <w:jc w:val="both"/>
        <w:rPr>
          <w:rFonts w:ascii="Times New Roman" w:hAnsi="Times New Roman" w:cs="Times New Roman"/>
          <w:sz w:val="26"/>
          <w:szCs w:val="26"/>
          <w:lang w:val="en-IN"/>
        </w:rPr>
      </w:pPr>
      <w:r>
        <w:rPr>
          <w:rFonts w:ascii="Times New Roman" w:hAnsi="Times New Roman" w:cs="Times New Roman"/>
          <w:sz w:val="26"/>
          <w:szCs w:val="26"/>
          <w:lang w:val="en-IN"/>
        </w:rPr>
        <w:t>Previous research has examined some of the motivations for brand avoidance at the subjective and conceptual levels. The following section provides an in-depth discussion of these topics. The factors behind brand avoidance include experiential, moral, deficit value, identity, and oppositional brand loyalty-based avoidance.</w:t>
      </w:r>
    </w:p>
    <w:p w14:paraId="4777A199" w14:textId="77777777" w:rsidR="004F5D9D" w:rsidRPr="005F1B2C" w:rsidRDefault="00534E43" w:rsidP="00687217">
      <w:pPr>
        <w:autoSpaceDE w:val="0"/>
        <w:autoSpaceDN w:val="0"/>
        <w:adjustRightInd w:val="0"/>
        <w:spacing w:after="0" w:line="300" w:lineRule="auto"/>
        <w:ind w:firstLineChars="200" w:firstLine="520"/>
        <w:jc w:val="both"/>
        <w:rPr>
          <w:rFonts w:ascii="Times New Roman" w:hAnsi="Times New Roman" w:cs="Times New Roman"/>
          <w:sz w:val="26"/>
          <w:szCs w:val="26"/>
          <w:lang w:val="en-IN"/>
        </w:rPr>
      </w:pPr>
      <w:r>
        <w:rPr>
          <w:rFonts w:ascii="Times New Roman" w:hAnsi="Times New Roman" w:cs="Times New Roman"/>
          <w:sz w:val="26"/>
          <w:szCs w:val="26"/>
          <w:lang w:val="en-IN"/>
        </w:rPr>
        <w:t xml:space="preserve">Recent scholarship further reinforces the relevance of these antecedents by showing that avoidance behavior has increased in contexts such as sustainability violations, ethical transgressions, and identity </w:t>
      </w:r>
      <w:r>
        <w:rPr>
          <w:rFonts w:ascii="Times New Roman" w:hAnsi="Times New Roman" w:cs="Times New Roman"/>
          <w:kern w:val="2"/>
          <w:sz w:val="26"/>
          <w:szCs w:val="26"/>
          <w14:ligatures w14:val="standardContextual"/>
        </w:rPr>
        <w:t>misfit</w:t>
      </w:r>
      <w:r>
        <w:rPr>
          <w:rFonts w:ascii="Times New Roman" w:hAnsi="Times New Roman" w:cs="Times New Roman"/>
          <w:sz w:val="26"/>
          <w:szCs w:val="26"/>
          <w:lang w:val="en-IN"/>
        </w:rPr>
        <w:t xml:space="preserve">. Empirical work across digital services, retail brands, and fashion markets consistently demonstrates that consumers now disengage from brands more quickly and </w:t>
      </w:r>
      <w:r>
        <w:rPr>
          <w:rFonts w:ascii="Times New Roman" w:hAnsi="Times New Roman" w:cs="Times New Roman"/>
          <w:kern w:val="2"/>
          <w:sz w:val="26"/>
          <w:szCs w:val="26"/>
          <w14:ligatures w14:val="standardContextual"/>
        </w:rPr>
        <w:t>systematically</w:t>
      </w:r>
      <w:r>
        <w:rPr>
          <w:rFonts w:ascii="Times New Roman" w:hAnsi="Times New Roman" w:cs="Times New Roman"/>
          <w:sz w:val="26"/>
          <w:szCs w:val="26"/>
          <w:lang w:val="en-IN"/>
        </w:rPr>
        <w:t xml:space="preserve"> than previously theorized (Alvarez et al., 2023; Kumar et al., 2023; Odoom et al., 2019).</w:t>
      </w:r>
    </w:p>
    <w:p w14:paraId="537F56C7" w14:textId="77777777" w:rsidR="004F5D9D" w:rsidRPr="005F1B2C" w:rsidRDefault="004F5D9D">
      <w:pPr>
        <w:spacing w:after="0" w:line="360" w:lineRule="exact"/>
        <w:ind w:right="90"/>
        <w:jc w:val="both"/>
        <w:rPr>
          <w:rFonts w:ascii="Times New Roman" w:hAnsi="Times New Roman" w:cs="Times New Roman"/>
          <w:b/>
          <w:bCs/>
          <w:sz w:val="26"/>
          <w:szCs w:val="26"/>
          <w:lang w:val="en-GB"/>
        </w:rPr>
      </w:pPr>
    </w:p>
    <w:p w14:paraId="5730F538" w14:textId="77777777" w:rsidR="004F5D9D" w:rsidRPr="005F1B2C" w:rsidRDefault="00534E43">
      <w:pPr>
        <w:spacing w:after="0" w:line="360" w:lineRule="exact"/>
        <w:ind w:right="90"/>
        <w:jc w:val="both"/>
        <w:rPr>
          <w:rFonts w:ascii="Times New Roman" w:hAnsi="Times New Roman" w:cs="Times New Roman"/>
          <w:b/>
          <w:bCs/>
          <w:sz w:val="26"/>
          <w:szCs w:val="26"/>
          <w:lang w:val="en-GB"/>
        </w:rPr>
      </w:pPr>
      <w:r>
        <w:rPr>
          <w:rFonts w:ascii="Times New Roman" w:hAnsi="Times New Roman" w:cs="Times New Roman"/>
          <w:b/>
          <w:bCs/>
          <w:sz w:val="26"/>
          <w:szCs w:val="26"/>
          <w:lang w:val="en-GB"/>
        </w:rPr>
        <w:t>Experiential Avoidance</w:t>
      </w:r>
    </w:p>
    <w:p w14:paraId="0C3C58E3" w14:textId="77777777" w:rsidR="004F5D9D" w:rsidRPr="005F1B2C" w:rsidRDefault="00534E43" w:rsidP="00687217">
      <w:pPr>
        <w:autoSpaceDE w:val="0"/>
        <w:autoSpaceDN w:val="0"/>
        <w:adjustRightInd w:val="0"/>
        <w:spacing w:after="0" w:line="300" w:lineRule="auto"/>
        <w:ind w:firstLineChars="200" w:firstLine="520"/>
        <w:jc w:val="both"/>
        <w:rPr>
          <w:rFonts w:ascii="Times New Roman" w:hAnsi="Times New Roman" w:cs="Times New Roman"/>
          <w:sz w:val="26"/>
          <w:szCs w:val="26"/>
          <w:lang w:val="en-IN"/>
        </w:rPr>
      </w:pPr>
      <w:r>
        <w:rPr>
          <w:rFonts w:ascii="Times New Roman" w:hAnsi="Times New Roman" w:cs="Times New Roman"/>
          <w:sz w:val="26"/>
          <w:szCs w:val="26"/>
          <w:lang w:val="en-IN"/>
        </w:rPr>
        <w:t xml:space="preserve">Consumers may start avoiding and eventually dislike brands due to an unpleasant experience with a product or service (Hempel, 2012). Making and meeting promises is at the core of successful branding (Vallaster &amp; De Chernatony, 2005). These claims lay the foundation for </w:t>
      </w:r>
      <w:r>
        <w:rPr>
          <w:rFonts w:ascii="Times New Roman" w:hAnsi="Times New Roman" w:cs="Times New Roman"/>
          <w:kern w:val="2"/>
          <w:sz w:val="26"/>
          <w:szCs w:val="26"/>
          <w14:ligatures w14:val="standardContextual"/>
        </w:rPr>
        <w:t>expectations</w:t>
      </w:r>
      <w:r>
        <w:rPr>
          <w:rFonts w:ascii="Times New Roman" w:hAnsi="Times New Roman" w:cs="Times New Roman"/>
          <w:sz w:val="26"/>
          <w:szCs w:val="26"/>
          <w:lang w:val="en-IN"/>
        </w:rPr>
        <w:t>, and it is undeniable that brand promise shapes them (Grönroos, 2006). For a consumer, the essence of a brand is primarily a set of expectations about what should follow after purchase (Dall'Olmo Riley &amp; De Chernatony, 2000). Unmet expectations may lead to negative disconfirmation and dissatisfaction (Halstead, 1989). Subsequently, a consumer may disengage from the brand and switch to competing brands due to dissatisfaction (Oliva et al., 1992).</w:t>
      </w:r>
    </w:p>
    <w:p w14:paraId="022AB364" w14:textId="77777777" w:rsidR="004F5D9D" w:rsidRPr="005F1B2C" w:rsidRDefault="004F5D9D">
      <w:pPr>
        <w:spacing w:after="0" w:line="360" w:lineRule="exact"/>
        <w:ind w:right="90"/>
        <w:jc w:val="both"/>
        <w:rPr>
          <w:rFonts w:ascii="Times New Roman" w:hAnsi="Times New Roman" w:cs="Times New Roman"/>
          <w:b/>
          <w:bCs/>
          <w:sz w:val="26"/>
          <w:szCs w:val="26"/>
          <w:lang w:val="en-GB"/>
        </w:rPr>
      </w:pPr>
    </w:p>
    <w:p w14:paraId="3B30BC46" w14:textId="77777777" w:rsidR="004F5D9D" w:rsidRPr="005F1B2C" w:rsidRDefault="00534E43">
      <w:pPr>
        <w:spacing w:after="0" w:line="360" w:lineRule="exact"/>
        <w:ind w:right="90"/>
        <w:jc w:val="both"/>
        <w:rPr>
          <w:rFonts w:ascii="Times New Roman" w:hAnsi="Times New Roman" w:cs="Times New Roman"/>
          <w:b/>
          <w:bCs/>
          <w:sz w:val="26"/>
          <w:szCs w:val="26"/>
          <w:lang w:val="en-GB"/>
        </w:rPr>
      </w:pPr>
      <w:r>
        <w:rPr>
          <w:rFonts w:ascii="Times New Roman" w:hAnsi="Times New Roman" w:cs="Times New Roman"/>
          <w:b/>
          <w:bCs/>
          <w:sz w:val="26"/>
          <w:szCs w:val="26"/>
          <w:lang w:val="en-GB"/>
        </w:rPr>
        <w:t>Identity Avoidance</w:t>
      </w:r>
    </w:p>
    <w:p w14:paraId="57B3A511" w14:textId="77777777" w:rsidR="004F5D9D" w:rsidRPr="005F1B2C" w:rsidRDefault="00534E43" w:rsidP="00687217">
      <w:pPr>
        <w:autoSpaceDE w:val="0"/>
        <w:autoSpaceDN w:val="0"/>
        <w:adjustRightInd w:val="0"/>
        <w:spacing w:after="0" w:line="300" w:lineRule="auto"/>
        <w:ind w:firstLineChars="200" w:firstLine="520"/>
        <w:jc w:val="both"/>
        <w:rPr>
          <w:rFonts w:ascii="Times New Roman" w:hAnsi="Times New Roman" w:cs="Times New Roman"/>
          <w:sz w:val="26"/>
          <w:szCs w:val="26"/>
          <w:lang w:val="en-IN"/>
        </w:rPr>
      </w:pPr>
      <w:r>
        <w:rPr>
          <w:rFonts w:ascii="Times New Roman" w:hAnsi="Times New Roman" w:cs="Times New Roman"/>
          <w:sz w:val="26"/>
          <w:szCs w:val="26"/>
          <w:lang w:val="en-IN"/>
        </w:rPr>
        <w:t>An individual's psychological self is their unique identity, representing cognitive and affective memories of their life, including their future (Markus &amp; Nurius, 1986). The role of self-image can be traced back to Rogers' self-theory, which guides individual behavior. Social interactions enable a person to be conscious of their self-definition, known as 'me as I am' (Parker, 2009). By analyzing oneself against social benchmarks, however, one might want to change one's actual self-conception to the ideal self-concept: 'the good me' (Parker, 2009). Consumers buy and own brands that help bridge the distance between their actual and ideal selves, affect their psychological well-being (Parker, 2009), and help them avoid undesired stereotypes that certain brands may evoke. There is an equally important concept of the 'undesired self.' Psychologists suggest that the distinction between the 'unwanted self' and the 'true self' may be a more effective point of reference for consumer-brand experiences than the distinction between the 'real self' and the 'wanted self' (Ogilvie, 1987). The brand-self distance refers to the perceived difference between a customer's self and the brand. An adjacent association is considered constructive, whereas a distant, unfriendly association is considered harmful (Moscovici &amp; Markova, 1998).</w:t>
      </w:r>
    </w:p>
    <w:p w14:paraId="21D073A4" w14:textId="77777777" w:rsidR="004F5D9D" w:rsidRDefault="00534E43" w:rsidP="00687217">
      <w:pPr>
        <w:autoSpaceDE w:val="0"/>
        <w:autoSpaceDN w:val="0"/>
        <w:adjustRightInd w:val="0"/>
        <w:spacing w:after="0" w:line="300" w:lineRule="auto"/>
        <w:ind w:firstLineChars="200" w:firstLine="520"/>
        <w:jc w:val="both"/>
        <w:rPr>
          <w:rFonts w:ascii="Times New Roman" w:hAnsi="Times New Roman" w:cs="Times New Roman"/>
          <w:sz w:val="26"/>
          <w:szCs w:val="26"/>
          <w:lang w:val="en-IN"/>
        </w:rPr>
      </w:pPr>
      <w:r>
        <w:rPr>
          <w:rFonts w:ascii="Times New Roman" w:hAnsi="Times New Roman" w:cs="Times New Roman"/>
          <w:sz w:val="26"/>
          <w:szCs w:val="26"/>
          <w:lang w:val="en-IN"/>
        </w:rPr>
        <w:t xml:space="preserve">Furthermore, the academic literature suggests that customers may build their self-concept by associating with positive </w:t>
      </w:r>
      <w:r>
        <w:rPr>
          <w:rFonts w:ascii="Times New Roman" w:hAnsi="Times New Roman" w:cs="Times New Roman"/>
          <w:kern w:val="2"/>
          <w:sz w:val="26"/>
          <w:szCs w:val="26"/>
          <w14:ligatures w14:val="standardContextual"/>
        </w:rPr>
        <w:t>reference</w:t>
      </w:r>
      <w:r>
        <w:rPr>
          <w:rFonts w:ascii="Times New Roman" w:hAnsi="Times New Roman" w:cs="Times New Roman"/>
          <w:sz w:val="26"/>
          <w:szCs w:val="26"/>
          <w:lang w:val="en-IN"/>
        </w:rPr>
        <w:t xml:space="preserve"> groups while isolating themselves from negative ones (Elsbach &amp; Bhattacharya, 2001). Another theme was 'de-individuation.' Individuals in a state of de-individuation are likely to lose their sense of identity and become absorbed in the crowd. Existing research suggests that individuality is a characteristic and that some people perceive themselves as distinct from others (Fromkin &amp; Snyder, 1980). Consumers with a higher need for individuality prefer exclusive products to stand out from the crowd (Tian et al., 2001) and, therefore, tend to avoid mainstream brands. Consumers may also witness a surge of fake and meaningless market offerings (Boyle, 2003). Consumers choose brands they perceive as relevant, original, and genuine to combat a sense of meaninglessness. In other words, consumers seek genuine products. These consumers may avoid brands they perceive as inauthentic (Beverland, 2005). </w:t>
      </w:r>
    </w:p>
    <w:p w14:paraId="54F114B9" w14:textId="77777777" w:rsidR="005F1B2C" w:rsidRPr="005F1B2C" w:rsidRDefault="005F1B2C" w:rsidP="00687217">
      <w:pPr>
        <w:autoSpaceDE w:val="0"/>
        <w:autoSpaceDN w:val="0"/>
        <w:adjustRightInd w:val="0"/>
        <w:spacing w:after="0" w:line="300" w:lineRule="auto"/>
        <w:ind w:firstLineChars="200" w:firstLine="520"/>
        <w:jc w:val="both"/>
        <w:rPr>
          <w:rFonts w:ascii="Times New Roman" w:hAnsi="Times New Roman" w:cs="Times New Roman"/>
          <w:sz w:val="26"/>
          <w:szCs w:val="26"/>
          <w:lang w:val="en-IN"/>
        </w:rPr>
      </w:pPr>
    </w:p>
    <w:p w14:paraId="3FB4D540" w14:textId="77777777" w:rsidR="004F5D9D" w:rsidRPr="005F1B2C" w:rsidRDefault="00534E43">
      <w:pPr>
        <w:spacing w:after="0" w:line="360" w:lineRule="exact"/>
        <w:ind w:right="90"/>
        <w:jc w:val="both"/>
        <w:rPr>
          <w:rFonts w:ascii="Times New Roman" w:hAnsi="Times New Roman" w:cs="Times New Roman"/>
          <w:b/>
          <w:bCs/>
          <w:sz w:val="26"/>
          <w:szCs w:val="26"/>
          <w:lang w:val="en-GB"/>
        </w:rPr>
      </w:pPr>
      <w:r>
        <w:rPr>
          <w:rFonts w:ascii="Times New Roman" w:hAnsi="Times New Roman" w:cs="Times New Roman"/>
          <w:b/>
          <w:bCs/>
          <w:sz w:val="26"/>
          <w:szCs w:val="26"/>
          <w:lang w:val="en-GB"/>
        </w:rPr>
        <w:t>Value Deficiency Avoidance</w:t>
      </w:r>
    </w:p>
    <w:p w14:paraId="1765BC23" w14:textId="77777777" w:rsidR="004F5D9D" w:rsidRPr="005F1B2C" w:rsidRDefault="00534E43" w:rsidP="00687217">
      <w:pPr>
        <w:autoSpaceDE w:val="0"/>
        <w:autoSpaceDN w:val="0"/>
        <w:adjustRightInd w:val="0"/>
        <w:spacing w:after="0" w:line="300" w:lineRule="auto"/>
        <w:ind w:firstLineChars="200" w:firstLine="520"/>
        <w:jc w:val="both"/>
        <w:rPr>
          <w:rFonts w:ascii="Times New Roman" w:hAnsi="Times New Roman" w:cs="Times New Roman"/>
          <w:sz w:val="26"/>
          <w:szCs w:val="26"/>
          <w:lang w:val="en-IN"/>
        </w:rPr>
      </w:pPr>
      <w:r>
        <w:rPr>
          <w:rFonts w:ascii="Times New Roman" w:hAnsi="Times New Roman" w:cs="Times New Roman"/>
          <w:sz w:val="26"/>
          <w:szCs w:val="26"/>
          <w:lang w:val="en-IN"/>
        </w:rPr>
        <w:t xml:space="preserve">Value deficiency avoidance is driven by the belief that a brand lacks value. Poor performance or emblematically unpleasant promises may not necessarily encourage this, but they may force consumers closer to their undesired selves. Instead, avoidance due to value deficiency stems from the expectation that the brand must perform poorly to meet practical needs. Therefore, the brand was deemed to have low value. Familiar brands have several advantages over relatively </w:t>
      </w:r>
      <w:r>
        <w:rPr>
          <w:rFonts w:ascii="Times New Roman" w:hAnsi="Times New Roman" w:cs="Times New Roman"/>
          <w:kern w:val="2"/>
          <w:sz w:val="26"/>
          <w:szCs w:val="26"/>
          <w14:ligatures w14:val="standardContextual"/>
        </w:rPr>
        <w:t>unknown</w:t>
      </w:r>
      <w:r>
        <w:rPr>
          <w:rFonts w:ascii="Times New Roman" w:hAnsi="Times New Roman" w:cs="Times New Roman"/>
          <w:sz w:val="26"/>
          <w:szCs w:val="26"/>
          <w:lang w:val="en-IN"/>
        </w:rPr>
        <w:t xml:space="preserve"> brands (</w:t>
      </w:r>
      <w:bookmarkStart w:id="3" w:name="_Hlk235980563"/>
      <w:r>
        <w:rPr>
          <w:rFonts w:ascii="Times New Roman" w:hAnsi="Times New Roman" w:cs="Times New Roman"/>
          <w:sz w:val="26"/>
          <w:szCs w:val="26"/>
          <w:lang w:val="en-IN"/>
        </w:rPr>
        <w:t>Aaker</w:t>
      </w:r>
      <w:bookmarkEnd w:id="3"/>
      <w:r>
        <w:rPr>
          <w:rFonts w:ascii="Times New Roman" w:hAnsi="Times New Roman" w:cs="Times New Roman"/>
          <w:sz w:val="26"/>
          <w:szCs w:val="26"/>
          <w:lang w:val="en-IN"/>
        </w:rPr>
        <w:t xml:space="preserve">, 1997). Deeper levels of consumer awareness and familiarity may make the brand part of consumers' consideration set, whereas unfamiliar brands, perceived as high risk and low quality, may be avoided (Richardson et al., 1996). A brand's aesthetics may also lead to greater acceptance or circumvention. Some consumers consider a brand's appearance as a sign of quality. For this reason, fancy packaging, beautiful product designs, and attractive models are encouraged in promotional campaigns, with the hope that the positive associations people have with visually appealing things will transfer to the products (Chitty et al., 2017). </w:t>
      </w:r>
    </w:p>
    <w:p w14:paraId="34EF53EC" w14:textId="77777777" w:rsidR="004F5D9D" w:rsidRPr="005F1B2C" w:rsidRDefault="004F5D9D">
      <w:pPr>
        <w:spacing w:after="0" w:line="360" w:lineRule="exact"/>
        <w:ind w:right="90"/>
        <w:jc w:val="both"/>
        <w:rPr>
          <w:rFonts w:ascii="Times New Roman" w:hAnsi="Times New Roman" w:cs="Times New Roman"/>
          <w:b/>
          <w:bCs/>
          <w:sz w:val="26"/>
          <w:szCs w:val="26"/>
          <w:lang w:val="en-GB"/>
        </w:rPr>
      </w:pPr>
    </w:p>
    <w:p w14:paraId="5C7349F7" w14:textId="77777777" w:rsidR="004F5D9D" w:rsidRPr="005F1B2C" w:rsidRDefault="00534E43">
      <w:pPr>
        <w:spacing w:after="0" w:line="360" w:lineRule="exact"/>
        <w:ind w:right="90"/>
        <w:jc w:val="both"/>
        <w:rPr>
          <w:rFonts w:ascii="Times New Roman" w:hAnsi="Times New Roman" w:cs="Times New Roman"/>
          <w:b/>
          <w:bCs/>
          <w:sz w:val="26"/>
          <w:szCs w:val="26"/>
          <w:lang w:val="en-GB"/>
        </w:rPr>
      </w:pPr>
      <w:r>
        <w:rPr>
          <w:rFonts w:ascii="Times New Roman" w:hAnsi="Times New Roman" w:cs="Times New Roman"/>
          <w:b/>
          <w:bCs/>
          <w:sz w:val="26"/>
          <w:szCs w:val="26"/>
          <w:lang w:val="en-GB"/>
        </w:rPr>
        <w:t>Moral Avoidance</w:t>
      </w:r>
    </w:p>
    <w:p w14:paraId="4DE982A3" w14:textId="77777777" w:rsidR="004F5D9D" w:rsidRPr="005F1B2C" w:rsidRDefault="00534E43" w:rsidP="00687217">
      <w:pPr>
        <w:autoSpaceDE w:val="0"/>
        <w:autoSpaceDN w:val="0"/>
        <w:adjustRightInd w:val="0"/>
        <w:spacing w:after="0" w:line="300" w:lineRule="auto"/>
        <w:ind w:firstLineChars="200" w:firstLine="520"/>
        <w:jc w:val="both"/>
        <w:rPr>
          <w:rFonts w:ascii="Times New Roman" w:hAnsi="Times New Roman" w:cs="Times New Roman"/>
          <w:sz w:val="26"/>
          <w:szCs w:val="26"/>
          <w:lang w:val="en-IN"/>
        </w:rPr>
      </w:pPr>
      <w:r>
        <w:rPr>
          <w:rFonts w:ascii="Times New Roman" w:hAnsi="Times New Roman" w:cs="Times New Roman"/>
          <w:sz w:val="26"/>
          <w:szCs w:val="26"/>
          <w:lang w:val="en-IN"/>
        </w:rPr>
        <w:t>Moral incompatibility may also motivate brand avoidance, also known as moral avoidance. An individual's moral philosophy is one's perspective on what is right or wrong (Portwood-Stacer, 2012). Therefore, some customers might avoid or hate a brand because they believe it is morally irresponsible and unethical (Kates, 2004). Stereotyped images of certain countries may be activated when appraising products from these countries (Han &amp; Terpstra, 1988). According to the animosity model, products and services may be avoided if they originate from an offending nation engaged in warfare or political or economic actions that consumers find difficult to forgive and forget (Klein, 2002). A sub-theme closely related to the country-of-origin effect is 'financial patriotism.' Some customers have a strong patriotic attachment to local businesses that are part of their community, and they may resist buying foreign-made products because they believe it is unethical and disloyal (Sharma et al., 1995; Chandel &amp; Mishra, 2022). Another sub-theme of moral avoidance involves avoiding brands perceived as unduly dominant within the marketplace, described as hegemonic. Some consumers also believe that dominant cultures overshadow other vulnerable cultures by exporting values, beliefs, ideas, products, people, and lifestyles (Tomlinson, 1999), thereby avoiding brands associated with these cultures/countries. Sometimes brand avoidance is triggered by a brand's unethical and dishonest practices, such as the mistreatment of employees and environmental degradation. A corporation's social responsibility (CSR) is related to its commitment to humanity (Sen &amp; Bhattacharya, 2001). Therefore, a multinational that runs its business dishonestly may create an adverse brand connotation that some consumers may wish to distance themselves from.</w:t>
      </w:r>
    </w:p>
    <w:p w14:paraId="1245955D" w14:textId="77777777" w:rsidR="004F5D9D" w:rsidRPr="005F1B2C" w:rsidRDefault="004F5D9D" w:rsidP="005F1B2C">
      <w:pPr>
        <w:snapToGrid w:val="0"/>
        <w:spacing w:after="0" w:line="300" w:lineRule="auto"/>
        <w:ind w:right="91"/>
        <w:jc w:val="both"/>
        <w:rPr>
          <w:rFonts w:ascii="Times New Roman" w:hAnsi="Times New Roman" w:cs="Times New Roman"/>
          <w:sz w:val="26"/>
          <w:szCs w:val="26"/>
          <w:lang w:val="en-GB"/>
        </w:rPr>
      </w:pPr>
    </w:p>
    <w:p w14:paraId="127FC4B7" w14:textId="77777777" w:rsidR="004F5D9D" w:rsidRPr="005F1B2C" w:rsidRDefault="00534E43" w:rsidP="005F1B2C">
      <w:pPr>
        <w:snapToGrid w:val="0"/>
        <w:spacing w:after="0" w:line="300" w:lineRule="auto"/>
        <w:ind w:right="91"/>
        <w:jc w:val="both"/>
        <w:rPr>
          <w:rFonts w:ascii="Times New Roman" w:hAnsi="Times New Roman" w:cs="Times New Roman"/>
          <w:b/>
          <w:bCs/>
          <w:sz w:val="26"/>
          <w:szCs w:val="26"/>
          <w:lang w:val="en-GB"/>
        </w:rPr>
      </w:pPr>
      <w:r>
        <w:rPr>
          <w:rFonts w:ascii="Times New Roman" w:hAnsi="Times New Roman" w:cs="Times New Roman"/>
          <w:b/>
          <w:bCs/>
          <w:sz w:val="26"/>
          <w:szCs w:val="26"/>
          <w:lang w:val="en-GB"/>
        </w:rPr>
        <w:t>Oppositional Brand Loyalty</w:t>
      </w:r>
    </w:p>
    <w:p w14:paraId="4AAA4F3C" w14:textId="77777777" w:rsidR="004F5D9D" w:rsidRPr="005F1B2C" w:rsidRDefault="00534E43" w:rsidP="00687217">
      <w:pPr>
        <w:autoSpaceDE w:val="0"/>
        <w:autoSpaceDN w:val="0"/>
        <w:adjustRightInd w:val="0"/>
        <w:spacing w:after="0" w:line="300" w:lineRule="auto"/>
        <w:ind w:firstLineChars="200" w:firstLine="520"/>
        <w:jc w:val="both"/>
        <w:rPr>
          <w:rFonts w:ascii="Times New Roman" w:hAnsi="Times New Roman" w:cs="Times New Roman"/>
          <w:sz w:val="26"/>
          <w:szCs w:val="26"/>
          <w:lang w:val="en-IN"/>
        </w:rPr>
      </w:pPr>
      <w:r>
        <w:rPr>
          <w:rFonts w:ascii="Times New Roman" w:hAnsi="Times New Roman" w:cs="Times New Roman"/>
          <w:sz w:val="26"/>
          <w:szCs w:val="26"/>
          <w:lang w:val="en-IN"/>
        </w:rPr>
        <w:t>Brand loyalty refers to a consumer's commitment to a brand and their affinity for it (Aaker, 1991). It is often measured as consumers' reactions to brand marketing (Blackston, 1995) and as purchasing behavior (Dyson et al., 1996); brand loyalty means much more than this (</w:t>
      </w:r>
      <w:r>
        <w:rPr>
          <w:rFonts w:ascii="Times New Roman" w:hAnsi="Times New Roman" w:cs="Times New Roman"/>
          <w:kern w:val="2"/>
          <w:sz w:val="26"/>
          <w:szCs w:val="26"/>
          <w14:ligatures w14:val="standardContextual"/>
        </w:rPr>
        <w:t>McAlexander</w:t>
      </w:r>
      <w:r>
        <w:rPr>
          <w:rFonts w:ascii="Times New Roman" w:hAnsi="Times New Roman" w:cs="Times New Roman"/>
          <w:sz w:val="26"/>
          <w:szCs w:val="26"/>
          <w:lang w:val="en-IN"/>
        </w:rPr>
        <w:t xml:space="preserve"> &amp; Schouten, 1998). Loyalty to a brand can be expressed in various ways in different environments. Consumers may demonstrate loyalty by actively protecting and endorsing their favorite brand as superior to competitors. This is known as allegiance to the opposing company.</w:t>
      </w:r>
    </w:p>
    <w:p w14:paraId="02AE97D4" w14:textId="77777777" w:rsidR="004F5D9D" w:rsidRPr="005F1B2C" w:rsidRDefault="00534E43" w:rsidP="00687217">
      <w:pPr>
        <w:autoSpaceDE w:val="0"/>
        <w:autoSpaceDN w:val="0"/>
        <w:adjustRightInd w:val="0"/>
        <w:spacing w:after="0" w:line="300" w:lineRule="auto"/>
        <w:ind w:firstLineChars="200" w:firstLine="520"/>
        <w:jc w:val="both"/>
        <w:rPr>
          <w:rFonts w:ascii="Times New Roman" w:hAnsi="Times New Roman" w:cs="Times New Roman"/>
          <w:sz w:val="24"/>
          <w:szCs w:val="24"/>
          <w:lang w:val="en-IN"/>
        </w:rPr>
      </w:pPr>
      <w:r>
        <w:rPr>
          <w:rFonts w:ascii="Times New Roman" w:hAnsi="Times New Roman" w:cs="Times New Roman"/>
          <w:sz w:val="26"/>
          <w:szCs w:val="26"/>
          <w:lang w:val="en-IN"/>
        </w:rPr>
        <w:t xml:space="preserve">As discussed earlier, consumers borrow part of their identity from what they consume and how they consume (Belk &amp; Costa, 1998). Consumers may also derive their identities from what they do not consume (Englis &amp; Solomon, 1997). In other words, loyal users can express their brand loyalty by emotionally opposing competing brands while defending their favorite brands. </w:t>
      </w:r>
      <w:r>
        <w:rPr>
          <w:rFonts w:ascii="Times New Roman" w:hAnsi="Times New Roman" w:cs="Times New Roman"/>
          <w:sz w:val="24"/>
          <w:szCs w:val="24"/>
          <w:lang w:val="en-IN"/>
        </w:rPr>
        <w:t>Moreover, contemporary branding scholarship increasingly emphasizes the need for validated scales to measure negative consumer–brand relationships, with several recent papers calling for more rigorous construct development in this space (Zhang &amp; Laroche, 2020)</w:t>
      </w:r>
    </w:p>
    <w:p w14:paraId="7F034A1F" w14:textId="77777777" w:rsidR="004F5D9D" w:rsidRPr="005F1B2C" w:rsidRDefault="00534E43" w:rsidP="00687217">
      <w:pPr>
        <w:autoSpaceDE w:val="0"/>
        <w:autoSpaceDN w:val="0"/>
        <w:adjustRightInd w:val="0"/>
        <w:spacing w:after="0" w:line="300" w:lineRule="auto"/>
        <w:ind w:firstLineChars="200" w:firstLine="520"/>
        <w:jc w:val="both"/>
        <w:rPr>
          <w:rFonts w:ascii="Times New Roman" w:hAnsi="Times New Roman" w:cs="Times New Roman"/>
          <w:sz w:val="26"/>
          <w:szCs w:val="26"/>
          <w:lang w:val="en-IN"/>
        </w:rPr>
      </w:pPr>
      <w:r>
        <w:rPr>
          <w:rFonts w:ascii="Times New Roman" w:hAnsi="Times New Roman" w:cs="Times New Roman"/>
          <w:sz w:val="26"/>
          <w:szCs w:val="26"/>
          <w:lang w:val="en-IN"/>
        </w:rPr>
        <w:t xml:space="preserve">Despite rich conceptual discussions across domains such as dissatisfaction, identity construction, moral judgment, and loyalty dynamics, the literature lacks a validated, multi-dimensional scale that captures </w:t>
      </w:r>
      <w:r>
        <w:rPr>
          <w:rFonts w:ascii="Times New Roman" w:hAnsi="Times New Roman" w:cs="Times New Roman"/>
          <w:kern w:val="2"/>
          <w:sz w:val="26"/>
          <w:szCs w:val="26"/>
          <w14:ligatures w14:val="standardContextual"/>
        </w:rPr>
        <w:t>brand</w:t>
      </w:r>
      <w:r>
        <w:rPr>
          <w:rFonts w:ascii="Times New Roman" w:hAnsi="Times New Roman" w:cs="Times New Roman"/>
          <w:sz w:val="26"/>
          <w:szCs w:val="26"/>
          <w:lang w:val="en-IN"/>
        </w:rPr>
        <w:t xml:space="preserve"> avoidance holistically. Existing studies examine these antecedents in isolation, use inconsistent measures, or rely on reflective operationalizations that do not align with the construct's formative nature. Additionally, several recent studies have called for more rigorous measurement approaches to negative consumer–brand relationships, reinforcing the need for validated, multi-dimensional scales to examine avoidance in contemporary consumer environments </w:t>
      </w:r>
      <w:r>
        <w:rPr>
          <w:rFonts w:ascii="Times New Roman" w:hAnsi="Times New Roman" w:cs="Times New Roman"/>
          <w:sz w:val="24"/>
          <w:szCs w:val="24"/>
          <w:lang w:val="en-IN"/>
        </w:rPr>
        <w:t>(Haase et al.,2022).</w:t>
      </w:r>
      <w:r>
        <w:rPr>
          <w:rFonts w:ascii="Times New Roman" w:hAnsi="Times New Roman" w:cs="Times New Roman"/>
          <w:sz w:val="26"/>
          <w:szCs w:val="26"/>
          <w:lang w:val="en-IN"/>
        </w:rPr>
        <w:t xml:space="preserve"> These gaps underscore the need for a robust, theory-grounded scale that incorporates all significant antecedents and facilitates consistent empirical assessment. The present study responds to this gap by developing and validating a comprehensive formative index of brand avoidance.</w:t>
      </w:r>
    </w:p>
    <w:p w14:paraId="3C3F8A9D" w14:textId="77777777" w:rsidR="004F5D9D" w:rsidRPr="005F1B2C" w:rsidRDefault="004F5D9D" w:rsidP="005F1B2C">
      <w:pPr>
        <w:widowControl w:val="0"/>
        <w:autoSpaceDE w:val="0"/>
        <w:autoSpaceDN w:val="0"/>
        <w:adjustRightInd w:val="0"/>
        <w:snapToGrid w:val="0"/>
        <w:spacing w:after="0" w:line="300" w:lineRule="auto"/>
        <w:rPr>
          <w:rFonts w:ascii="Times New Roman" w:hAnsi="Times New Roman" w:cs="Times New Roman"/>
          <w:sz w:val="26"/>
          <w:szCs w:val="26"/>
          <w:lang w:val="en-IN"/>
        </w:rPr>
      </w:pPr>
    </w:p>
    <w:p w14:paraId="6CB58379" w14:textId="77777777" w:rsidR="004F5D9D" w:rsidRPr="005F1B2C" w:rsidRDefault="00534E43" w:rsidP="005F1B2C">
      <w:pPr>
        <w:widowControl w:val="0"/>
        <w:autoSpaceDE w:val="0"/>
        <w:autoSpaceDN w:val="0"/>
        <w:adjustRightInd w:val="0"/>
        <w:snapToGrid w:val="0"/>
        <w:spacing w:after="0" w:line="300" w:lineRule="auto"/>
        <w:rPr>
          <w:rFonts w:ascii="Times New Roman" w:hAnsi="Times New Roman" w:cs="Times New Roman"/>
          <w:b/>
          <w:bCs/>
          <w:sz w:val="26"/>
          <w:szCs w:val="26"/>
          <w:lang w:val="en-IN"/>
        </w:rPr>
      </w:pPr>
      <w:r>
        <w:rPr>
          <w:rFonts w:ascii="Times New Roman" w:hAnsi="Times New Roman" w:cs="Times New Roman"/>
          <w:b/>
          <w:bCs/>
          <w:sz w:val="26"/>
          <w:szCs w:val="26"/>
          <w:lang w:val="en-IN"/>
        </w:rPr>
        <w:t>Hypothesis Development</w:t>
      </w:r>
    </w:p>
    <w:p w14:paraId="0A819C04" w14:textId="77777777" w:rsidR="004F5D9D" w:rsidRPr="005F1B2C" w:rsidRDefault="00534E43" w:rsidP="00687217">
      <w:pPr>
        <w:autoSpaceDE w:val="0"/>
        <w:autoSpaceDN w:val="0"/>
        <w:adjustRightInd w:val="0"/>
        <w:spacing w:after="0" w:line="300" w:lineRule="auto"/>
        <w:ind w:firstLineChars="200" w:firstLine="520"/>
        <w:jc w:val="both"/>
        <w:rPr>
          <w:rFonts w:ascii="Times New Roman" w:hAnsi="Times New Roman" w:cs="Times New Roman"/>
          <w:sz w:val="26"/>
          <w:szCs w:val="26"/>
          <w:lang w:val="en-IN"/>
        </w:rPr>
      </w:pPr>
      <w:r>
        <w:rPr>
          <w:rFonts w:ascii="Times New Roman" w:hAnsi="Times New Roman" w:cs="Times New Roman"/>
          <w:sz w:val="26"/>
          <w:szCs w:val="26"/>
          <w:lang w:val="en-IN"/>
        </w:rPr>
        <w:t xml:space="preserve">Building on the reviewed literature, the </w:t>
      </w:r>
      <w:r>
        <w:rPr>
          <w:rFonts w:ascii="Times New Roman" w:hAnsi="Times New Roman" w:cs="Times New Roman"/>
          <w:kern w:val="2"/>
          <w:sz w:val="26"/>
          <w:szCs w:val="26"/>
          <w14:ligatures w14:val="standardContextual"/>
        </w:rPr>
        <w:t>present</w:t>
      </w:r>
      <w:r>
        <w:rPr>
          <w:rFonts w:ascii="Times New Roman" w:hAnsi="Times New Roman" w:cs="Times New Roman"/>
          <w:sz w:val="26"/>
          <w:szCs w:val="26"/>
          <w:lang w:val="en-IN"/>
        </w:rPr>
        <w:t xml:space="preserve"> study conceptualizes brand avoidance as a higher-order formative construct comprising five lower-order dimensions: experiential avoidance, identity avoidance, value-deficiency avoidance, moral avoidance, and oppositional brand-loyalty-based avoidance. Prior research establishes that negative usage experiences, self-concept misalignment, perceived lack of value, and moral or ideological conflict are potent triggers of distancing behaviors towards brands (Halstead, 1989; Lee et al., 2009; Beverland, 2005; Klein, 2002). Furthermore, loyalty dynamics may manifest as oppositional behavior, in which a strong preference for a focal brand fuels the deliberate avoidance of rival brands (Aaker, 1991; </w:t>
      </w:r>
      <w:r>
        <w:rPr>
          <w:rFonts w:ascii="Times New Roman" w:hAnsi="Times New Roman" w:cs="Times New Roman"/>
          <w:kern w:val="2"/>
          <w:sz w:val="26"/>
          <w:szCs w:val="26"/>
          <w14:ligatures w14:val="standardContextual"/>
        </w:rPr>
        <w:t>McAlexander</w:t>
      </w:r>
      <w:r>
        <w:rPr>
          <w:rFonts w:ascii="Times New Roman" w:hAnsi="Times New Roman" w:cs="Times New Roman"/>
          <w:sz w:val="26"/>
          <w:szCs w:val="26"/>
          <w:lang w:val="en-IN"/>
        </w:rPr>
        <w:t xml:space="preserve"> &amp; Schouten, 1998). Guided by these theoretical insights and the formative structure underpinning the construct, the study proposes the following hypotheses:</w:t>
      </w:r>
    </w:p>
    <w:p w14:paraId="294AFE07" w14:textId="77777777" w:rsidR="004F5D9D" w:rsidRPr="005F1B2C" w:rsidRDefault="004F5D9D">
      <w:pPr>
        <w:widowControl w:val="0"/>
        <w:autoSpaceDE w:val="0"/>
        <w:autoSpaceDN w:val="0"/>
        <w:adjustRightInd w:val="0"/>
        <w:spacing w:after="0" w:line="360" w:lineRule="exact"/>
        <w:ind w:firstLine="360"/>
        <w:jc w:val="both"/>
        <w:rPr>
          <w:rFonts w:ascii="Times New Roman" w:hAnsi="Times New Roman" w:cs="Times New Roman"/>
          <w:sz w:val="26"/>
          <w:szCs w:val="26"/>
          <w:lang w:val="en-IN"/>
        </w:rPr>
      </w:pPr>
    </w:p>
    <w:p w14:paraId="3D000B57" w14:textId="77777777" w:rsidR="004F5D9D" w:rsidRPr="005F1B2C" w:rsidRDefault="00534E43" w:rsidP="005F1B2C">
      <w:pPr>
        <w:widowControl w:val="0"/>
        <w:autoSpaceDE w:val="0"/>
        <w:autoSpaceDN w:val="0"/>
        <w:adjustRightInd w:val="0"/>
        <w:spacing w:after="0" w:line="360" w:lineRule="exact"/>
        <w:ind w:left="567" w:hangingChars="218" w:hanging="567"/>
        <w:jc w:val="both"/>
        <w:rPr>
          <w:rFonts w:ascii="Times New Roman" w:hAnsi="Times New Roman" w:cs="Times New Roman"/>
          <w:sz w:val="26"/>
          <w:szCs w:val="26"/>
          <w:lang w:val="en-IN"/>
        </w:rPr>
      </w:pPr>
      <w:r>
        <w:rPr>
          <w:rFonts w:ascii="Times New Roman" w:hAnsi="Times New Roman" w:cs="Times New Roman"/>
          <w:b/>
          <w:bCs/>
          <w:sz w:val="26"/>
          <w:szCs w:val="26"/>
          <w:lang w:val="en-IN"/>
        </w:rPr>
        <w:t xml:space="preserve">H1: </w:t>
      </w:r>
      <w:r>
        <w:rPr>
          <w:rFonts w:ascii="Times New Roman" w:hAnsi="Times New Roman" w:cs="Times New Roman"/>
          <w:sz w:val="26"/>
          <w:szCs w:val="26"/>
          <w:lang w:val="en-IN"/>
        </w:rPr>
        <w:t>Experiential avoidance has a positive and significant effect on the brand avoidance index.</w:t>
      </w:r>
    </w:p>
    <w:p w14:paraId="45BFD64E" w14:textId="77777777" w:rsidR="004F5D9D" w:rsidRPr="005F1B2C" w:rsidRDefault="00534E43" w:rsidP="005F1B2C">
      <w:pPr>
        <w:widowControl w:val="0"/>
        <w:autoSpaceDE w:val="0"/>
        <w:autoSpaceDN w:val="0"/>
        <w:adjustRightInd w:val="0"/>
        <w:spacing w:after="0" w:line="360" w:lineRule="exact"/>
        <w:ind w:left="567" w:hangingChars="218" w:hanging="567"/>
        <w:jc w:val="both"/>
        <w:rPr>
          <w:rFonts w:ascii="Times New Roman" w:hAnsi="Times New Roman" w:cs="Times New Roman"/>
          <w:sz w:val="26"/>
          <w:szCs w:val="26"/>
          <w:lang w:val="en-IN"/>
        </w:rPr>
      </w:pPr>
      <w:r>
        <w:rPr>
          <w:rFonts w:ascii="Times New Roman" w:hAnsi="Times New Roman" w:cs="Times New Roman"/>
          <w:b/>
          <w:bCs/>
          <w:sz w:val="26"/>
          <w:szCs w:val="26"/>
          <w:lang w:val="en-IN"/>
        </w:rPr>
        <w:t xml:space="preserve">H2: </w:t>
      </w:r>
      <w:r>
        <w:rPr>
          <w:rFonts w:ascii="Times New Roman" w:hAnsi="Times New Roman" w:cs="Times New Roman"/>
          <w:sz w:val="26"/>
          <w:szCs w:val="26"/>
          <w:lang w:val="en-IN"/>
        </w:rPr>
        <w:t>Identity avoidance has a positive and significant effect on the brand avoidance index.</w:t>
      </w:r>
    </w:p>
    <w:p w14:paraId="6B8D5609" w14:textId="77777777" w:rsidR="004F5D9D" w:rsidRPr="005F1B2C" w:rsidRDefault="00534E43" w:rsidP="005F1B2C">
      <w:pPr>
        <w:widowControl w:val="0"/>
        <w:autoSpaceDE w:val="0"/>
        <w:autoSpaceDN w:val="0"/>
        <w:adjustRightInd w:val="0"/>
        <w:spacing w:after="0" w:line="360" w:lineRule="exact"/>
        <w:ind w:left="567" w:hangingChars="218" w:hanging="567"/>
        <w:jc w:val="both"/>
        <w:rPr>
          <w:rFonts w:ascii="Times New Roman" w:hAnsi="Times New Roman" w:cs="Times New Roman"/>
          <w:sz w:val="26"/>
          <w:szCs w:val="26"/>
          <w:lang w:val="en-IN"/>
        </w:rPr>
      </w:pPr>
      <w:r>
        <w:rPr>
          <w:rFonts w:ascii="Times New Roman" w:hAnsi="Times New Roman" w:cs="Times New Roman"/>
          <w:b/>
          <w:bCs/>
          <w:sz w:val="26"/>
          <w:szCs w:val="26"/>
          <w:lang w:val="en-IN"/>
        </w:rPr>
        <w:t xml:space="preserve">H3: </w:t>
      </w:r>
      <w:r>
        <w:rPr>
          <w:rFonts w:ascii="Times New Roman" w:hAnsi="Times New Roman" w:cs="Times New Roman"/>
          <w:sz w:val="26"/>
          <w:szCs w:val="26"/>
          <w:lang w:val="en-IN"/>
        </w:rPr>
        <w:t>Value-deficiency avoidance has a positive and significant effect on the brand avoidance index.</w:t>
      </w:r>
    </w:p>
    <w:p w14:paraId="282A8019" w14:textId="77777777" w:rsidR="004F5D9D" w:rsidRPr="005F1B2C" w:rsidRDefault="00534E43" w:rsidP="005F1B2C">
      <w:pPr>
        <w:widowControl w:val="0"/>
        <w:autoSpaceDE w:val="0"/>
        <w:autoSpaceDN w:val="0"/>
        <w:adjustRightInd w:val="0"/>
        <w:spacing w:after="0" w:line="360" w:lineRule="exact"/>
        <w:ind w:left="567" w:hangingChars="218" w:hanging="567"/>
        <w:jc w:val="both"/>
        <w:rPr>
          <w:rFonts w:ascii="Times New Roman" w:hAnsi="Times New Roman" w:cs="Times New Roman"/>
          <w:sz w:val="26"/>
          <w:szCs w:val="26"/>
          <w:lang w:val="en-IN"/>
        </w:rPr>
      </w:pPr>
      <w:r>
        <w:rPr>
          <w:rFonts w:ascii="Times New Roman" w:hAnsi="Times New Roman" w:cs="Times New Roman"/>
          <w:b/>
          <w:bCs/>
          <w:sz w:val="26"/>
          <w:szCs w:val="26"/>
          <w:lang w:val="en-IN"/>
        </w:rPr>
        <w:t xml:space="preserve">H4: </w:t>
      </w:r>
      <w:r>
        <w:rPr>
          <w:rFonts w:ascii="Times New Roman" w:hAnsi="Times New Roman" w:cs="Times New Roman"/>
          <w:sz w:val="26"/>
          <w:szCs w:val="26"/>
          <w:lang w:val="en-IN"/>
        </w:rPr>
        <w:t>Moral avoidance has a positive and significant effect on the brand avoidance index.</w:t>
      </w:r>
    </w:p>
    <w:p w14:paraId="0180F70F" w14:textId="77777777" w:rsidR="004F5D9D" w:rsidRPr="005F1B2C" w:rsidRDefault="00534E43" w:rsidP="005F1B2C">
      <w:pPr>
        <w:widowControl w:val="0"/>
        <w:autoSpaceDE w:val="0"/>
        <w:autoSpaceDN w:val="0"/>
        <w:adjustRightInd w:val="0"/>
        <w:spacing w:after="0" w:line="360" w:lineRule="exact"/>
        <w:ind w:left="567" w:hangingChars="218" w:hanging="567"/>
        <w:jc w:val="both"/>
        <w:rPr>
          <w:rFonts w:ascii="Times New Roman" w:hAnsi="Times New Roman" w:cs="Times New Roman"/>
          <w:sz w:val="26"/>
          <w:szCs w:val="26"/>
          <w:lang w:val="en-IN"/>
        </w:rPr>
      </w:pPr>
      <w:r>
        <w:rPr>
          <w:rFonts w:ascii="Times New Roman" w:hAnsi="Times New Roman" w:cs="Times New Roman"/>
          <w:b/>
          <w:bCs/>
          <w:sz w:val="26"/>
          <w:szCs w:val="26"/>
          <w:lang w:val="en-IN"/>
        </w:rPr>
        <w:t xml:space="preserve">H5: </w:t>
      </w:r>
      <w:r>
        <w:rPr>
          <w:rFonts w:ascii="Times New Roman" w:hAnsi="Times New Roman" w:cs="Times New Roman"/>
          <w:sz w:val="26"/>
          <w:szCs w:val="26"/>
          <w:lang w:val="en-IN"/>
        </w:rPr>
        <w:t>Oppositional brand-loyalty-based avoidance has a positive and significant effect on the brand avoidance index.</w:t>
      </w:r>
    </w:p>
    <w:p w14:paraId="4B92A1DC" w14:textId="77777777" w:rsidR="004F5D9D" w:rsidRPr="005F1B2C" w:rsidRDefault="00534E43" w:rsidP="005F1B2C">
      <w:pPr>
        <w:widowControl w:val="0"/>
        <w:autoSpaceDE w:val="0"/>
        <w:autoSpaceDN w:val="0"/>
        <w:adjustRightInd w:val="0"/>
        <w:spacing w:after="0" w:line="360" w:lineRule="exact"/>
        <w:ind w:left="567" w:hangingChars="218" w:hanging="567"/>
        <w:jc w:val="both"/>
        <w:rPr>
          <w:rFonts w:ascii="Times New Roman" w:hAnsi="Times New Roman" w:cs="Times New Roman"/>
          <w:sz w:val="26"/>
          <w:szCs w:val="26"/>
          <w:lang w:val="en-IN"/>
        </w:rPr>
      </w:pPr>
      <w:r>
        <w:rPr>
          <w:rFonts w:ascii="Times New Roman" w:hAnsi="Times New Roman" w:cs="Times New Roman"/>
          <w:b/>
          <w:bCs/>
          <w:sz w:val="26"/>
          <w:szCs w:val="26"/>
          <w:lang w:val="en-IN"/>
        </w:rPr>
        <w:t xml:space="preserve">H6: </w:t>
      </w:r>
      <w:r>
        <w:rPr>
          <w:rFonts w:ascii="Times New Roman" w:hAnsi="Times New Roman" w:cs="Times New Roman"/>
          <w:sz w:val="26"/>
          <w:szCs w:val="26"/>
          <w:lang w:val="en-IN"/>
        </w:rPr>
        <w:t>Brand avoidance has a positive and significant effect on consumers' non-buying intention towards the focal smartphone brand.</w:t>
      </w:r>
    </w:p>
    <w:p w14:paraId="53586397" w14:textId="77777777" w:rsidR="004F5D9D" w:rsidRPr="005F1B2C" w:rsidRDefault="004F5D9D">
      <w:pPr>
        <w:widowControl w:val="0"/>
        <w:autoSpaceDE w:val="0"/>
        <w:autoSpaceDN w:val="0"/>
        <w:adjustRightInd w:val="0"/>
        <w:spacing w:after="0" w:line="360" w:lineRule="exact"/>
        <w:ind w:firstLine="360"/>
        <w:jc w:val="both"/>
        <w:rPr>
          <w:rFonts w:ascii="Times New Roman" w:hAnsi="Times New Roman" w:cs="Times New Roman"/>
          <w:sz w:val="26"/>
          <w:szCs w:val="26"/>
          <w:lang w:val="en-IN"/>
        </w:rPr>
      </w:pPr>
    </w:p>
    <w:p w14:paraId="00F18807" w14:textId="77777777" w:rsidR="004F5D9D" w:rsidRPr="005F1B2C" w:rsidRDefault="00534E43" w:rsidP="00687217">
      <w:pPr>
        <w:autoSpaceDE w:val="0"/>
        <w:autoSpaceDN w:val="0"/>
        <w:adjustRightInd w:val="0"/>
        <w:spacing w:after="0" w:line="300" w:lineRule="auto"/>
        <w:ind w:firstLineChars="200" w:firstLine="520"/>
        <w:jc w:val="both"/>
        <w:rPr>
          <w:rFonts w:ascii="Times New Roman" w:hAnsi="Times New Roman" w:cs="Times New Roman"/>
          <w:sz w:val="26"/>
          <w:szCs w:val="26"/>
          <w:lang w:val="en-IN"/>
        </w:rPr>
      </w:pPr>
      <w:r>
        <w:rPr>
          <w:rFonts w:ascii="Times New Roman" w:hAnsi="Times New Roman" w:cs="Times New Roman"/>
          <w:sz w:val="26"/>
          <w:szCs w:val="26"/>
          <w:lang w:val="en-IN"/>
        </w:rPr>
        <w:t xml:space="preserve">These hypotheses align with the </w:t>
      </w:r>
      <w:r>
        <w:rPr>
          <w:rFonts w:ascii="Times New Roman" w:hAnsi="Times New Roman" w:cs="Times New Roman"/>
          <w:kern w:val="2"/>
          <w:sz w:val="26"/>
          <w:szCs w:val="26"/>
          <w14:ligatures w14:val="standardContextual"/>
        </w:rPr>
        <w:t>multi-dimensional</w:t>
      </w:r>
      <w:r>
        <w:rPr>
          <w:rFonts w:ascii="Times New Roman" w:hAnsi="Times New Roman" w:cs="Times New Roman"/>
          <w:sz w:val="26"/>
          <w:szCs w:val="26"/>
          <w:lang w:val="en-IN"/>
        </w:rPr>
        <w:t xml:space="preserve"> conceptualization of brand avoidance and establish the empirical structure required to validate its antecedents and behavioral consequences.</w:t>
      </w:r>
    </w:p>
    <w:p w14:paraId="4CFC24CC" w14:textId="77777777" w:rsidR="004F5D9D" w:rsidRPr="005F1B2C" w:rsidRDefault="004F5D9D">
      <w:pPr>
        <w:spacing w:after="0" w:line="360" w:lineRule="exact"/>
        <w:ind w:right="90"/>
        <w:jc w:val="both"/>
        <w:rPr>
          <w:rFonts w:ascii="Times New Roman" w:hAnsi="Times New Roman" w:cs="Times New Roman"/>
          <w:sz w:val="26"/>
          <w:szCs w:val="26"/>
        </w:rPr>
      </w:pPr>
    </w:p>
    <w:p w14:paraId="001C7F0E" w14:textId="77777777" w:rsidR="004F5D9D" w:rsidRPr="005F1B2C" w:rsidRDefault="00534E43">
      <w:pPr>
        <w:autoSpaceDE w:val="0"/>
        <w:autoSpaceDN w:val="0"/>
        <w:adjustRightInd w:val="0"/>
        <w:spacing w:after="0" w:line="360" w:lineRule="exact"/>
        <w:jc w:val="center"/>
        <w:rPr>
          <w:rFonts w:ascii="Times New Roman" w:hAnsi="Times New Roman" w:cs="Times New Roman"/>
          <w:b/>
          <w:bCs/>
          <w:sz w:val="26"/>
          <w:szCs w:val="26"/>
        </w:rPr>
      </w:pPr>
      <w:bookmarkStart w:id="4" w:name="_Hlk131429962"/>
      <w:r>
        <w:rPr>
          <w:rFonts w:ascii="Times New Roman" w:hAnsi="Times New Roman" w:cs="Times New Roman"/>
          <w:b/>
          <w:bCs/>
          <w:sz w:val="26"/>
          <w:szCs w:val="26"/>
        </w:rPr>
        <w:t xml:space="preserve">RESEARCH METHODOLOGY </w:t>
      </w:r>
    </w:p>
    <w:p w14:paraId="6042EBF7" w14:textId="77777777" w:rsidR="004F5D9D" w:rsidRPr="005F1B2C" w:rsidRDefault="00534E43" w:rsidP="005F1B2C">
      <w:pPr>
        <w:widowControl w:val="0"/>
        <w:autoSpaceDE w:val="0"/>
        <w:autoSpaceDN w:val="0"/>
        <w:adjustRightInd w:val="0"/>
        <w:snapToGrid w:val="0"/>
        <w:spacing w:after="0" w:line="300" w:lineRule="auto"/>
        <w:jc w:val="both"/>
        <w:rPr>
          <w:rFonts w:ascii="Times New Roman" w:hAnsi="Times New Roman" w:cs="Times New Roman"/>
          <w:b/>
          <w:sz w:val="26"/>
          <w:szCs w:val="26"/>
        </w:rPr>
      </w:pPr>
      <w:r>
        <w:rPr>
          <w:rFonts w:ascii="Times New Roman" w:hAnsi="Times New Roman" w:cs="Times New Roman"/>
          <w:b/>
          <w:sz w:val="26"/>
          <w:szCs w:val="26"/>
        </w:rPr>
        <w:t xml:space="preserve">Item </w:t>
      </w:r>
      <w:r w:rsidR="000C5032">
        <w:rPr>
          <w:rFonts w:ascii="Times New Roman" w:hAnsi="Times New Roman" w:cs="Times New Roman"/>
          <w:b/>
          <w:sz w:val="26"/>
          <w:szCs w:val="26"/>
        </w:rPr>
        <w:t>G</w:t>
      </w:r>
      <w:r>
        <w:rPr>
          <w:rFonts w:ascii="Times New Roman" w:hAnsi="Times New Roman" w:cs="Times New Roman"/>
          <w:b/>
          <w:sz w:val="26"/>
          <w:szCs w:val="26"/>
        </w:rPr>
        <w:t xml:space="preserve">eneration and </w:t>
      </w:r>
      <w:r w:rsidR="000C5032">
        <w:rPr>
          <w:rFonts w:ascii="Times New Roman" w:hAnsi="Times New Roman" w:cs="Times New Roman"/>
          <w:b/>
          <w:sz w:val="26"/>
          <w:szCs w:val="26"/>
        </w:rPr>
        <w:t>Q</w:t>
      </w:r>
      <w:r>
        <w:rPr>
          <w:rFonts w:ascii="Times New Roman" w:hAnsi="Times New Roman" w:cs="Times New Roman"/>
          <w:b/>
          <w:sz w:val="26"/>
          <w:szCs w:val="26"/>
        </w:rPr>
        <w:t xml:space="preserve">uestionnaire </w:t>
      </w:r>
      <w:r w:rsidR="000C5032">
        <w:rPr>
          <w:rFonts w:ascii="Times New Roman" w:hAnsi="Times New Roman" w:cs="Times New Roman"/>
          <w:b/>
          <w:sz w:val="26"/>
          <w:szCs w:val="26"/>
        </w:rPr>
        <w:t>A</w:t>
      </w:r>
      <w:r>
        <w:rPr>
          <w:rFonts w:ascii="Times New Roman" w:hAnsi="Times New Roman" w:cs="Times New Roman"/>
          <w:b/>
          <w:sz w:val="26"/>
          <w:szCs w:val="26"/>
        </w:rPr>
        <w:t>dministration</w:t>
      </w:r>
    </w:p>
    <w:p w14:paraId="02633F33" w14:textId="77777777" w:rsidR="004F5D9D" w:rsidRPr="005F1B2C" w:rsidRDefault="00534E43" w:rsidP="00687217">
      <w:pPr>
        <w:autoSpaceDE w:val="0"/>
        <w:autoSpaceDN w:val="0"/>
        <w:adjustRightInd w:val="0"/>
        <w:spacing w:after="0" w:line="300" w:lineRule="auto"/>
        <w:ind w:firstLineChars="200" w:firstLine="520"/>
        <w:jc w:val="both"/>
        <w:rPr>
          <w:rFonts w:ascii="Times New Roman" w:hAnsi="Times New Roman" w:cs="Times New Roman"/>
          <w:bCs/>
          <w:sz w:val="26"/>
          <w:szCs w:val="26"/>
        </w:rPr>
      </w:pPr>
      <w:r>
        <w:rPr>
          <w:rFonts w:ascii="Times New Roman" w:hAnsi="Times New Roman" w:cs="Times New Roman"/>
          <w:bCs/>
          <w:sz w:val="26"/>
          <w:szCs w:val="26"/>
        </w:rPr>
        <w:t>The overall procedure for developing the brand avoidance scale was guided by Churchill's (1979) paradigm for construct measurement, which emphasizes domain specification, systematic item generation, expert judgment, and empirical purification.</w:t>
      </w:r>
    </w:p>
    <w:p w14:paraId="347C2892" w14:textId="77777777" w:rsidR="004F5D9D" w:rsidRPr="005F1B2C" w:rsidRDefault="00534E43" w:rsidP="00687217">
      <w:pPr>
        <w:autoSpaceDE w:val="0"/>
        <w:autoSpaceDN w:val="0"/>
        <w:adjustRightInd w:val="0"/>
        <w:spacing w:after="0" w:line="300" w:lineRule="auto"/>
        <w:ind w:firstLineChars="200" w:firstLine="520"/>
        <w:jc w:val="both"/>
        <w:rPr>
          <w:rFonts w:ascii="Times New Roman" w:hAnsi="Times New Roman" w:cs="Times New Roman"/>
          <w:bCs/>
          <w:sz w:val="26"/>
          <w:szCs w:val="26"/>
          <w:lang w:val="en-GB"/>
        </w:rPr>
      </w:pPr>
      <w:r>
        <w:rPr>
          <w:rFonts w:ascii="Times New Roman" w:hAnsi="Times New Roman" w:cs="Times New Roman"/>
          <w:bCs/>
          <w:sz w:val="26"/>
          <w:szCs w:val="26"/>
          <w:lang w:val="en-GB"/>
        </w:rPr>
        <w:t xml:space="preserve">Twenty-three respondents (12 males and 11 females, with an average age of 24 years) from India and Nepal were selected following a brief, informal interaction in which they were asked whether they had ever avoided any brand and whether they were willing to participate in an exploratory interview. Respondents explained the context and meaning of brand avoidance. Before the interviews </w:t>
      </w:r>
      <w:r>
        <w:rPr>
          <w:rFonts w:ascii="Times New Roman" w:hAnsi="Times New Roman" w:cs="Times New Roman"/>
          <w:kern w:val="2"/>
          <w:sz w:val="26"/>
          <w:szCs w:val="26"/>
          <w14:ligatures w14:val="standardContextual"/>
        </w:rPr>
        <w:t>began</w:t>
      </w:r>
      <w:r>
        <w:rPr>
          <w:rFonts w:ascii="Times New Roman" w:hAnsi="Times New Roman" w:cs="Times New Roman"/>
          <w:bCs/>
          <w:sz w:val="26"/>
          <w:szCs w:val="26"/>
          <w:lang w:val="en-GB"/>
        </w:rPr>
        <w:t>, respondents were asked to name the brands they currently avoid or have avoided in the past. These participants were purposively screened to ensure prior experience with brand avoidance, and the interviews followed a semi-structured format to capture detailed accounts of their avoidance episodes.</w:t>
      </w:r>
    </w:p>
    <w:p w14:paraId="1A2D46DB" w14:textId="77777777" w:rsidR="004F5D9D" w:rsidRPr="005F1B2C" w:rsidRDefault="00534E43" w:rsidP="00687217">
      <w:pPr>
        <w:autoSpaceDE w:val="0"/>
        <w:autoSpaceDN w:val="0"/>
        <w:adjustRightInd w:val="0"/>
        <w:spacing w:after="0" w:line="300" w:lineRule="auto"/>
        <w:ind w:firstLineChars="200" w:firstLine="520"/>
        <w:jc w:val="both"/>
        <w:rPr>
          <w:rFonts w:ascii="Times New Roman" w:hAnsi="Times New Roman" w:cs="Times New Roman"/>
          <w:bCs/>
          <w:sz w:val="26"/>
          <w:szCs w:val="26"/>
          <w:lang w:val="en-GB"/>
        </w:rPr>
      </w:pPr>
      <w:r>
        <w:rPr>
          <w:rFonts w:ascii="Times New Roman" w:hAnsi="Times New Roman" w:cs="Times New Roman"/>
          <w:bCs/>
          <w:sz w:val="26"/>
          <w:szCs w:val="26"/>
          <w:lang w:val="en-GB"/>
        </w:rPr>
        <w:t xml:space="preserve">Later, respondents were asked to describe the predicament that led to brand avoidance in the first place. The respondents repeatedly intervened to address the triggers of the brand-avoidance response. Apple, Samsung, Coke, Facebook, and McDonald's were the brands most frequently avoided. Although respondents mentioned diverse product categories during the exploratory phase, these examples were used only to understand the broader phenomenon of brand avoidance. The quantitative phase of the study specifically focused on smartphone brands, and only smartphone-related items were included in the scale testing. Multiple </w:t>
      </w:r>
      <w:r w:rsidR="003C4C6C">
        <w:rPr>
          <w:rFonts w:ascii="Times New Roman" w:hAnsi="Times New Roman" w:cs="Times New Roman"/>
          <w:bCs/>
          <w:sz w:val="26"/>
          <w:szCs w:val="26"/>
          <w:lang w:val="en-GB"/>
        </w:rPr>
        <w:t xml:space="preserve">drivers and reasons </w:t>
      </w:r>
      <w:r>
        <w:rPr>
          <w:rFonts w:ascii="Times New Roman" w:hAnsi="Times New Roman" w:cs="Times New Roman"/>
          <w:bCs/>
          <w:sz w:val="26"/>
          <w:szCs w:val="26"/>
          <w:lang w:val="en-GB"/>
        </w:rPr>
        <w:t>for negative consumer-brand relationships that lead to brand avoidance were identified and correspond to the antecedents of brand avoidance unearthed in the literature review. Respondents avoided brands when their functional needs were unmet, expectations were unfulfilled, physical attributes and functions were inadequate, the experience was poor, the country of origin was undesirable, the brand was associated with an undesirable group, or the brand image was inconsistent with an individual's values, morals, or personality traits. Respondents also exhibited strong negative emotions toward a brand when it conflicted with their values or self-concept. In some instances, a transition from earlier congenial consumer brand relations to negative ones, leading to avoidance, was also observed. In conjunction with a literature review, the processes yielded 68 items.</w:t>
      </w:r>
      <w:r>
        <w:t xml:space="preserve"> </w:t>
      </w:r>
      <w:r>
        <w:rPr>
          <w:rFonts w:ascii="Times New Roman" w:hAnsi="Times New Roman" w:cs="Times New Roman"/>
          <w:bCs/>
          <w:sz w:val="26"/>
          <w:szCs w:val="26"/>
          <w:lang w:val="en-GB"/>
        </w:rPr>
        <w:t>This approach ensured that the emerging item pool combined themes directly expressed by participants with theoretically grounded indicators from prior research on negative consumer–brand relationships.</w:t>
      </w:r>
    </w:p>
    <w:p w14:paraId="5603F38F" w14:textId="77777777" w:rsidR="004F5D9D" w:rsidRPr="005F1B2C" w:rsidRDefault="00534E43" w:rsidP="0050632A">
      <w:pPr>
        <w:autoSpaceDE w:val="0"/>
        <w:autoSpaceDN w:val="0"/>
        <w:adjustRightInd w:val="0"/>
        <w:spacing w:after="0" w:line="300" w:lineRule="auto"/>
        <w:ind w:firstLineChars="200" w:firstLine="520"/>
        <w:jc w:val="both"/>
        <w:rPr>
          <w:rFonts w:ascii="Times New Roman" w:hAnsi="Times New Roman" w:cs="Times New Roman"/>
          <w:bCs/>
          <w:sz w:val="26"/>
          <w:szCs w:val="26"/>
          <w:lang w:val="en-GB"/>
        </w:rPr>
      </w:pPr>
      <w:r>
        <w:rPr>
          <w:rFonts w:ascii="Times New Roman" w:hAnsi="Times New Roman" w:cs="Times New Roman"/>
          <w:bCs/>
          <w:sz w:val="26"/>
          <w:szCs w:val="26"/>
          <w:lang w:val="en-GB"/>
        </w:rPr>
        <w:t xml:space="preserve">A questionnaire containing 68 items (five-point Likert scale) was presented to 12 experts for content validation. Before the review, the experts were provided with basic definitions of pertinent concepts involved in the study. Eight academicians with extensive experience in teaching and research in marketing and branding, and four industry experts from various managerial levels who specialize in core marketing and branding domains, were selected for content validation (Bearden &amp; Netemeyer, 1999). However, the concept of brand avoidance has yet to be well </w:t>
      </w:r>
      <w:r>
        <w:rPr>
          <w:rFonts w:ascii="Times New Roman" w:hAnsi="Times New Roman" w:cs="Times New Roman"/>
          <w:kern w:val="2"/>
          <w:sz w:val="26"/>
          <w:szCs w:val="26"/>
          <w14:ligatures w14:val="standardContextual"/>
        </w:rPr>
        <w:t>discussed</w:t>
      </w:r>
      <w:r>
        <w:rPr>
          <w:rFonts w:ascii="Times New Roman" w:hAnsi="Times New Roman" w:cs="Times New Roman"/>
          <w:bCs/>
          <w:sz w:val="26"/>
          <w:szCs w:val="26"/>
          <w:lang w:val="en-GB"/>
        </w:rPr>
        <w:t xml:space="preserve"> in academia and industry, and it was expected that experts could help evaluate the relevance and wording of items to be incorporated into a later questionnaire (Foroudi et al., 2014). This exercise resulted in the deletion of 17 items. However, according to the experts' suggestions, some items were modified to make them easier to understand. According to eight experts, a questionnaire should be specific to a particular brand or, at the very least, to a product category. As found in the interviews and literature review, respondents avoided smartphone brands, and the questionnaire was designed specifically for the smartphone product category.</w:t>
      </w:r>
    </w:p>
    <w:p w14:paraId="70A39109" w14:textId="0C340916" w:rsidR="004F5D9D" w:rsidRPr="005F1B2C" w:rsidRDefault="00534E43" w:rsidP="0050632A">
      <w:pPr>
        <w:autoSpaceDE w:val="0"/>
        <w:autoSpaceDN w:val="0"/>
        <w:adjustRightInd w:val="0"/>
        <w:spacing w:after="0" w:line="300" w:lineRule="auto"/>
        <w:ind w:firstLineChars="200" w:firstLine="520"/>
        <w:jc w:val="both"/>
        <w:rPr>
          <w:rFonts w:ascii="Times New Roman" w:hAnsi="Times New Roman" w:cs="Times New Roman"/>
          <w:sz w:val="26"/>
          <w:szCs w:val="26"/>
        </w:rPr>
      </w:pPr>
      <w:r>
        <w:rPr>
          <w:rFonts w:ascii="Times New Roman" w:hAnsi="Times New Roman" w:cs="Times New Roman"/>
          <w:bCs/>
          <w:sz w:val="26"/>
          <w:szCs w:val="26"/>
          <w:lang w:val="en-GB"/>
        </w:rPr>
        <w:t xml:space="preserve">The questionnaire was electronically circulated to 500 respondents from two private universities in India and </w:t>
      </w:r>
      <w:r>
        <w:rPr>
          <w:rFonts w:ascii="Times New Roman" w:hAnsi="Times New Roman" w:cs="Times New Roman"/>
          <w:kern w:val="2"/>
          <w:sz w:val="26"/>
          <w:szCs w:val="26"/>
          <w14:ligatures w14:val="standardContextual"/>
        </w:rPr>
        <w:t>Nepal</w:t>
      </w:r>
      <w:r>
        <w:rPr>
          <w:rFonts w:ascii="Times New Roman" w:hAnsi="Times New Roman" w:cs="Times New Roman"/>
          <w:bCs/>
          <w:sz w:val="26"/>
          <w:szCs w:val="26"/>
          <w:lang w:val="en-GB"/>
        </w:rPr>
        <w:t>. A purposive sampling approach was employed to target active smartphone users in Generation Y, and the survey was administered online, with voluntary, anonymous participation. Generation Y, commonly called 'Millennials,' was selected as the respondent group. Selecting Generation 'Y' was considered meaningful for this study, as Generation 'Y' represents a sizeable global market segment (Bakewell &amp; Mitchell, 2003; Aquino, 2012; Lazarevic, 2012; Parment, 2012), making it a representative of the consuming class. Selecting Generation Y was deemed appropriate due to its ease of approachability. Generation Y (also known as Millennials) prefers to provide feedback directly to brands through various channels (e.g., social media), thereby co-creating brand experiences.</w:t>
      </w:r>
    </w:p>
    <w:p w14:paraId="4DFFE92D" w14:textId="4A91317D" w:rsidR="004F5D9D" w:rsidRPr="005F1B2C" w:rsidRDefault="00534E43" w:rsidP="0050632A">
      <w:pPr>
        <w:autoSpaceDE w:val="0"/>
        <w:autoSpaceDN w:val="0"/>
        <w:adjustRightInd w:val="0"/>
        <w:spacing w:after="0" w:line="300" w:lineRule="auto"/>
        <w:ind w:firstLineChars="200" w:firstLine="520"/>
        <w:jc w:val="both"/>
        <w:rPr>
          <w:rFonts w:ascii="Times New Roman" w:hAnsi="Times New Roman" w:cs="Times New Roman"/>
          <w:sz w:val="26"/>
          <w:szCs w:val="26"/>
        </w:rPr>
      </w:pPr>
      <w:r>
        <w:rPr>
          <w:rFonts w:ascii="Times New Roman" w:hAnsi="Times New Roman" w:cs="Times New Roman"/>
          <w:bCs/>
          <w:sz w:val="26"/>
          <w:szCs w:val="26"/>
          <w:lang w:val="en-GB"/>
        </w:rPr>
        <w:t xml:space="preserve">Furthermore, Generation Y has grown up in a brand-saturated era, so they have a deep understanding of brands (Lazarevic, 2012). 84 questionnaires still needed to be completed, and 72 were found to require completion. Thus, the sample comprised 356 respondents (162 </w:t>
      </w:r>
      <w:r>
        <w:rPr>
          <w:rFonts w:ascii="Times New Roman" w:hAnsi="Times New Roman" w:cs="Times New Roman"/>
          <w:kern w:val="2"/>
          <w:sz w:val="26"/>
          <w:szCs w:val="26"/>
          <w14:ligatures w14:val="standardContextual"/>
        </w:rPr>
        <w:t>males</w:t>
      </w:r>
      <w:r>
        <w:rPr>
          <w:rFonts w:ascii="Times New Roman" w:hAnsi="Times New Roman" w:cs="Times New Roman"/>
          <w:bCs/>
          <w:sz w:val="26"/>
          <w:szCs w:val="26"/>
          <w:lang w:val="en-GB"/>
        </w:rPr>
        <w:t xml:space="preserve"> and 194 females; average age, 27 years). The process was completed </w:t>
      </w:r>
      <w:r w:rsidR="00233498">
        <w:rPr>
          <w:rFonts w:ascii="Times New Roman" w:hAnsi="Times New Roman" w:cs="Times New Roman"/>
          <w:bCs/>
          <w:sz w:val="26"/>
          <w:szCs w:val="26"/>
          <w:lang w:val="en-GB"/>
        </w:rPr>
        <w:t>over</w:t>
      </w:r>
      <w:r w:rsidR="00CF52CC">
        <w:rPr>
          <w:rFonts w:ascii="Times New Roman" w:hAnsi="Times New Roman" w:cs="Times New Roman"/>
          <w:bCs/>
          <w:sz w:val="26"/>
          <w:szCs w:val="26"/>
          <w:lang w:val="en-GB"/>
        </w:rPr>
        <w:t xml:space="preserve"> </w:t>
      </w:r>
      <w:r>
        <w:rPr>
          <w:rFonts w:ascii="Times New Roman" w:hAnsi="Times New Roman" w:cs="Times New Roman"/>
          <w:bCs/>
          <w:sz w:val="26"/>
          <w:szCs w:val="26"/>
          <w:lang w:val="en-GB"/>
        </w:rPr>
        <w:t xml:space="preserve">approximately six months </w:t>
      </w:r>
      <w:r w:rsidR="003239FC">
        <w:rPr>
          <w:rFonts w:ascii="Times New Roman" w:hAnsi="Times New Roman" w:cs="Times New Roman"/>
          <w:bCs/>
          <w:sz w:val="26"/>
          <w:szCs w:val="26"/>
          <w:lang w:val="en-GB"/>
        </w:rPr>
        <w:t xml:space="preserve">from </w:t>
      </w:r>
      <w:r>
        <w:rPr>
          <w:rFonts w:ascii="Times New Roman" w:hAnsi="Times New Roman" w:cs="Times New Roman"/>
          <w:sz w:val="26"/>
          <w:szCs w:val="26"/>
        </w:rPr>
        <w:t xml:space="preserve">January </w:t>
      </w:r>
      <w:r w:rsidR="003239FC">
        <w:rPr>
          <w:rFonts w:ascii="Times New Roman" w:hAnsi="Times New Roman" w:cs="Times New Roman"/>
          <w:sz w:val="26"/>
          <w:szCs w:val="26"/>
        </w:rPr>
        <w:t xml:space="preserve">to </w:t>
      </w:r>
      <w:r>
        <w:rPr>
          <w:rFonts w:ascii="Times New Roman" w:hAnsi="Times New Roman" w:cs="Times New Roman"/>
          <w:sz w:val="26"/>
          <w:szCs w:val="26"/>
        </w:rPr>
        <w:t>June 2020.</w:t>
      </w:r>
    </w:p>
    <w:p w14:paraId="6DA13431" w14:textId="77777777" w:rsidR="004F5D9D" w:rsidRPr="005F1B2C" w:rsidRDefault="00534E43" w:rsidP="0050632A">
      <w:pPr>
        <w:autoSpaceDE w:val="0"/>
        <w:autoSpaceDN w:val="0"/>
        <w:adjustRightInd w:val="0"/>
        <w:spacing w:after="0" w:line="300" w:lineRule="auto"/>
        <w:ind w:firstLineChars="200" w:firstLine="520"/>
        <w:jc w:val="both"/>
        <w:rPr>
          <w:rFonts w:ascii="Times New Roman" w:hAnsi="Times New Roman" w:cs="Times New Roman"/>
          <w:bCs/>
          <w:sz w:val="26"/>
          <w:szCs w:val="26"/>
          <w:lang w:val="en-GB"/>
        </w:rPr>
      </w:pPr>
      <w:r>
        <w:rPr>
          <w:rFonts w:ascii="Times New Roman" w:hAnsi="Times New Roman" w:cs="Times New Roman"/>
          <w:bCs/>
          <w:sz w:val="26"/>
          <w:szCs w:val="26"/>
          <w:lang w:val="en-GB"/>
        </w:rPr>
        <w:t>The final sample consisted of 356 millennials (Generation Y), including 162 males and 194 females, with an average age of 27 years. All respondents were from two private universities in India and Nepal. This demographic profile aligns with the study's rationale for selecting Generation Y as a relevant and accessible consumer segment for examining brand avoidance behaviors.</w:t>
      </w:r>
    </w:p>
    <w:p w14:paraId="5C5C3BA1" w14:textId="77777777" w:rsidR="004F5D9D" w:rsidRPr="005F1B2C" w:rsidRDefault="004F5D9D">
      <w:pPr>
        <w:widowControl w:val="0"/>
        <w:autoSpaceDE w:val="0"/>
        <w:autoSpaceDN w:val="0"/>
        <w:adjustRightInd w:val="0"/>
        <w:spacing w:after="0" w:line="360" w:lineRule="exact"/>
        <w:ind w:firstLine="360"/>
        <w:jc w:val="both"/>
        <w:rPr>
          <w:rFonts w:ascii="Times New Roman" w:hAnsi="Times New Roman" w:cs="Times New Roman"/>
          <w:bCs/>
          <w:sz w:val="26"/>
          <w:szCs w:val="26"/>
          <w:lang w:val="en-GB"/>
        </w:rPr>
      </w:pPr>
    </w:p>
    <w:p w14:paraId="596864D5" w14:textId="77777777" w:rsidR="004F5D9D" w:rsidRPr="005F1B2C" w:rsidRDefault="00534E43" w:rsidP="005F1B2C">
      <w:pPr>
        <w:widowControl w:val="0"/>
        <w:autoSpaceDE w:val="0"/>
        <w:autoSpaceDN w:val="0"/>
        <w:adjustRightInd w:val="0"/>
        <w:snapToGrid w:val="0"/>
        <w:spacing w:after="0" w:line="300" w:lineRule="auto"/>
        <w:jc w:val="both"/>
        <w:rPr>
          <w:rFonts w:ascii="Times New Roman" w:hAnsi="Times New Roman" w:cs="Times New Roman"/>
          <w:b/>
          <w:bCs/>
          <w:sz w:val="26"/>
          <w:szCs w:val="26"/>
          <w:lang w:val="en-IN"/>
        </w:rPr>
      </w:pPr>
      <w:r>
        <w:rPr>
          <w:rFonts w:ascii="Times New Roman" w:hAnsi="Times New Roman" w:cs="Times New Roman"/>
          <w:b/>
          <w:bCs/>
          <w:sz w:val="26"/>
          <w:szCs w:val="26"/>
          <w:lang w:val="en-IN"/>
        </w:rPr>
        <w:t xml:space="preserve">Construct </w:t>
      </w:r>
      <w:r w:rsidR="000C5032">
        <w:rPr>
          <w:rFonts w:ascii="Times New Roman" w:hAnsi="Times New Roman" w:cs="Times New Roman"/>
          <w:b/>
          <w:bCs/>
          <w:sz w:val="26"/>
          <w:szCs w:val="26"/>
          <w:lang w:val="en-IN"/>
        </w:rPr>
        <w:t>M</w:t>
      </w:r>
      <w:r>
        <w:rPr>
          <w:rFonts w:ascii="Times New Roman" w:hAnsi="Times New Roman" w:cs="Times New Roman"/>
          <w:b/>
          <w:bCs/>
          <w:sz w:val="26"/>
          <w:szCs w:val="26"/>
          <w:lang w:val="en-IN"/>
        </w:rPr>
        <w:t>easurement</w:t>
      </w:r>
    </w:p>
    <w:p w14:paraId="14F114F3" w14:textId="77777777" w:rsidR="004F5D9D" w:rsidRPr="005F1B2C" w:rsidRDefault="00534E43" w:rsidP="0050632A">
      <w:pPr>
        <w:autoSpaceDE w:val="0"/>
        <w:autoSpaceDN w:val="0"/>
        <w:adjustRightInd w:val="0"/>
        <w:spacing w:after="0" w:line="300" w:lineRule="auto"/>
        <w:ind w:firstLineChars="200" w:firstLine="520"/>
        <w:jc w:val="both"/>
        <w:rPr>
          <w:rFonts w:ascii="Times New Roman" w:hAnsi="Times New Roman" w:cs="Times New Roman"/>
          <w:bCs/>
          <w:sz w:val="26"/>
          <w:szCs w:val="26"/>
          <w:lang w:val="en-IN"/>
        </w:rPr>
      </w:pPr>
      <w:r>
        <w:rPr>
          <w:rFonts w:ascii="Times New Roman" w:hAnsi="Times New Roman" w:cs="Times New Roman"/>
          <w:bCs/>
          <w:sz w:val="26"/>
          <w:szCs w:val="26"/>
          <w:lang w:val="en-IN"/>
        </w:rPr>
        <w:t>Construct measurement is one of the most critical research challenges. As a result, determining whether a construct is reflective or formative is critical. According to MacKenzie et al. (2005), the findings in the literature may be misleading if the nature of the construct requires clarification. Incorrectly characterizing constructs as formative or reflective can lead to Type I and Type II errors when concluding about the structural model (Jarvis et al., 2003).</w:t>
      </w:r>
    </w:p>
    <w:p w14:paraId="7FBD7262" w14:textId="77777777" w:rsidR="004F5D9D" w:rsidRPr="005F1B2C" w:rsidRDefault="00534E43" w:rsidP="0050632A">
      <w:pPr>
        <w:autoSpaceDE w:val="0"/>
        <w:autoSpaceDN w:val="0"/>
        <w:adjustRightInd w:val="0"/>
        <w:spacing w:after="0" w:line="300" w:lineRule="auto"/>
        <w:ind w:firstLineChars="200" w:firstLine="520"/>
        <w:jc w:val="both"/>
        <w:rPr>
          <w:rFonts w:ascii="Times New Roman" w:hAnsi="Times New Roman" w:cs="Times New Roman"/>
          <w:bCs/>
          <w:sz w:val="26"/>
          <w:szCs w:val="26"/>
          <w:lang w:val="en-IN"/>
        </w:rPr>
      </w:pPr>
      <w:r>
        <w:rPr>
          <w:rFonts w:ascii="Times New Roman" w:hAnsi="Times New Roman" w:cs="Times New Roman"/>
          <w:bCs/>
          <w:sz w:val="26"/>
          <w:szCs w:val="26"/>
          <w:lang w:val="en-IN"/>
        </w:rPr>
        <w:t xml:space="preserve">DeVellis (1991) states that </w:t>
      </w:r>
      <w:r>
        <w:rPr>
          <w:rFonts w:ascii="Times New Roman" w:hAnsi="Times New Roman" w:cs="Times New Roman"/>
          <w:kern w:val="2"/>
          <w:sz w:val="26"/>
          <w:szCs w:val="26"/>
          <w14:ligatures w14:val="standardContextual"/>
        </w:rPr>
        <w:t>formative</w:t>
      </w:r>
      <w:r>
        <w:rPr>
          <w:rFonts w:ascii="Times New Roman" w:hAnsi="Times New Roman" w:cs="Times New Roman"/>
          <w:bCs/>
          <w:sz w:val="26"/>
          <w:szCs w:val="26"/>
          <w:lang w:val="en-IN"/>
        </w:rPr>
        <w:t xml:space="preserve"> and reflective constructs vary in conceptual orientations. According to classical test theory, a reflective indicator is often used in unidimensional procedures. As a result, questionnaire items indicate the measured concept; they are "caused by" the concept, and their interpretations converge, implying that concepts should have correlation and reliability (Baxter, 2009). On the other hand, formative scales are appropriate when the indicators are independent "causes" of the construct of interest and lack internal consistency. Furthermore, all items were required to accurately characterize the measured construct (Jarvis et al., 2003). The norms established by Jarvis et al. (2003) in deciding whether a researcher should adopt reflective or formative procedures support this study's formative arguments. Unlike reflective constructs, formative constructs focus on the concept under observation rather than its expression.</w:t>
      </w:r>
    </w:p>
    <w:p w14:paraId="21DA1E14" w14:textId="77777777" w:rsidR="004F5D9D" w:rsidRPr="005F1B2C" w:rsidRDefault="00534E43" w:rsidP="0050632A">
      <w:pPr>
        <w:autoSpaceDE w:val="0"/>
        <w:autoSpaceDN w:val="0"/>
        <w:adjustRightInd w:val="0"/>
        <w:spacing w:after="0" w:line="300" w:lineRule="auto"/>
        <w:ind w:firstLineChars="200" w:firstLine="520"/>
        <w:jc w:val="both"/>
        <w:rPr>
          <w:rFonts w:ascii="Times New Roman" w:hAnsi="Times New Roman" w:cs="Times New Roman"/>
          <w:bCs/>
          <w:sz w:val="26"/>
          <w:szCs w:val="26"/>
          <w:lang w:val="en-IN"/>
        </w:rPr>
      </w:pPr>
      <w:r>
        <w:rPr>
          <w:rFonts w:ascii="Times New Roman" w:hAnsi="Times New Roman" w:cs="Times New Roman"/>
          <w:bCs/>
          <w:sz w:val="26"/>
          <w:szCs w:val="26"/>
          <w:lang w:val="en-IN"/>
        </w:rPr>
        <w:t xml:space="preserve">Furthermore, unlike reflective measures, formative measurements should be noninterchangeable. Formative measurements are not always co-variant with the construct; however, co-variation is a reflective trait. For formative measurements, each measure captures a distinct feature of the construct, whereas reflective measures illustrate a similar primary construct and can thus be interchanged. The brand avoidance dimensions proposed in this study meet the practical guidelines for formative indicators. Furthermore, all measurement items constituting the construct's dimensions met the formative indicator criteria. </w:t>
      </w:r>
    </w:p>
    <w:p w14:paraId="47C09E23" w14:textId="77777777" w:rsidR="004F5D9D" w:rsidRPr="005F1B2C" w:rsidRDefault="00534E43" w:rsidP="0050632A">
      <w:pPr>
        <w:autoSpaceDE w:val="0"/>
        <w:autoSpaceDN w:val="0"/>
        <w:adjustRightInd w:val="0"/>
        <w:spacing w:after="0" w:line="300" w:lineRule="auto"/>
        <w:ind w:firstLineChars="200" w:firstLine="520"/>
        <w:jc w:val="both"/>
        <w:rPr>
          <w:rFonts w:ascii="Times New Roman" w:hAnsi="Times New Roman" w:cs="Times New Roman"/>
          <w:bCs/>
          <w:sz w:val="26"/>
          <w:szCs w:val="26"/>
          <w:lang w:val="en-IN"/>
        </w:rPr>
      </w:pPr>
      <w:r>
        <w:rPr>
          <w:rFonts w:ascii="Times New Roman" w:hAnsi="Times New Roman" w:cs="Times New Roman"/>
          <w:bCs/>
          <w:sz w:val="26"/>
          <w:szCs w:val="26"/>
          <w:lang w:val="en-IN"/>
        </w:rPr>
        <w:t xml:space="preserve">Consequently, brand avoidance is envisaged as a formative second-order construct (Jarvis et al., 2003). Since formative measures capture distinct aspects of the construct and do not involve any covariation, partial least squares structural equation modeling (PLS-SEM) was employed to analyze the data. </w:t>
      </w:r>
      <w:r>
        <w:rPr>
          <w:rFonts w:ascii="Times New Roman" w:hAnsi="Times New Roman" w:cs="Times New Roman"/>
          <w:kern w:val="2"/>
          <w:sz w:val="26"/>
          <w:szCs w:val="26"/>
          <w14:ligatures w14:val="standardContextual"/>
        </w:rPr>
        <w:t>Furthermore</w:t>
      </w:r>
      <w:r>
        <w:rPr>
          <w:rFonts w:ascii="Times New Roman" w:hAnsi="Times New Roman" w:cs="Times New Roman"/>
          <w:bCs/>
          <w:sz w:val="26"/>
          <w:szCs w:val="26"/>
          <w:lang w:val="en-IN"/>
        </w:rPr>
        <w:t xml:space="preserve">, as noted by Jöreskog and Wold (1982), PLS-SEM excels at handling complex prediction-based models with formative measures. Moreover, PLS-SEM is better than covariance-based SEM because it predicts, rather than explaining, the variation in the dependent variable. Therefore, it is more suitable for predictive models in cases of theory development (Gimbert et al., 2010). </w:t>
      </w:r>
    </w:p>
    <w:p w14:paraId="437F7962" w14:textId="77777777" w:rsidR="004F5D9D" w:rsidRPr="005F1B2C" w:rsidRDefault="00534E43" w:rsidP="0050632A">
      <w:pPr>
        <w:autoSpaceDE w:val="0"/>
        <w:autoSpaceDN w:val="0"/>
        <w:adjustRightInd w:val="0"/>
        <w:spacing w:after="0" w:line="300" w:lineRule="auto"/>
        <w:ind w:firstLineChars="200" w:firstLine="520"/>
        <w:jc w:val="both"/>
        <w:rPr>
          <w:rFonts w:ascii="Times New Roman" w:hAnsi="Times New Roman" w:cs="Times New Roman"/>
          <w:bCs/>
          <w:sz w:val="26"/>
          <w:szCs w:val="26"/>
          <w:lang w:val="en-IN"/>
        </w:rPr>
      </w:pPr>
      <w:r>
        <w:rPr>
          <w:rFonts w:ascii="Times New Roman" w:hAnsi="Times New Roman" w:cs="Times New Roman"/>
          <w:bCs/>
          <w:sz w:val="26"/>
          <w:szCs w:val="26"/>
          <w:lang w:val="en-IN"/>
        </w:rPr>
        <w:t>In the model, brand avoidance functions as a higher-order latent construct, while its antecedents are specified as lower-order observable components. The study uses a "hierarchical component model," which reduces collinearity-induced bias and thereby eliminates potential problems related to discriminant validity (Hair et al., 2012). Model specification, outer model evaluation, and inner model evaluation are the three essential phases in this study's multiphase procedure.</w:t>
      </w:r>
    </w:p>
    <w:p w14:paraId="0C60882F" w14:textId="77777777" w:rsidR="004F5D9D" w:rsidRPr="005F1B2C" w:rsidRDefault="004F5D9D">
      <w:pPr>
        <w:widowControl w:val="0"/>
        <w:autoSpaceDE w:val="0"/>
        <w:autoSpaceDN w:val="0"/>
        <w:adjustRightInd w:val="0"/>
        <w:spacing w:after="0" w:line="360" w:lineRule="exact"/>
        <w:jc w:val="both"/>
        <w:rPr>
          <w:rFonts w:ascii="Times New Roman" w:hAnsi="Times New Roman" w:cs="Times New Roman"/>
          <w:bCs/>
          <w:sz w:val="26"/>
          <w:szCs w:val="26"/>
          <w:lang w:val="en-IN"/>
        </w:rPr>
      </w:pPr>
    </w:p>
    <w:p w14:paraId="6E5535E8" w14:textId="77777777" w:rsidR="004F5D9D" w:rsidRPr="005F1B2C" w:rsidRDefault="00534E43" w:rsidP="005F1B2C">
      <w:pPr>
        <w:widowControl w:val="0"/>
        <w:autoSpaceDE w:val="0"/>
        <w:autoSpaceDN w:val="0"/>
        <w:adjustRightInd w:val="0"/>
        <w:snapToGrid w:val="0"/>
        <w:spacing w:after="0" w:line="300" w:lineRule="auto"/>
        <w:jc w:val="both"/>
        <w:rPr>
          <w:rFonts w:ascii="Times New Roman" w:hAnsi="Times New Roman" w:cs="Times New Roman"/>
          <w:b/>
          <w:bCs/>
          <w:sz w:val="26"/>
          <w:szCs w:val="26"/>
          <w:lang w:val="en-IN"/>
        </w:rPr>
      </w:pPr>
      <w:r>
        <w:rPr>
          <w:rFonts w:ascii="Times New Roman" w:hAnsi="Times New Roman" w:cs="Times New Roman"/>
          <w:b/>
          <w:bCs/>
          <w:sz w:val="26"/>
          <w:szCs w:val="26"/>
          <w:lang w:val="en-IN"/>
        </w:rPr>
        <w:t xml:space="preserve">Model </w:t>
      </w:r>
      <w:r w:rsidR="000C5032">
        <w:rPr>
          <w:rFonts w:ascii="Times New Roman" w:hAnsi="Times New Roman" w:cs="Times New Roman"/>
          <w:b/>
          <w:bCs/>
          <w:sz w:val="26"/>
          <w:szCs w:val="26"/>
          <w:lang w:val="en-IN"/>
        </w:rPr>
        <w:t>S</w:t>
      </w:r>
      <w:r>
        <w:rPr>
          <w:rFonts w:ascii="Times New Roman" w:hAnsi="Times New Roman" w:cs="Times New Roman"/>
          <w:b/>
          <w:bCs/>
          <w:sz w:val="26"/>
          <w:szCs w:val="26"/>
          <w:lang w:val="en-IN"/>
        </w:rPr>
        <w:t xml:space="preserve">pecification and </w:t>
      </w:r>
      <w:r w:rsidR="000C5032">
        <w:rPr>
          <w:rFonts w:ascii="Times New Roman" w:hAnsi="Times New Roman" w:cs="Times New Roman"/>
          <w:b/>
          <w:bCs/>
          <w:sz w:val="26"/>
          <w:szCs w:val="26"/>
          <w:lang w:val="en-IN"/>
        </w:rPr>
        <w:t>O</w:t>
      </w:r>
      <w:r>
        <w:rPr>
          <w:rFonts w:ascii="Times New Roman" w:hAnsi="Times New Roman" w:cs="Times New Roman"/>
          <w:b/>
          <w:bCs/>
          <w:sz w:val="26"/>
          <w:szCs w:val="26"/>
          <w:lang w:val="en-IN"/>
        </w:rPr>
        <w:t xml:space="preserve">uter </w:t>
      </w:r>
      <w:r w:rsidR="003C4C6C">
        <w:rPr>
          <w:rFonts w:ascii="Times New Roman" w:hAnsi="Times New Roman" w:cs="Times New Roman"/>
          <w:b/>
          <w:bCs/>
          <w:sz w:val="26"/>
          <w:szCs w:val="26"/>
          <w:lang w:val="en-IN"/>
        </w:rPr>
        <w:t xml:space="preserve">Model </w:t>
      </w:r>
      <w:r w:rsidR="000C5032">
        <w:rPr>
          <w:rFonts w:ascii="Times New Roman" w:hAnsi="Times New Roman" w:cs="Times New Roman"/>
          <w:b/>
          <w:bCs/>
          <w:sz w:val="26"/>
          <w:szCs w:val="26"/>
          <w:lang w:val="en-IN"/>
        </w:rPr>
        <w:t>E</w:t>
      </w:r>
      <w:r>
        <w:rPr>
          <w:rFonts w:ascii="Times New Roman" w:hAnsi="Times New Roman" w:cs="Times New Roman"/>
          <w:b/>
          <w:bCs/>
          <w:sz w:val="26"/>
          <w:szCs w:val="26"/>
          <w:lang w:val="en-IN"/>
        </w:rPr>
        <w:t>valuation</w:t>
      </w:r>
    </w:p>
    <w:p w14:paraId="56020662" w14:textId="77777777" w:rsidR="004F5D9D" w:rsidRPr="005F1B2C" w:rsidRDefault="00534E43" w:rsidP="0050632A">
      <w:pPr>
        <w:autoSpaceDE w:val="0"/>
        <w:autoSpaceDN w:val="0"/>
        <w:adjustRightInd w:val="0"/>
        <w:spacing w:after="0" w:line="300" w:lineRule="auto"/>
        <w:ind w:firstLineChars="200" w:firstLine="520"/>
        <w:jc w:val="both"/>
        <w:rPr>
          <w:rFonts w:ascii="Times New Roman" w:hAnsi="Times New Roman" w:cs="Times New Roman"/>
          <w:bCs/>
          <w:sz w:val="26"/>
          <w:szCs w:val="26"/>
          <w:lang w:val="en-IN"/>
        </w:rPr>
      </w:pPr>
      <w:r>
        <w:rPr>
          <w:rFonts w:ascii="Times New Roman" w:hAnsi="Times New Roman" w:cs="Times New Roman"/>
          <w:bCs/>
          <w:sz w:val="26"/>
          <w:szCs w:val="26"/>
          <w:lang w:val="en-IN"/>
        </w:rPr>
        <w:t xml:space="preserve">There needs to be greater clarity regarding the application of statistical tools to formative constructs, as they are believed to determine a concept (Diamantopoulos et al., 2008). Some researchers also believe that formative constructs do not require statistical validation and that experts' judgment is </w:t>
      </w:r>
      <w:r>
        <w:rPr>
          <w:rFonts w:ascii="Times New Roman" w:hAnsi="Times New Roman" w:cs="Times New Roman"/>
          <w:kern w:val="2"/>
          <w:sz w:val="26"/>
          <w:szCs w:val="26"/>
          <w14:ligatures w14:val="standardContextual"/>
        </w:rPr>
        <w:t>sufficient</w:t>
      </w:r>
      <w:r>
        <w:rPr>
          <w:rFonts w:ascii="Times New Roman" w:hAnsi="Times New Roman" w:cs="Times New Roman"/>
          <w:bCs/>
          <w:sz w:val="26"/>
          <w:szCs w:val="26"/>
          <w:lang w:val="en-IN"/>
        </w:rPr>
        <w:t xml:space="preserve"> to indicate validity (Rossiter, 2002). In contrast, researchers such as Edwards and Bagozzi (2000) do not support this belief and emphasize that formative constructs should be validated. Partial least squares (PLS) path modeling does not include an 'Overall fit' (Ranjan </w:t>
      </w:r>
      <w:r w:rsidR="003239FC">
        <w:rPr>
          <w:rFonts w:ascii="Times New Roman" w:hAnsi="Times New Roman" w:cs="Times New Roman"/>
          <w:bCs/>
          <w:sz w:val="26"/>
          <w:szCs w:val="26"/>
          <w:lang w:val="en-IN"/>
        </w:rPr>
        <w:t xml:space="preserve">&amp; </w:t>
      </w:r>
      <w:r>
        <w:rPr>
          <w:rFonts w:ascii="Times New Roman" w:hAnsi="Times New Roman" w:cs="Times New Roman"/>
          <w:bCs/>
          <w:sz w:val="26"/>
          <w:szCs w:val="26"/>
          <w:lang w:val="en-IN"/>
        </w:rPr>
        <w:t xml:space="preserve">Read, 2016) and, therefore, does not assess convergent and discriminant validity (Diamantopoulos &amp; Siguaw, 2006). Hair et al. (2012) suggest assessing the weights and collinearity diagnostics of formative indicators when evaluating their quality. </w:t>
      </w:r>
    </w:p>
    <w:p w14:paraId="26BBB63E" w14:textId="77777777" w:rsidR="004F5D9D" w:rsidRPr="005F1B2C" w:rsidRDefault="00534E43" w:rsidP="0050632A">
      <w:pPr>
        <w:autoSpaceDE w:val="0"/>
        <w:autoSpaceDN w:val="0"/>
        <w:adjustRightInd w:val="0"/>
        <w:spacing w:after="0" w:line="300" w:lineRule="auto"/>
        <w:ind w:firstLineChars="200" w:firstLine="520"/>
        <w:jc w:val="both"/>
        <w:rPr>
          <w:rFonts w:ascii="Times New Roman" w:hAnsi="Times New Roman" w:cs="Times New Roman"/>
          <w:bCs/>
          <w:sz w:val="26"/>
          <w:szCs w:val="26"/>
          <w:lang w:val="en-IN"/>
        </w:rPr>
      </w:pPr>
      <w:r>
        <w:rPr>
          <w:rFonts w:ascii="Times New Roman" w:hAnsi="Times New Roman" w:cs="Times New Roman"/>
          <w:bCs/>
          <w:sz w:val="26"/>
          <w:szCs w:val="26"/>
          <w:lang w:val="en-IN"/>
        </w:rPr>
        <w:t xml:space="preserve">Consistent with Churchill's (1979) recommendations, the construct's initial domain was defined through an extensive review of theory and related negative brand-relationship constructs. The resulting item pool was refined through expert assessment to ensure content adequacy. The subsequent statistical evaluation of items—including indicator significance, multicollinearity checks, and </w:t>
      </w:r>
      <w:r>
        <w:rPr>
          <w:rFonts w:ascii="Times New Roman" w:hAnsi="Times New Roman" w:cs="Times New Roman"/>
          <w:kern w:val="2"/>
          <w:sz w:val="26"/>
          <w:szCs w:val="26"/>
          <w14:ligatures w14:val="standardContextual"/>
        </w:rPr>
        <w:t>purification</w:t>
      </w:r>
      <w:r>
        <w:rPr>
          <w:rFonts w:ascii="Times New Roman" w:hAnsi="Times New Roman" w:cs="Times New Roman"/>
          <w:bCs/>
          <w:sz w:val="26"/>
          <w:szCs w:val="26"/>
          <w:lang w:val="en-IN"/>
        </w:rPr>
        <w:t>—is aligned with Churchill's emphasis on empirical assessment, retaining conceptually essential indicators that are statistically weak when theoretically justified.</w:t>
      </w:r>
    </w:p>
    <w:p w14:paraId="0A4B3DCC" w14:textId="77777777" w:rsidR="004F5D9D" w:rsidRPr="005F1B2C" w:rsidRDefault="00534E43" w:rsidP="0050632A">
      <w:pPr>
        <w:autoSpaceDE w:val="0"/>
        <w:autoSpaceDN w:val="0"/>
        <w:adjustRightInd w:val="0"/>
        <w:spacing w:after="0" w:line="300" w:lineRule="auto"/>
        <w:ind w:firstLineChars="200" w:firstLine="520"/>
        <w:jc w:val="both"/>
        <w:rPr>
          <w:rFonts w:ascii="Times New Roman" w:hAnsi="Times New Roman" w:cs="Times New Roman"/>
          <w:bCs/>
          <w:sz w:val="26"/>
          <w:szCs w:val="26"/>
          <w:lang w:val="en-IN"/>
        </w:rPr>
      </w:pPr>
      <w:r>
        <w:rPr>
          <w:rFonts w:ascii="Times New Roman" w:hAnsi="Times New Roman" w:cs="Times New Roman"/>
          <w:bCs/>
          <w:sz w:val="26"/>
          <w:szCs w:val="26"/>
          <w:lang w:val="en-IN"/>
        </w:rPr>
        <w:t xml:space="preserve">While evaluating the outer weights, three of the 51 items were found to be insignificant (r &gt; 0.05). As Bollen and Lennox (1991) noted, removing an indicator is akin to removing a part of the measurement itself, which may restrict the construct (MacKenzie et al., 2005). Instead of directly dropping these items </w:t>
      </w:r>
      <w:r>
        <w:rPr>
          <w:rFonts w:ascii="Times New Roman" w:hAnsi="Times New Roman" w:cs="Times New Roman"/>
          <w:kern w:val="2"/>
          <w:sz w:val="26"/>
          <w:szCs w:val="26"/>
          <w14:ligatures w14:val="standardContextual"/>
        </w:rPr>
        <w:t>based</w:t>
      </w:r>
      <w:r>
        <w:rPr>
          <w:rFonts w:ascii="Times New Roman" w:hAnsi="Times New Roman" w:cs="Times New Roman"/>
          <w:bCs/>
          <w:sz w:val="26"/>
          <w:szCs w:val="26"/>
          <w:lang w:val="en-IN"/>
        </w:rPr>
        <w:t xml:space="preserve"> on statistical results, it was decided to seek theoretical justification for any action. </w:t>
      </w:r>
    </w:p>
    <w:p w14:paraId="038E635A" w14:textId="77777777" w:rsidR="004F5D9D" w:rsidRPr="005F1B2C" w:rsidRDefault="00534E43" w:rsidP="0050632A">
      <w:pPr>
        <w:autoSpaceDE w:val="0"/>
        <w:autoSpaceDN w:val="0"/>
        <w:adjustRightInd w:val="0"/>
        <w:spacing w:after="0" w:line="300" w:lineRule="auto"/>
        <w:ind w:firstLineChars="200" w:firstLine="520"/>
        <w:jc w:val="both"/>
        <w:rPr>
          <w:rFonts w:ascii="Times New Roman" w:hAnsi="Times New Roman" w:cs="Times New Roman"/>
          <w:bCs/>
          <w:sz w:val="26"/>
          <w:szCs w:val="26"/>
          <w:lang w:val="en-IN"/>
        </w:rPr>
      </w:pPr>
      <w:r>
        <w:rPr>
          <w:rFonts w:ascii="Times New Roman" w:hAnsi="Times New Roman" w:cs="Times New Roman"/>
          <w:bCs/>
          <w:sz w:val="26"/>
          <w:szCs w:val="26"/>
          <w:lang w:val="en-IN"/>
        </w:rPr>
        <w:t xml:space="preserve">Upon reviewing the existing literature, we found </w:t>
      </w:r>
      <w:r>
        <w:rPr>
          <w:rFonts w:ascii="Times New Roman" w:hAnsi="Times New Roman" w:cs="Times New Roman"/>
          <w:kern w:val="2"/>
          <w:sz w:val="26"/>
          <w:szCs w:val="26"/>
          <w14:ligatures w14:val="standardContextual"/>
        </w:rPr>
        <w:t>that</w:t>
      </w:r>
      <w:r>
        <w:rPr>
          <w:rFonts w:ascii="Times New Roman" w:hAnsi="Times New Roman" w:cs="Times New Roman"/>
          <w:bCs/>
          <w:sz w:val="26"/>
          <w:szCs w:val="26"/>
          <w:lang w:val="en-IN"/>
        </w:rPr>
        <w:t xml:space="preserve"> item loadings were examined not for elimination, but to ensure that even statistically weak indicators were retained when they captured essential facets of the formative construct (Hair et al., 2012). Items with high loadings were retained despite their insignificant weights. As shown in Table I, all items had factor loadings well above 0.5 (Hulland, 1999) and multicollinearity (VIF) values below 3.3 (ranging from 1.105 to 2.726), indicating the absence of multicollinearity. A careful examination of metric invariance [Δχ² (52) = 0.078; p &gt; 0.50] and scalar invariance [Δχ² (14) = 0.127; p &gt; 0.50] established the research method, and responses from different countries did not cause any bias.</w:t>
      </w:r>
    </w:p>
    <w:p w14:paraId="08861591" w14:textId="77777777" w:rsidR="004F5D9D" w:rsidRPr="005F1B2C" w:rsidRDefault="004F5D9D">
      <w:pPr>
        <w:widowControl w:val="0"/>
        <w:autoSpaceDE w:val="0"/>
        <w:autoSpaceDN w:val="0"/>
        <w:adjustRightInd w:val="0"/>
        <w:spacing w:after="0" w:line="360" w:lineRule="exact"/>
        <w:ind w:firstLine="360"/>
        <w:jc w:val="both"/>
        <w:rPr>
          <w:rFonts w:ascii="Times New Roman" w:hAnsi="Times New Roman" w:cs="Times New Roman"/>
          <w:bCs/>
          <w:sz w:val="26"/>
          <w:szCs w:val="26"/>
          <w:lang w:val="en-IN"/>
        </w:rPr>
      </w:pPr>
    </w:p>
    <w:p w14:paraId="1AF6130D" w14:textId="77777777" w:rsidR="004F5D9D" w:rsidRPr="005F1B2C" w:rsidRDefault="00534E43">
      <w:pPr>
        <w:widowControl w:val="0"/>
        <w:autoSpaceDE w:val="0"/>
        <w:autoSpaceDN w:val="0"/>
        <w:adjustRightInd w:val="0"/>
        <w:spacing w:after="0" w:line="360" w:lineRule="exact"/>
        <w:jc w:val="center"/>
        <w:rPr>
          <w:rFonts w:ascii="Times New Roman" w:hAnsi="Times New Roman" w:cs="Times New Roman"/>
          <w:b/>
          <w:sz w:val="26"/>
          <w:szCs w:val="26"/>
          <w:lang w:val="en-IN"/>
        </w:rPr>
      </w:pPr>
      <w:r>
        <w:rPr>
          <w:rFonts w:ascii="Times New Roman" w:hAnsi="Times New Roman" w:cs="Times New Roman"/>
          <w:b/>
          <w:sz w:val="26"/>
          <w:szCs w:val="26"/>
          <w:lang w:val="en-IN"/>
        </w:rPr>
        <w:t>RESULTS</w:t>
      </w:r>
    </w:p>
    <w:p w14:paraId="6D45961D" w14:textId="77777777" w:rsidR="004F5D9D" w:rsidRPr="005F1B2C" w:rsidRDefault="00534E43" w:rsidP="0050632A">
      <w:pPr>
        <w:autoSpaceDE w:val="0"/>
        <w:autoSpaceDN w:val="0"/>
        <w:adjustRightInd w:val="0"/>
        <w:spacing w:after="0" w:line="300" w:lineRule="auto"/>
        <w:ind w:firstLineChars="200" w:firstLine="520"/>
        <w:jc w:val="both"/>
        <w:rPr>
          <w:rStyle w:val="af1"/>
          <w:rFonts w:ascii="Times New Roman" w:eastAsiaTheme="majorEastAsia" w:hAnsi="Times New Roman" w:cs="Times New Roman"/>
          <w:b w:val="0"/>
          <w:bCs w:val="0"/>
          <w:sz w:val="26"/>
          <w:szCs w:val="26"/>
        </w:rPr>
      </w:pPr>
      <w:r>
        <w:rPr>
          <w:rStyle w:val="af1"/>
          <w:rFonts w:ascii="Times New Roman" w:eastAsiaTheme="majorEastAsia" w:hAnsi="Times New Roman" w:cs="Times New Roman"/>
          <w:b w:val="0"/>
          <w:bCs w:val="0"/>
          <w:sz w:val="26"/>
          <w:szCs w:val="26"/>
        </w:rPr>
        <w:t xml:space="preserve">The Results section follows PLS-SEM reporting conventions by first evaluating the outer measurement model and subsequently examining the inner structural model. To evaluate the measurement quality of the proposed formative brand avoidance construct, both outer and inner model criteria were examined. The results of the outer model assessment, including indicator loadings, multicollinearity checks, and significance tests, are reported first. Table 1 presents the item-level diagnostics for all five formative dimensions. This is followed by the </w:t>
      </w:r>
      <w:r>
        <w:rPr>
          <w:kern w:val="2"/>
          <w14:ligatures w14:val="standardContextual"/>
        </w:rPr>
        <w:t>inner</w:t>
      </w:r>
      <w:r>
        <w:rPr>
          <w:rStyle w:val="af1"/>
          <w:rFonts w:ascii="Times New Roman" w:eastAsiaTheme="majorEastAsia" w:hAnsi="Times New Roman" w:cs="Times New Roman"/>
          <w:b w:val="0"/>
          <w:bCs w:val="0"/>
          <w:sz w:val="26"/>
          <w:szCs w:val="26"/>
        </w:rPr>
        <w:t xml:space="preserve"> model results, which assess the relationships between second-order constructs, predictive relevance, and nomological validity.</w:t>
      </w:r>
    </w:p>
    <w:p w14:paraId="219CBFD0" w14:textId="77777777" w:rsidR="004F5D9D" w:rsidRPr="005F1B2C" w:rsidRDefault="004F5D9D">
      <w:pPr>
        <w:pStyle w:val="Web"/>
        <w:spacing w:before="0" w:beforeAutospacing="0" w:after="0" w:afterAutospacing="0" w:line="276" w:lineRule="auto"/>
        <w:jc w:val="both"/>
        <w:rPr>
          <w:b/>
          <w:bCs/>
          <w:sz w:val="26"/>
          <w:szCs w:val="26"/>
        </w:rPr>
      </w:pPr>
    </w:p>
    <w:bookmarkEnd w:id="4"/>
    <w:p w14:paraId="157749FC" w14:textId="77777777" w:rsidR="004F5D9D" w:rsidRPr="005F1B2C" w:rsidRDefault="00534E43">
      <w:pPr>
        <w:spacing w:after="0" w:line="240" w:lineRule="auto"/>
        <w:rPr>
          <w:rFonts w:ascii="Times New Roman" w:hAnsi="Times New Roman" w:cs="Times New Roman"/>
          <w:i/>
          <w:iCs/>
          <w:sz w:val="26"/>
          <w:szCs w:val="26"/>
        </w:rPr>
      </w:pPr>
      <w:r>
        <w:rPr>
          <w:rFonts w:ascii="Times New Roman" w:hAnsi="Times New Roman" w:cs="Times New Roman"/>
          <w:b/>
          <w:bCs/>
          <w:sz w:val="26"/>
          <w:szCs w:val="26"/>
        </w:rPr>
        <w:t>Table 1</w:t>
      </w:r>
      <w:r>
        <w:rPr>
          <w:rFonts w:ascii="Times New Roman" w:hAnsi="Times New Roman" w:cs="Times New Roman" w:hint="eastAsia"/>
          <w:b/>
          <w:bCs/>
          <w:sz w:val="26"/>
          <w:szCs w:val="26"/>
          <w:lang w:eastAsia="zh-TW"/>
        </w:rPr>
        <w:t xml:space="preserve"> </w:t>
      </w:r>
      <w:r>
        <w:rPr>
          <w:rFonts w:ascii="Times New Roman" w:hAnsi="Times New Roman" w:cs="Times New Roman"/>
          <w:i/>
          <w:iCs/>
          <w:sz w:val="26"/>
          <w:szCs w:val="26"/>
        </w:rPr>
        <w:t>Item loadings, VIFs, T statistics, and p-values</w:t>
      </w:r>
    </w:p>
    <w:tbl>
      <w:tblPr>
        <w:tblStyle w:val="PlainTable21"/>
        <w:tblW w:w="5000" w:type="pct"/>
        <w:tblLook w:val="04A0" w:firstRow="1" w:lastRow="0" w:firstColumn="1" w:lastColumn="0" w:noHBand="0" w:noVBand="1"/>
      </w:tblPr>
      <w:tblGrid>
        <w:gridCol w:w="1128"/>
        <w:gridCol w:w="2536"/>
        <w:gridCol w:w="666"/>
        <w:gridCol w:w="666"/>
        <w:gridCol w:w="667"/>
        <w:gridCol w:w="667"/>
        <w:gridCol w:w="667"/>
        <w:gridCol w:w="667"/>
        <w:gridCol w:w="950"/>
        <w:gridCol w:w="746"/>
      </w:tblGrid>
      <w:tr w:rsidR="00D83248" w14:paraId="171C6BFA" w14:textId="77777777" w:rsidTr="00D83248">
        <w:trPr>
          <w:cnfStyle w:val="100000000000" w:firstRow="1" w:lastRow="0" w:firstColumn="0" w:lastColumn="0" w:oddVBand="0" w:evenVBand="0" w:oddHBand="0" w:evenHBand="0" w:firstRowFirstColumn="0" w:firstRowLastColumn="0" w:lastRowFirstColumn="0" w:lastRowLastColumn="0"/>
          <w:trHeight w:val="520"/>
          <w:tblHeader/>
        </w:trPr>
        <w:tc>
          <w:tcPr>
            <w:cnfStyle w:val="001000000000" w:firstRow="0" w:lastRow="0" w:firstColumn="1" w:lastColumn="0" w:oddVBand="0" w:evenVBand="0" w:oddHBand="0" w:evenHBand="0" w:firstRowFirstColumn="0" w:firstRowLastColumn="0" w:lastRowFirstColumn="0" w:lastRowLastColumn="0"/>
            <w:tcW w:w="585" w:type="pct"/>
            <w:vMerge w:val="restart"/>
            <w:vAlign w:val="center"/>
          </w:tcPr>
          <w:p w14:paraId="1C5DFD99" w14:textId="77777777" w:rsidR="004F5D9D" w:rsidRPr="005F1B2C" w:rsidRDefault="00534E43">
            <w:pPr>
              <w:spacing w:after="0" w:line="240" w:lineRule="auto"/>
              <w:jc w:val="center"/>
              <w:rPr>
                <w:rFonts w:ascii="Times New Roman" w:eastAsia="Times New Roman" w:hAnsi="Times New Roman" w:cs="Times New Roman"/>
                <w:sz w:val="20"/>
                <w:szCs w:val="20"/>
                <w:lang w:eastAsia="en-IN"/>
              </w:rPr>
            </w:pPr>
            <w:r>
              <w:rPr>
                <w:rFonts w:ascii="Times New Roman" w:eastAsia="Times New Roman" w:hAnsi="Times New Roman" w:cs="Times New Roman"/>
                <w:sz w:val="20"/>
                <w:szCs w:val="20"/>
                <w:lang w:eastAsia="en-IN"/>
              </w:rPr>
              <w:t>Dimension</w:t>
            </w:r>
          </w:p>
        </w:tc>
        <w:tc>
          <w:tcPr>
            <w:tcW w:w="1359" w:type="pct"/>
            <w:vMerge w:val="restart"/>
            <w:vAlign w:val="center"/>
          </w:tcPr>
          <w:p w14:paraId="5CD6A122" w14:textId="77777777" w:rsidR="004F5D9D" w:rsidRPr="005F1B2C" w:rsidRDefault="00534E4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Statement</w:t>
            </w:r>
          </w:p>
        </w:tc>
        <w:tc>
          <w:tcPr>
            <w:tcW w:w="3055" w:type="pct"/>
            <w:gridSpan w:val="8"/>
            <w:vAlign w:val="center"/>
          </w:tcPr>
          <w:p w14:paraId="30F08B4A" w14:textId="77777777" w:rsidR="004F5D9D" w:rsidRPr="005F1B2C" w:rsidRDefault="00534E4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Pr>
                <w:rFonts w:ascii="Times New Roman" w:eastAsia="Times New Roman" w:hAnsi="Times New Roman" w:cs="Times New Roman"/>
                <w:sz w:val="20"/>
                <w:szCs w:val="20"/>
                <w:lang w:eastAsia="en-IN"/>
              </w:rPr>
              <w:t>Factors</w:t>
            </w:r>
          </w:p>
        </w:tc>
      </w:tr>
      <w:tr w:rsidR="00D83248" w14:paraId="73E0225F" w14:textId="77777777" w:rsidTr="00D83248">
        <w:trPr>
          <w:cnfStyle w:val="100000000000" w:firstRow="1" w:lastRow="0" w:firstColumn="0" w:lastColumn="0" w:oddVBand="0" w:evenVBand="0" w:oddHBand="0" w:evenHBand="0" w:firstRowFirstColumn="0" w:firstRowLastColumn="0" w:lastRowFirstColumn="0" w:lastRowLastColumn="0"/>
          <w:trHeight w:val="520"/>
          <w:tblHeader/>
        </w:trPr>
        <w:tc>
          <w:tcPr>
            <w:cnfStyle w:val="001000000000" w:firstRow="0" w:lastRow="0" w:firstColumn="1" w:lastColumn="0" w:oddVBand="0" w:evenVBand="0" w:oddHBand="0" w:evenHBand="0" w:firstRowFirstColumn="0" w:firstRowLastColumn="0" w:lastRowFirstColumn="0" w:lastRowLastColumn="0"/>
            <w:tcW w:w="585" w:type="pct"/>
            <w:vMerge/>
            <w:tcBorders>
              <w:top w:val="single" w:sz="4" w:space="0" w:color="7F7F7F" w:themeColor="text1" w:themeTint="80"/>
            </w:tcBorders>
            <w:vAlign w:val="center"/>
          </w:tcPr>
          <w:p w14:paraId="38672459" w14:textId="77777777" w:rsidR="004F5D9D" w:rsidRPr="005F1B2C" w:rsidRDefault="004F5D9D">
            <w:pPr>
              <w:spacing w:after="0" w:line="240" w:lineRule="auto"/>
              <w:jc w:val="center"/>
              <w:rPr>
                <w:rFonts w:ascii="Times New Roman" w:eastAsia="Times New Roman" w:hAnsi="Times New Roman" w:cs="Times New Roman"/>
                <w:sz w:val="20"/>
                <w:szCs w:val="20"/>
                <w:lang w:val="en-IN" w:eastAsia="en-IN"/>
              </w:rPr>
            </w:pPr>
          </w:p>
        </w:tc>
        <w:tc>
          <w:tcPr>
            <w:tcW w:w="1359" w:type="pct"/>
            <w:vMerge/>
            <w:tcBorders>
              <w:top w:val="single" w:sz="4" w:space="0" w:color="7F7F7F" w:themeColor="text1" w:themeTint="80"/>
            </w:tcBorders>
            <w:vAlign w:val="center"/>
          </w:tcPr>
          <w:p w14:paraId="67EA2B98" w14:textId="77777777" w:rsidR="004F5D9D" w:rsidRPr="005F1B2C" w:rsidRDefault="004F5D9D">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tcBorders>
            <w:vAlign w:val="center"/>
          </w:tcPr>
          <w:p w14:paraId="1D974814" w14:textId="77777777" w:rsidR="004F5D9D" w:rsidRPr="005F1B2C" w:rsidRDefault="00534E4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MA</w:t>
            </w:r>
          </w:p>
        </w:tc>
        <w:tc>
          <w:tcPr>
            <w:tcW w:w="360" w:type="pct"/>
            <w:tcBorders>
              <w:top w:val="single" w:sz="4" w:space="0" w:color="7F7F7F" w:themeColor="text1" w:themeTint="80"/>
            </w:tcBorders>
            <w:vAlign w:val="center"/>
          </w:tcPr>
          <w:p w14:paraId="4FB4E348" w14:textId="77777777" w:rsidR="004F5D9D" w:rsidRPr="005F1B2C" w:rsidRDefault="00534E4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IA</w:t>
            </w:r>
          </w:p>
        </w:tc>
        <w:tc>
          <w:tcPr>
            <w:tcW w:w="360" w:type="pct"/>
            <w:tcBorders>
              <w:top w:val="single" w:sz="4" w:space="0" w:color="7F7F7F" w:themeColor="text1" w:themeTint="80"/>
            </w:tcBorders>
            <w:vAlign w:val="center"/>
          </w:tcPr>
          <w:p w14:paraId="69802DF3" w14:textId="77777777" w:rsidR="004F5D9D" w:rsidRPr="005F1B2C" w:rsidRDefault="00534E4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EA</w:t>
            </w:r>
          </w:p>
        </w:tc>
        <w:tc>
          <w:tcPr>
            <w:tcW w:w="360" w:type="pct"/>
            <w:tcBorders>
              <w:top w:val="single" w:sz="4" w:space="0" w:color="7F7F7F" w:themeColor="text1" w:themeTint="80"/>
            </w:tcBorders>
            <w:vAlign w:val="center"/>
          </w:tcPr>
          <w:p w14:paraId="756FB996" w14:textId="77777777" w:rsidR="004F5D9D" w:rsidRPr="005F1B2C" w:rsidRDefault="00534E4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VDA</w:t>
            </w:r>
          </w:p>
        </w:tc>
        <w:tc>
          <w:tcPr>
            <w:tcW w:w="360" w:type="pct"/>
            <w:tcBorders>
              <w:top w:val="single" w:sz="4" w:space="0" w:color="7F7F7F" w:themeColor="text1" w:themeTint="80"/>
            </w:tcBorders>
            <w:vAlign w:val="center"/>
          </w:tcPr>
          <w:p w14:paraId="5A2FA86D" w14:textId="77777777" w:rsidR="004F5D9D" w:rsidRPr="005F1B2C" w:rsidRDefault="00534E4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OBL</w:t>
            </w:r>
          </w:p>
        </w:tc>
        <w:tc>
          <w:tcPr>
            <w:tcW w:w="360" w:type="pct"/>
            <w:tcBorders>
              <w:top w:val="single" w:sz="4" w:space="0" w:color="7F7F7F" w:themeColor="text1" w:themeTint="80"/>
            </w:tcBorders>
            <w:vAlign w:val="center"/>
          </w:tcPr>
          <w:p w14:paraId="715D3E07" w14:textId="77777777" w:rsidR="004F5D9D" w:rsidRPr="005F1B2C" w:rsidRDefault="00534E4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VIF</w:t>
            </w:r>
          </w:p>
        </w:tc>
        <w:tc>
          <w:tcPr>
            <w:tcW w:w="493" w:type="pct"/>
            <w:tcBorders>
              <w:top w:val="single" w:sz="4" w:space="0" w:color="7F7F7F" w:themeColor="text1" w:themeTint="80"/>
            </w:tcBorders>
            <w:vAlign w:val="center"/>
          </w:tcPr>
          <w:p w14:paraId="212189FB" w14:textId="77777777" w:rsidR="004F5D9D" w:rsidRPr="005F1B2C" w:rsidRDefault="00534E4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T statistics</w:t>
            </w:r>
          </w:p>
        </w:tc>
        <w:tc>
          <w:tcPr>
            <w:tcW w:w="400" w:type="pct"/>
            <w:tcBorders>
              <w:top w:val="single" w:sz="4" w:space="0" w:color="7F7F7F" w:themeColor="text1" w:themeTint="80"/>
            </w:tcBorders>
            <w:vAlign w:val="center"/>
          </w:tcPr>
          <w:p w14:paraId="1EB72A58" w14:textId="77777777" w:rsidR="004F5D9D" w:rsidRPr="005F1B2C" w:rsidRDefault="00534E4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p Value</w:t>
            </w:r>
          </w:p>
        </w:tc>
      </w:tr>
      <w:tr w:rsidR="00D83248" w14:paraId="3E92ADD5" w14:textId="77777777" w:rsidTr="00D83248">
        <w:trPr>
          <w:trHeight w:val="780"/>
        </w:trPr>
        <w:tc>
          <w:tcPr>
            <w:cnfStyle w:val="001000000000" w:firstRow="0" w:lastRow="0" w:firstColumn="1" w:lastColumn="0" w:oddVBand="0" w:evenVBand="0" w:oddHBand="0" w:evenHBand="0" w:firstRowFirstColumn="0" w:firstRowLastColumn="0" w:lastRowFirstColumn="0" w:lastRowLastColumn="0"/>
            <w:tcW w:w="585" w:type="pct"/>
            <w:vAlign w:val="center"/>
          </w:tcPr>
          <w:p w14:paraId="78937D63"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MA1</w:t>
            </w:r>
          </w:p>
        </w:tc>
        <w:tc>
          <w:tcPr>
            <w:tcW w:w="1359" w:type="pct"/>
            <w:vAlign w:val="center"/>
          </w:tcPr>
          <w:p w14:paraId="4D3E27F0"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it follows unethical practices.</w:t>
            </w:r>
          </w:p>
        </w:tc>
        <w:tc>
          <w:tcPr>
            <w:tcW w:w="360" w:type="pct"/>
            <w:vAlign w:val="center"/>
          </w:tcPr>
          <w:p w14:paraId="648F0E75"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0.897</w:t>
            </w:r>
          </w:p>
        </w:tc>
        <w:tc>
          <w:tcPr>
            <w:tcW w:w="360" w:type="pct"/>
            <w:vAlign w:val="center"/>
          </w:tcPr>
          <w:p w14:paraId="5F2A8A66"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7E0C5A78"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3AF7B19E"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4B65D656"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1CDC7637"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1.311</w:t>
            </w:r>
          </w:p>
        </w:tc>
        <w:tc>
          <w:tcPr>
            <w:tcW w:w="493" w:type="pct"/>
            <w:vAlign w:val="center"/>
          </w:tcPr>
          <w:p w14:paraId="50AFCEB5"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3.27</w:t>
            </w:r>
          </w:p>
        </w:tc>
        <w:tc>
          <w:tcPr>
            <w:tcW w:w="400" w:type="pct"/>
            <w:vAlign w:val="center"/>
          </w:tcPr>
          <w:p w14:paraId="0399CE79"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w:t>
            </w:r>
          </w:p>
        </w:tc>
      </w:tr>
      <w:tr w:rsidR="00D83248" w14:paraId="4B90119F"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tcBorders>
              <w:top w:val="single" w:sz="4" w:space="0" w:color="7F7F7F" w:themeColor="text1" w:themeTint="80"/>
              <w:bottom w:val="single" w:sz="4" w:space="0" w:color="7F7F7F" w:themeColor="text1" w:themeTint="80"/>
            </w:tcBorders>
            <w:vAlign w:val="center"/>
          </w:tcPr>
          <w:p w14:paraId="1C238EDC"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MA2</w:t>
            </w:r>
          </w:p>
        </w:tc>
        <w:tc>
          <w:tcPr>
            <w:tcW w:w="1359" w:type="pct"/>
            <w:tcBorders>
              <w:top w:val="single" w:sz="4" w:space="0" w:color="7F7F7F" w:themeColor="text1" w:themeTint="80"/>
              <w:bottom w:val="single" w:sz="4" w:space="0" w:color="7F7F7F" w:themeColor="text1" w:themeTint="80"/>
            </w:tcBorders>
            <w:vAlign w:val="center"/>
          </w:tcPr>
          <w:p w14:paraId="1B2C5688"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it conflicts with my moral values.</w:t>
            </w:r>
          </w:p>
        </w:tc>
        <w:tc>
          <w:tcPr>
            <w:tcW w:w="360" w:type="pct"/>
            <w:tcBorders>
              <w:top w:val="single" w:sz="4" w:space="0" w:color="7F7F7F" w:themeColor="text1" w:themeTint="80"/>
              <w:bottom w:val="single" w:sz="4" w:space="0" w:color="7F7F7F" w:themeColor="text1" w:themeTint="80"/>
            </w:tcBorders>
            <w:vAlign w:val="center"/>
          </w:tcPr>
          <w:p w14:paraId="0F005343"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0.887</w:t>
            </w:r>
          </w:p>
        </w:tc>
        <w:tc>
          <w:tcPr>
            <w:tcW w:w="360" w:type="pct"/>
            <w:tcBorders>
              <w:top w:val="single" w:sz="4" w:space="0" w:color="7F7F7F" w:themeColor="text1" w:themeTint="80"/>
              <w:bottom w:val="single" w:sz="4" w:space="0" w:color="7F7F7F" w:themeColor="text1" w:themeTint="80"/>
            </w:tcBorders>
            <w:vAlign w:val="center"/>
          </w:tcPr>
          <w:p w14:paraId="1A86D921"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42448BC6"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5AB2FB07"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1F551C0E"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1F21F6C4"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1.327</w:t>
            </w:r>
          </w:p>
        </w:tc>
        <w:tc>
          <w:tcPr>
            <w:tcW w:w="493" w:type="pct"/>
            <w:tcBorders>
              <w:top w:val="single" w:sz="4" w:space="0" w:color="7F7F7F" w:themeColor="text1" w:themeTint="80"/>
              <w:bottom w:val="single" w:sz="4" w:space="0" w:color="7F7F7F" w:themeColor="text1" w:themeTint="80"/>
            </w:tcBorders>
            <w:vAlign w:val="center"/>
          </w:tcPr>
          <w:p w14:paraId="75048116"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11.07</w:t>
            </w:r>
          </w:p>
        </w:tc>
        <w:tc>
          <w:tcPr>
            <w:tcW w:w="400" w:type="pct"/>
            <w:tcBorders>
              <w:top w:val="single" w:sz="4" w:space="0" w:color="7F7F7F" w:themeColor="text1" w:themeTint="80"/>
              <w:bottom w:val="single" w:sz="4" w:space="0" w:color="7F7F7F" w:themeColor="text1" w:themeTint="80"/>
            </w:tcBorders>
            <w:vAlign w:val="center"/>
          </w:tcPr>
          <w:p w14:paraId="48D9188F"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0.01</w:t>
            </w:r>
          </w:p>
        </w:tc>
      </w:tr>
      <w:tr w:rsidR="00D83248" w14:paraId="601828DA"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vAlign w:val="center"/>
          </w:tcPr>
          <w:p w14:paraId="7100DB46"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MA3</w:t>
            </w:r>
          </w:p>
        </w:tc>
        <w:tc>
          <w:tcPr>
            <w:tcW w:w="1359" w:type="pct"/>
            <w:vAlign w:val="center"/>
          </w:tcPr>
          <w:p w14:paraId="48E8F674"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due to concerns about its environmental practices.</w:t>
            </w:r>
          </w:p>
        </w:tc>
        <w:tc>
          <w:tcPr>
            <w:tcW w:w="360" w:type="pct"/>
            <w:vAlign w:val="center"/>
          </w:tcPr>
          <w:p w14:paraId="2C439AE1"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0.885</w:t>
            </w:r>
          </w:p>
        </w:tc>
        <w:tc>
          <w:tcPr>
            <w:tcW w:w="360" w:type="pct"/>
            <w:vAlign w:val="center"/>
          </w:tcPr>
          <w:p w14:paraId="3899824E"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7428B8A2"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594017EF"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0AE31A0C"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456AF941"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1.513</w:t>
            </w:r>
          </w:p>
        </w:tc>
        <w:tc>
          <w:tcPr>
            <w:tcW w:w="493" w:type="pct"/>
            <w:vAlign w:val="center"/>
          </w:tcPr>
          <w:p w14:paraId="33E9039D"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2.37</w:t>
            </w:r>
          </w:p>
        </w:tc>
        <w:tc>
          <w:tcPr>
            <w:tcW w:w="400" w:type="pct"/>
            <w:vAlign w:val="center"/>
          </w:tcPr>
          <w:p w14:paraId="0D3C5F14"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w:t>
            </w:r>
          </w:p>
        </w:tc>
      </w:tr>
      <w:tr w:rsidR="00D83248" w14:paraId="58DA2F3E"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tcBorders>
              <w:top w:val="single" w:sz="4" w:space="0" w:color="7F7F7F" w:themeColor="text1" w:themeTint="80"/>
              <w:bottom w:val="single" w:sz="4" w:space="0" w:color="7F7F7F" w:themeColor="text1" w:themeTint="80"/>
            </w:tcBorders>
            <w:vAlign w:val="center"/>
          </w:tcPr>
          <w:p w14:paraId="19E421F1"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MA4</w:t>
            </w:r>
          </w:p>
        </w:tc>
        <w:tc>
          <w:tcPr>
            <w:tcW w:w="1359" w:type="pct"/>
            <w:tcBorders>
              <w:top w:val="single" w:sz="4" w:space="0" w:color="7F7F7F" w:themeColor="text1" w:themeTint="80"/>
              <w:bottom w:val="single" w:sz="4" w:space="0" w:color="7F7F7F" w:themeColor="text1" w:themeTint="80"/>
            </w:tcBorders>
            <w:vAlign w:val="center"/>
          </w:tcPr>
          <w:p w14:paraId="5FF6DFDC"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 believe it mistreats employees.</w:t>
            </w:r>
          </w:p>
        </w:tc>
        <w:tc>
          <w:tcPr>
            <w:tcW w:w="360" w:type="pct"/>
            <w:tcBorders>
              <w:top w:val="single" w:sz="4" w:space="0" w:color="7F7F7F" w:themeColor="text1" w:themeTint="80"/>
              <w:bottom w:val="single" w:sz="4" w:space="0" w:color="7F7F7F" w:themeColor="text1" w:themeTint="80"/>
            </w:tcBorders>
            <w:vAlign w:val="center"/>
          </w:tcPr>
          <w:p w14:paraId="1CF6D570"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0.869</w:t>
            </w:r>
          </w:p>
        </w:tc>
        <w:tc>
          <w:tcPr>
            <w:tcW w:w="360" w:type="pct"/>
            <w:tcBorders>
              <w:top w:val="single" w:sz="4" w:space="0" w:color="7F7F7F" w:themeColor="text1" w:themeTint="80"/>
              <w:bottom w:val="single" w:sz="4" w:space="0" w:color="7F7F7F" w:themeColor="text1" w:themeTint="80"/>
            </w:tcBorders>
            <w:vAlign w:val="center"/>
          </w:tcPr>
          <w:p w14:paraId="4466ED59"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3BAC49FF"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5B9F8D3B"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12FA0939"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1D407BB1"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1.783</w:t>
            </w:r>
          </w:p>
        </w:tc>
        <w:tc>
          <w:tcPr>
            <w:tcW w:w="493" w:type="pct"/>
            <w:tcBorders>
              <w:top w:val="single" w:sz="4" w:space="0" w:color="7F7F7F" w:themeColor="text1" w:themeTint="80"/>
              <w:bottom w:val="single" w:sz="4" w:space="0" w:color="7F7F7F" w:themeColor="text1" w:themeTint="80"/>
            </w:tcBorders>
            <w:vAlign w:val="center"/>
          </w:tcPr>
          <w:p w14:paraId="4DD600AE"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3.11</w:t>
            </w:r>
          </w:p>
        </w:tc>
        <w:tc>
          <w:tcPr>
            <w:tcW w:w="400" w:type="pct"/>
            <w:tcBorders>
              <w:top w:val="single" w:sz="4" w:space="0" w:color="7F7F7F" w:themeColor="text1" w:themeTint="80"/>
              <w:bottom w:val="single" w:sz="4" w:space="0" w:color="7F7F7F" w:themeColor="text1" w:themeTint="80"/>
            </w:tcBorders>
            <w:vAlign w:val="center"/>
          </w:tcPr>
          <w:p w14:paraId="25E4E2B6"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0.02</w:t>
            </w:r>
          </w:p>
        </w:tc>
      </w:tr>
      <w:tr w:rsidR="00D83248" w14:paraId="38AF294C"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vAlign w:val="center"/>
          </w:tcPr>
          <w:p w14:paraId="4553302B"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MA5</w:t>
            </w:r>
          </w:p>
        </w:tc>
        <w:tc>
          <w:tcPr>
            <w:tcW w:w="1359" w:type="pct"/>
            <w:vAlign w:val="center"/>
          </w:tcPr>
          <w:p w14:paraId="236BC8E0"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it supports causes I disagree with.</w:t>
            </w:r>
          </w:p>
        </w:tc>
        <w:tc>
          <w:tcPr>
            <w:tcW w:w="360" w:type="pct"/>
            <w:vAlign w:val="center"/>
          </w:tcPr>
          <w:p w14:paraId="7905F863"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0.867</w:t>
            </w:r>
          </w:p>
        </w:tc>
        <w:tc>
          <w:tcPr>
            <w:tcW w:w="360" w:type="pct"/>
            <w:vAlign w:val="center"/>
          </w:tcPr>
          <w:p w14:paraId="7516E4F3"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0A5A2934"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3FEB6B29"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457AD15F"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13BEFC4F"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1.543</w:t>
            </w:r>
          </w:p>
        </w:tc>
        <w:tc>
          <w:tcPr>
            <w:tcW w:w="493" w:type="pct"/>
            <w:vAlign w:val="center"/>
          </w:tcPr>
          <w:p w14:paraId="20E23187"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3.18</w:t>
            </w:r>
          </w:p>
        </w:tc>
        <w:tc>
          <w:tcPr>
            <w:tcW w:w="400" w:type="pct"/>
            <w:vAlign w:val="center"/>
          </w:tcPr>
          <w:p w14:paraId="2092BED1"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w:t>
            </w:r>
          </w:p>
        </w:tc>
      </w:tr>
      <w:tr w:rsidR="00D83248" w14:paraId="4EB95EA3"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tcBorders>
              <w:top w:val="single" w:sz="4" w:space="0" w:color="7F7F7F" w:themeColor="text1" w:themeTint="80"/>
              <w:bottom w:val="single" w:sz="4" w:space="0" w:color="7F7F7F" w:themeColor="text1" w:themeTint="80"/>
            </w:tcBorders>
            <w:vAlign w:val="center"/>
          </w:tcPr>
          <w:p w14:paraId="32D02C7D"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MA6</w:t>
            </w:r>
          </w:p>
        </w:tc>
        <w:tc>
          <w:tcPr>
            <w:tcW w:w="1359" w:type="pct"/>
            <w:tcBorders>
              <w:top w:val="single" w:sz="4" w:space="0" w:color="7F7F7F" w:themeColor="text1" w:themeTint="80"/>
              <w:bottom w:val="single" w:sz="4" w:space="0" w:color="7F7F7F" w:themeColor="text1" w:themeTint="80"/>
            </w:tcBorders>
            <w:vAlign w:val="center"/>
          </w:tcPr>
          <w:p w14:paraId="7747961E"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 believe it harms society.</w:t>
            </w:r>
          </w:p>
        </w:tc>
        <w:tc>
          <w:tcPr>
            <w:tcW w:w="360" w:type="pct"/>
            <w:tcBorders>
              <w:top w:val="single" w:sz="4" w:space="0" w:color="7F7F7F" w:themeColor="text1" w:themeTint="80"/>
              <w:bottom w:val="single" w:sz="4" w:space="0" w:color="7F7F7F" w:themeColor="text1" w:themeTint="80"/>
            </w:tcBorders>
            <w:vAlign w:val="center"/>
          </w:tcPr>
          <w:p w14:paraId="1056ED85"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0.863</w:t>
            </w:r>
          </w:p>
        </w:tc>
        <w:tc>
          <w:tcPr>
            <w:tcW w:w="360" w:type="pct"/>
            <w:tcBorders>
              <w:top w:val="single" w:sz="4" w:space="0" w:color="7F7F7F" w:themeColor="text1" w:themeTint="80"/>
              <w:bottom w:val="single" w:sz="4" w:space="0" w:color="7F7F7F" w:themeColor="text1" w:themeTint="80"/>
            </w:tcBorders>
            <w:vAlign w:val="center"/>
          </w:tcPr>
          <w:p w14:paraId="71E2BB17"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22304EE7"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324FBCF9"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38117A1E"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1186ACB0"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1.662</w:t>
            </w:r>
          </w:p>
        </w:tc>
        <w:tc>
          <w:tcPr>
            <w:tcW w:w="493" w:type="pct"/>
            <w:tcBorders>
              <w:top w:val="single" w:sz="4" w:space="0" w:color="7F7F7F" w:themeColor="text1" w:themeTint="80"/>
              <w:bottom w:val="single" w:sz="4" w:space="0" w:color="7F7F7F" w:themeColor="text1" w:themeTint="80"/>
            </w:tcBorders>
            <w:vAlign w:val="center"/>
          </w:tcPr>
          <w:p w14:paraId="769BA2F7"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3.21</w:t>
            </w:r>
          </w:p>
        </w:tc>
        <w:tc>
          <w:tcPr>
            <w:tcW w:w="400" w:type="pct"/>
            <w:tcBorders>
              <w:top w:val="single" w:sz="4" w:space="0" w:color="7F7F7F" w:themeColor="text1" w:themeTint="80"/>
              <w:bottom w:val="single" w:sz="4" w:space="0" w:color="7F7F7F" w:themeColor="text1" w:themeTint="80"/>
            </w:tcBorders>
            <w:vAlign w:val="center"/>
          </w:tcPr>
          <w:p w14:paraId="4BC7E56D"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w:t>
            </w:r>
          </w:p>
        </w:tc>
      </w:tr>
      <w:tr w:rsidR="00D83248" w14:paraId="058173ED"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vAlign w:val="center"/>
          </w:tcPr>
          <w:p w14:paraId="38707D77"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MA7</w:t>
            </w:r>
          </w:p>
        </w:tc>
        <w:tc>
          <w:tcPr>
            <w:tcW w:w="1359" w:type="pct"/>
            <w:vAlign w:val="center"/>
          </w:tcPr>
          <w:p w14:paraId="4E8A076F"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due to its association with countries I dislike.</w:t>
            </w:r>
          </w:p>
        </w:tc>
        <w:tc>
          <w:tcPr>
            <w:tcW w:w="360" w:type="pct"/>
            <w:vAlign w:val="center"/>
          </w:tcPr>
          <w:p w14:paraId="204C18EC"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0.862</w:t>
            </w:r>
          </w:p>
        </w:tc>
        <w:tc>
          <w:tcPr>
            <w:tcW w:w="360" w:type="pct"/>
            <w:vAlign w:val="center"/>
          </w:tcPr>
          <w:p w14:paraId="2264E948"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145636F1"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4A866F7A"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226F7071"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28395FB7"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2.113</w:t>
            </w:r>
          </w:p>
        </w:tc>
        <w:tc>
          <w:tcPr>
            <w:tcW w:w="493" w:type="pct"/>
            <w:vAlign w:val="center"/>
          </w:tcPr>
          <w:p w14:paraId="3C19BFF4"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4.08</w:t>
            </w:r>
          </w:p>
        </w:tc>
        <w:tc>
          <w:tcPr>
            <w:tcW w:w="400" w:type="pct"/>
            <w:vAlign w:val="center"/>
          </w:tcPr>
          <w:p w14:paraId="42E5D0A0"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w:t>
            </w:r>
          </w:p>
        </w:tc>
      </w:tr>
      <w:tr w:rsidR="00D83248" w14:paraId="3DE8CFCE"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tcBorders>
              <w:top w:val="single" w:sz="4" w:space="0" w:color="7F7F7F" w:themeColor="text1" w:themeTint="80"/>
              <w:bottom w:val="single" w:sz="4" w:space="0" w:color="7F7F7F" w:themeColor="text1" w:themeTint="80"/>
            </w:tcBorders>
            <w:vAlign w:val="center"/>
          </w:tcPr>
          <w:p w14:paraId="524910DB"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MA8</w:t>
            </w:r>
          </w:p>
        </w:tc>
        <w:tc>
          <w:tcPr>
            <w:tcW w:w="1359" w:type="pct"/>
            <w:tcBorders>
              <w:top w:val="single" w:sz="4" w:space="0" w:color="7F7F7F" w:themeColor="text1" w:themeTint="80"/>
              <w:bottom w:val="single" w:sz="4" w:space="0" w:color="7F7F7F" w:themeColor="text1" w:themeTint="80"/>
            </w:tcBorders>
            <w:vAlign w:val="center"/>
          </w:tcPr>
          <w:p w14:paraId="58187F84"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it represents dominant cultures I disapprove of.</w:t>
            </w:r>
          </w:p>
        </w:tc>
        <w:tc>
          <w:tcPr>
            <w:tcW w:w="360" w:type="pct"/>
            <w:tcBorders>
              <w:top w:val="single" w:sz="4" w:space="0" w:color="7F7F7F" w:themeColor="text1" w:themeTint="80"/>
              <w:bottom w:val="single" w:sz="4" w:space="0" w:color="7F7F7F" w:themeColor="text1" w:themeTint="80"/>
            </w:tcBorders>
            <w:vAlign w:val="center"/>
          </w:tcPr>
          <w:p w14:paraId="3EE0E29D"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0.856</w:t>
            </w:r>
          </w:p>
        </w:tc>
        <w:tc>
          <w:tcPr>
            <w:tcW w:w="360" w:type="pct"/>
            <w:tcBorders>
              <w:top w:val="single" w:sz="4" w:space="0" w:color="7F7F7F" w:themeColor="text1" w:themeTint="80"/>
              <w:bottom w:val="single" w:sz="4" w:space="0" w:color="7F7F7F" w:themeColor="text1" w:themeTint="80"/>
            </w:tcBorders>
            <w:vAlign w:val="center"/>
          </w:tcPr>
          <w:p w14:paraId="54627DF2"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61868FBE"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02455C45"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39F17A4A"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7FED3DB3"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1.798</w:t>
            </w:r>
          </w:p>
        </w:tc>
        <w:tc>
          <w:tcPr>
            <w:tcW w:w="493" w:type="pct"/>
            <w:tcBorders>
              <w:top w:val="single" w:sz="4" w:space="0" w:color="7F7F7F" w:themeColor="text1" w:themeTint="80"/>
              <w:bottom w:val="single" w:sz="4" w:space="0" w:color="7F7F7F" w:themeColor="text1" w:themeTint="80"/>
            </w:tcBorders>
            <w:vAlign w:val="center"/>
          </w:tcPr>
          <w:p w14:paraId="4B65048C"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4.14</w:t>
            </w:r>
          </w:p>
        </w:tc>
        <w:tc>
          <w:tcPr>
            <w:tcW w:w="400" w:type="pct"/>
            <w:tcBorders>
              <w:top w:val="single" w:sz="4" w:space="0" w:color="7F7F7F" w:themeColor="text1" w:themeTint="80"/>
              <w:bottom w:val="single" w:sz="4" w:space="0" w:color="7F7F7F" w:themeColor="text1" w:themeTint="80"/>
            </w:tcBorders>
            <w:vAlign w:val="center"/>
          </w:tcPr>
          <w:p w14:paraId="7D6C46E6"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w:t>
            </w:r>
          </w:p>
        </w:tc>
      </w:tr>
      <w:tr w:rsidR="00D83248" w14:paraId="3E8B8E50"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vAlign w:val="center"/>
          </w:tcPr>
          <w:p w14:paraId="2778DB31"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MA9</w:t>
            </w:r>
          </w:p>
        </w:tc>
        <w:tc>
          <w:tcPr>
            <w:tcW w:w="1359" w:type="pct"/>
            <w:vAlign w:val="center"/>
          </w:tcPr>
          <w:p w14:paraId="627DB9F8"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its country of origin makes me uncomfortable.</w:t>
            </w:r>
          </w:p>
        </w:tc>
        <w:tc>
          <w:tcPr>
            <w:tcW w:w="360" w:type="pct"/>
            <w:vAlign w:val="center"/>
          </w:tcPr>
          <w:p w14:paraId="0C5450C3"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0.85</w:t>
            </w:r>
          </w:p>
        </w:tc>
        <w:tc>
          <w:tcPr>
            <w:tcW w:w="360" w:type="pct"/>
            <w:vAlign w:val="center"/>
          </w:tcPr>
          <w:p w14:paraId="19AB1160"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52C63CC2"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1A15B0C0"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4D2A7A29"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719D4A83"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2.145</w:t>
            </w:r>
          </w:p>
        </w:tc>
        <w:tc>
          <w:tcPr>
            <w:tcW w:w="493" w:type="pct"/>
            <w:vAlign w:val="center"/>
          </w:tcPr>
          <w:p w14:paraId="3A4078B4"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4.53</w:t>
            </w:r>
          </w:p>
        </w:tc>
        <w:tc>
          <w:tcPr>
            <w:tcW w:w="400" w:type="pct"/>
            <w:vAlign w:val="center"/>
          </w:tcPr>
          <w:p w14:paraId="566367A2"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0.07</w:t>
            </w:r>
          </w:p>
        </w:tc>
      </w:tr>
      <w:tr w:rsidR="00D83248" w14:paraId="7BCF7558"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tcBorders>
              <w:top w:val="single" w:sz="4" w:space="0" w:color="7F7F7F" w:themeColor="text1" w:themeTint="80"/>
              <w:bottom w:val="single" w:sz="4" w:space="0" w:color="7F7F7F" w:themeColor="text1" w:themeTint="80"/>
            </w:tcBorders>
            <w:vAlign w:val="center"/>
          </w:tcPr>
          <w:p w14:paraId="0ADF7273"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MA10</w:t>
            </w:r>
          </w:p>
        </w:tc>
        <w:tc>
          <w:tcPr>
            <w:tcW w:w="1359" w:type="pct"/>
            <w:tcBorders>
              <w:top w:val="single" w:sz="4" w:space="0" w:color="7F7F7F" w:themeColor="text1" w:themeTint="80"/>
              <w:bottom w:val="single" w:sz="4" w:space="0" w:color="7F7F7F" w:themeColor="text1" w:themeTint="80"/>
            </w:tcBorders>
            <w:vAlign w:val="center"/>
          </w:tcPr>
          <w:p w14:paraId="39366205"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buying it feels disloyal to local producers.</w:t>
            </w:r>
          </w:p>
        </w:tc>
        <w:tc>
          <w:tcPr>
            <w:tcW w:w="360" w:type="pct"/>
            <w:tcBorders>
              <w:top w:val="single" w:sz="4" w:space="0" w:color="7F7F7F" w:themeColor="text1" w:themeTint="80"/>
              <w:bottom w:val="single" w:sz="4" w:space="0" w:color="7F7F7F" w:themeColor="text1" w:themeTint="80"/>
            </w:tcBorders>
            <w:vAlign w:val="center"/>
          </w:tcPr>
          <w:p w14:paraId="765B3527"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0.846</w:t>
            </w:r>
          </w:p>
        </w:tc>
        <w:tc>
          <w:tcPr>
            <w:tcW w:w="360" w:type="pct"/>
            <w:tcBorders>
              <w:top w:val="single" w:sz="4" w:space="0" w:color="7F7F7F" w:themeColor="text1" w:themeTint="80"/>
              <w:bottom w:val="single" w:sz="4" w:space="0" w:color="7F7F7F" w:themeColor="text1" w:themeTint="80"/>
            </w:tcBorders>
            <w:vAlign w:val="center"/>
          </w:tcPr>
          <w:p w14:paraId="2413031E"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086B69BF"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1BC481AE"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5CAFBA04"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5C800212"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2.132</w:t>
            </w:r>
          </w:p>
        </w:tc>
        <w:tc>
          <w:tcPr>
            <w:tcW w:w="493" w:type="pct"/>
            <w:tcBorders>
              <w:top w:val="single" w:sz="4" w:space="0" w:color="7F7F7F" w:themeColor="text1" w:themeTint="80"/>
              <w:bottom w:val="single" w:sz="4" w:space="0" w:color="7F7F7F" w:themeColor="text1" w:themeTint="80"/>
            </w:tcBorders>
            <w:vAlign w:val="center"/>
          </w:tcPr>
          <w:p w14:paraId="35DC457B"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4.76</w:t>
            </w:r>
          </w:p>
        </w:tc>
        <w:tc>
          <w:tcPr>
            <w:tcW w:w="400" w:type="pct"/>
            <w:tcBorders>
              <w:top w:val="single" w:sz="4" w:space="0" w:color="7F7F7F" w:themeColor="text1" w:themeTint="80"/>
              <w:bottom w:val="single" w:sz="4" w:space="0" w:color="7F7F7F" w:themeColor="text1" w:themeTint="80"/>
            </w:tcBorders>
            <w:vAlign w:val="center"/>
          </w:tcPr>
          <w:p w14:paraId="5E624A76"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w:t>
            </w:r>
          </w:p>
        </w:tc>
      </w:tr>
      <w:tr w:rsidR="00D83248" w14:paraId="5302B097"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vAlign w:val="center"/>
          </w:tcPr>
          <w:p w14:paraId="60D5A10F"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MA11</w:t>
            </w:r>
          </w:p>
        </w:tc>
        <w:tc>
          <w:tcPr>
            <w:tcW w:w="1359" w:type="pct"/>
            <w:vAlign w:val="center"/>
          </w:tcPr>
          <w:p w14:paraId="7E90B275"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it exploits vulnerable communities.</w:t>
            </w:r>
          </w:p>
        </w:tc>
        <w:tc>
          <w:tcPr>
            <w:tcW w:w="360" w:type="pct"/>
            <w:vAlign w:val="center"/>
          </w:tcPr>
          <w:p w14:paraId="101B35EE"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0.846</w:t>
            </w:r>
          </w:p>
        </w:tc>
        <w:tc>
          <w:tcPr>
            <w:tcW w:w="360" w:type="pct"/>
            <w:vAlign w:val="center"/>
          </w:tcPr>
          <w:p w14:paraId="7EF0B603"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73838706"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17DFEDCA"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04B2148F"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3ECB71F0"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1.345</w:t>
            </w:r>
          </w:p>
        </w:tc>
        <w:tc>
          <w:tcPr>
            <w:tcW w:w="493" w:type="pct"/>
            <w:vAlign w:val="center"/>
          </w:tcPr>
          <w:p w14:paraId="1DDEE2AD"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4.89</w:t>
            </w:r>
          </w:p>
        </w:tc>
        <w:tc>
          <w:tcPr>
            <w:tcW w:w="400" w:type="pct"/>
            <w:vAlign w:val="center"/>
          </w:tcPr>
          <w:p w14:paraId="0AAABC33"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0.09</w:t>
            </w:r>
          </w:p>
        </w:tc>
      </w:tr>
      <w:tr w:rsidR="00D83248" w14:paraId="66E7A789"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tcBorders>
              <w:top w:val="single" w:sz="4" w:space="0" w:color="7F7F7F" w:themeColor="text1" w:themeTint="80"/>
              <w:bottom w:val="single" w:sz="4" w:space="0" w:color="7F7F7F" w:themeColor="text1" w:themeTint="80"/>
            </w:tcBorders>
            <w:vAlign w:val="center"/>
          </w:tcPr>
          <w:p w14:paraId="293D764F"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MA12</w:t>
            </w:r>
          </w:p>
        </w:tc>
        <w:tc>
          <w:tcPr>
            <w:tcW w:w="1359" w:type="pct"/>
            <w:tcBorders>
              <w:top w:val="single" w:sz="4" w:space="0" w:color="7F7F7F" w:themeColor="text1" w:themeTint="80"/>
              <w:bottom w:val="single" w:sz="4" w:space="0" w:color="7F7F7F" w:themeColor="text1" w:themeTint="80"/>
            </w:tcBorders>
            <w:vAlign w:val="center"/>
          </w:tcPr>
          <w:p w14:paraId="35F08C4B"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 disapprove of its political stance.</w:t>
            </w:r>
          </w:p>
        </w:tc>
        <w:tc>
          <w:tcPr>
            <w:tcW w:w="360" w:type="pct"/>
            <w:tcBorders>
              <w:top w:val="single" w:sz="4" w:space="0" w:color="7F7F7F" w:themeColor="text1" w:themeTint="80"/>
              <w:bottom w:val="single" w:sz="4" w:space="0" w:color="7F7F7F" w:themeColor="text1" w:themeTint="80"/>
            </w:tcBorders>
            <w:vAlign w:val="center"/>
          </w:tcPr>
          <w:p w14:paraId="6842D9AF"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0.842</w:t>
            </w:r>
          </w:p>
        </w:tc>
        <w:tc>
          <w:tcPr>
            <w:tcW w:w="360" w:type="pct"/>
            <w:tcBorders>
              <w:top w:val="single" w:sz="4" w:space="0" w:color="7F7F7F" w:themeColor="text1" w:themeTint="80"/>
              <w:bottom w:val="single" w:sz="4" w:space="0" w:color="7F7F7F" w:themeColor="text1" w:themeTint="80"/>
            </w:tcBorders>
            <w:vAlign w:val="center"/>
          </w:tcPr>
          <w:p w14:paraId="67A5F081"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64086E36"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3278F64B"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658D6B91"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7D648F16"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1.543</w:t>
            </w:r>
          </w:p>
        </w:tc>
        <w:tc>
          <w:tcPr>
            <w:tcW w:w="493" w:type="pct"/>
            <w:tcBorders>
              <w:top w:val="single" w:sz="4" w:space="0" w:color="7F7F7F" w:themeColor="text1" w:themeTint="80"/>
              <w:bottom w:val="single" w:sz="4" w:space="0" w:color="7F7F7F" w:themeColor="text1" w:themeTint="80"/>
            </w:tcBorders>
            <w:vAlign w:val="center"/>
          </w:tcPr>
          <w:p w14:paraId="15D23109"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3.08</w:t>
            </w:r>
          </w:p>
        </w:tc>
        <w:tc>
          <w:tcPr>
            <w:tcW w:w="400" w:type="pct"/>
            <w:tcBorders>
              <w:top w:val="single" w:sz="4" w:space="0" w:color="7F7F7F" w:themeColor="text1" w:themeTint="80"/>
              <w:bottom w:val="single" w:sz="4" w:space="0" w:color="7F7F7F" w:themeColor="text1" w:themeTint="80"/>
            </w:tcBorders>
            <w:vAlign w:val="center"/>
          </w:tcPr>
          <w:p w14:paraId="3BAFEB6E"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w:t>
            </w:r>
          </w:p>
        </w:tc>
      </w:tr>
      <w:tr w:rsidR="00D83248" w14:paraId="3E13499E"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vAlign w:val="center"/>
          </w:tcPr>
          <w:p w14:paraId="60132509"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MA13</w:t>
            </w:r>
          </w:p>
        </w:tc>
        <w:tc>
          <w:tcPr>
            <w:tcW w:w="1359" w:type="pct"/>
            <w:vAlign w:val="center"/>
          </w:tcPr>
          <w:p w14:paraId="5980A42F"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it behaves dishonestly.</w:t>
            </w:r>
          </w:p>
        </w:tc>
        <w:tc>
          <w:tcPr>
            <w:tcW w:w="360" w:type="pct"/>
            <w:vAlign w:val="center"/>
          </w:tcPr>
          <w:p w14:paraId="372777B7"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0.839</w:t>
            </w:r>
          </w:p>
        </w:tc>
        <w:tc>
          <w:tcPr>
            <w:tcW w:w="360" w:type="pct"/>
            <w:vAlign w:val="center"/>
          </w:tcPr>
          <w:p w14:paraId="00287CC1"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2C46A05A"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2C8264EE"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2166C439"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7E82764D"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1.654</w:t>
            </w:r>
          </w:p>
        </w:tc>
        <w:tc>
          <w:tcPr>
            <w:tcW w:w="493" w:type="pct"/>
            <w:vAlign w:val="center"/>
          </w:tcPr>
          <w:p w14:paraId="6E015FA1"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10.03</w:t>
            </w:r>
          </w:p>
        </w:tc>
        <w:tc>
          <w:tcPr>
            <w:tcW w:w="400" w:type="pct"/>
            <w:vAlign w:val="center"/>
          </w:tcPr>
          <w:p w14:paraId="45BEA6D6"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w:t>
            </w:r>
          </w:p>
        </w:tc>
      </w:tr>
      <w:tr w:rsidR="00D83248" w14:paraId="41613627"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tcBorders>
              <w:top w:val="single" w:sz="4" w:space="0" w:color="7F7F7F" w:themeColor="text1" w:themeTint="80"/>
              <w:bottom w:val="single" w:sz="4" w:space="0" w:color="7F7F7F" w:themeColor="text1" w:themeTint="80"/>
            </w:tcBorders>
            <w:vAlign w:val="center"/>
          </w:tcPr>
          <w:p w14:paraId="04FBFF21"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MA14</w:t>
            </w:r>
          </w:p>
        </w:tc>
        <w:tc>
          <w:tcPr>
            <w:tcW w:w="1359" w:type="pct"/>
            <w:tcBorders>
              <w:top w:val="single" w:sz="4" w:space="0" w:color="7F7F7F" w:themeColor="text1" w:themeTint="80"/>
              <w:bottom w:val="single" w:sz="4" w:space="0" w:color="7F7F7F" w:themeColor="text1" w:themeTint="80"/>
            </w:tcBorders>
            <w:vAlign w:val="center"/>
          </w:tcPr>
          <w:p w14:paraId="52774877"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it manipulates customers.</w:t>
            </w:r>
          </w:p>
        </w:tc>
        <w:tc>
          <w:tcPr>
            <w:tcW w:w="360" w:type="pct"/>
            <w:tcBorders>
              <w:top w:val="single" w:sz="4" w:space="0" w:color="7F7F7F" w:themeColor="text1" w:themeTint="80"/>
              <w:bottom w:val="single" w:sz="4" w:space="0" w:color="7F7F7F" w:themeColor="text1" w:themeTint="80"/>
            </w:tcBorders>
            <w:vAlign w:val="center"/>
          </w:tcPr>
          <w:p w14:paraId="4523CEE7"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0.833</w:t>
            </w:r>
          </w:p>
        </w:tc>
        <w:tc>
          <w:tcPr>
            <w:tcW w:w="360" w:type="pct"/>
            <w:tcBorders>
              <w:top w:val="single" w:sz="4" w:space="0" w:color="7F7F7F" w:themeColor="text1" w:themeTint="80"/>
              <w:bottom w:val="single" w:sz="4" w:space="0" w:color="7F7F7F" w:themeColor="text1" w:themeTint="80"/>
            </w:tcBorders>
            <w:vAlign w:val="center"/>
          </w:tcPr>
          <w:p w14:paraId="09C54D50"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71339DEC"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643E58D9"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46E36F3F"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1E2FABBD"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1.673</w:t>
            </w:r>
          </w:p>
        </w:tc>
        <w:tc>
          <w:tcPr>
            <w:tcW w:w="493" w:type="pct"/>
            <w:tcBorders>
              <w:top w:val="single" w:sz="4" w:space="0" w:color="7F7F7F" w:themeColor="text1" w:themeTint="80"/>
              <w:bottom w:val="single" w:sz="4" w:space="0" w:color="7F7F7F" w:themeColor="text1" w:themeTint="80"/>
            </w:tcBorders>
            <w:vAlign w:val="center"/>
          </w:tcPr>
          <w:p w14:paraId="25DC420F"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5.94</w:t>
            </w:r>
          </w:p>
        </w:tc>
        <w:tc>
          <w:tcPr>
            <w:tcW w:w="400" w:type="pct"/>
            <w:tcBorders>
              <w:top w:val="single" w:sz="4" w:space="0" w:color="7F7F7F" w:themeColor="text1" w:themeTint="80"/>
              <w:bottom w:val="single" w:sz="4" w:space="0" w:color="7F7F7F" w:themeColor="text1" w:themeTint="80"/>
            </w:tcBorders>
            <w:vAlign w:val="center"/>
          </w:tcPr>
          <w:p w14:paraId="0DDF0F78"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w:t>
            </w:r>
          </w:p>
        </w:tc>
      </w:tr>
      <w:tr w:rsidR="00D83248" w14:paraId="2083CE70"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vAlign w:val="center"/>
          </w:tcPr>
          <w:p w14:paraId="49673B8D"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MA15</w:t>
            </w:r>
          </w:p>
        </w:tc>
        <w:tc>
          <w:tcPr>
            <w:tcW w:w="1359" w:type="pct"/>
            <w:vAlign w:val="center"/>
          </w:tcPr>
          <w:p w14:paraId="186471B5"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 consider it hegemonic.</w:t>
            </w:r>
          </w:p>
        </w:tc>
        <w:tc>
          <w:tcPr>
            <w:tcW w:w="360" w:type="pct"/>
            <w:vAlign w:val="center"/>
          </w:tcPr>
          <w:p w14:paraId="606AEC4B"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0.827</w:t>
            </w:r>
          </w:p>
        </w:tc>
        <w:tc>
          <w:tcPr>
            <w:tcW w:w="360" w:type="pct"/>
            <w:vAlign w:val="center"/>
          </w:tcPr>
          <w:p w14:paraId="00F7D44A"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3E97C298"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5F112566"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2FD499BD"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0A1ABFC8"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1.997</w:t>
            </w:r>
          </w:p>
        </w:tc>
        <w:tc>
          <w:tcPr>
            <w:tcW w:w="493" w:type="pct"/>
            <w:vAlign w:val="center"/>
          </w:tcPr>
          <w:p w14:paraId="3F3C0026"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5.87</w:t>
            </w:r>
          </w:p>
        </w:tc>
        <w:tc>
          <w:tcPr>
            <w:tcW w:w="400" w:type="pct"/>
            <w:vAlign w:val="center"/>
          </w:tcPr>
          <w:p w14:paraId="7BDE76E3"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0.08</w:t>
            </w:r>
          </w:p>
        </w:tc>
      </w:tr>
      <w:tr w:rsidR="00D83248" w14:paraId="347331B1"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tcBorders>
              <w:top w:val="single" w:sz="4" w:space="0" w:color="7F7F7F" w:themeColor="text1" w:themeTint="80"/>
              <w:bottom w:val="single" w:sz="4" w:space="0" w:color="7F7F7F" w:themeColor="text1" w:themeTint="80"/>
            </w:tcBorders>
            <w:vAlign w:val="center"/>
          </w:tcPr>
          <w:p w14:paraId="7B936EC8"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MA16</w:t>
            </w:r>
          </w:p>
        </w:tc>
        <w:tc>
          <w:tcPr>
            <w:tcW w:w="1359" w:type="pct"/>
            <w:tcBorders>
              <w:top w:val="single" w:sz="4" w:space="0" w:color="7F7F7F" w:themeColor="text1" w:themeTint="80"/>
              <w:bottom w:val="single" w:sz="4" w:space="0" w:color="7F7F7F" w:themeColor="text1" w:themeTint="80"/>
            </w:tcBorders>
            <w:vAlign w:val="center"/>
          </w:tcPr>
          <w:p w14:paraId="620DF587"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its practices run counter to my ethical beliefs.</w:t>
            </w:r>
          </w:p>
        </w:tc>
        <w:tc>
          <w:tcPr>
            <w:tcW w:w="360" w:type="pct"/>
            <w:tcBorders>
              <w:top w:val="single" w:sz="4" w:space="0" w:color="7F7F7F" w:themeColor="text1" w:themeTint="80"/>
              <w:bottom w:val="single" w:sz="4" w:space="0" w:color="7F7F7F" w:themeColor="text1" w:themeTint="80"/>
            </w:tcBorders>
            <w:vAlign w:val="center"/>
          </w:tcPr>
          <w:p w14:paraId="4C911415"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0.798</w:t>
            </w:r>
          </w:p>
        </w:tc>
        <w:tc>
          <w:tcPr>
            <w:tcW w:w="360" w:type="pct"/>
            <w:tcBorders>
              <w:top w:val="single" w:sz="4" w:space="0" w:color="7F7F7F" w:themeColor="text1" w:themeTint="80"/>
              <w:bottom w:val="single" w:sz="4" w:space="0" w:color="7F7F7F" w:themeColor="text1" w:themeTint="80"/>
            </w:tcBorders>
            <w:vAlign w:val="center"/>
          </w:tcPr>
          <w:p w14:paraId="74BC53E0"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77EAA7F1"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0039B43A"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40C3C94C"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320E333E"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1.776</w:t>
            </w:r>
          </w:p>
        </w:tc>
        <w:tc>
          <w:tcPr>
            <w:tcW w:w="493" w:type="pct"/>
            <w:tcBorders>
              <w:top w:val="single" w:sz="4" w:space="0" w:color="7F7F7F" w:themeColor="text1" w:themeTint="80"/>
              <w:bottom w:val="single" w:sz="4" w:space="0" w:color="7F7F7F" w:themeColor="text1" w:themeTint="80"/>
            </w:tcBorders>
            <w:vAlign w:val="center"/>
          </w:tcPr>
          <w:p w14:paraId="65D09016"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4.52</w:t>
            </w:r>
          </w:p>
        </w:tc>
        <w:tc>
          <w:tcPr>
            <w:tcW w:w="400" w:type="pct"/>
            <w:tcBorders>
              <w:top w:val="single" w:sz="4" w:space="0" w:color="7F7F7F" w:themeColor="text1" w:themeTint="80"/>
              <w:bottom w:val="single" w:sz="4" w:space="0" w:color="7F7F7F" w:themeColor="text1" w:themeTint="80"/>
            </w:tcBorders>
            <w:vAlign w:val="center"/>
          </w:tcPr>
          <w:p w14:paraId="0D348F89"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w:t>
            </w:r>
          </w:p>
        </w:tc>
      </w:tr>
      <w:tr w:rsidR="00D83248" w14:paraId="3F3026F0"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vAlign w:val="center"/>
          </w:tcPr>
          <w:p w14:paraId="4246329C"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IA1</w:t>
            </w:r>
          </w:p>
        </w:tc>
        <w:tc>
          <w:tcPr>
            <w:tcW w:w="1359" w:type="pct"/>
            <w:vAlign w:val="center"/>
          </w:tcPr>
          <w:p w14:paraId="1A106650"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it does not align with who I am.</w:t>
            </w:r>
          </w:p>
        </w:tc>
        <w:tc>
          <w:tcPr>
            <w:tcW w:w="360" w:type="pct"/>
            <w:vAlign w:val="center"/>
          </w:tcPr>
          <w:p w14:paraId="0231C429"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4A3F1C1B"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0.896</w:t>
            </w:r>
          </w:p>
        </w:tc>
        <w:tc>
          <w:tcPr>
            <w:tcW w:w="360" w:type="pct"/>
            <w:vAlign w:val="center"/>
          </w:tcPr>
          <w:p w14:paraId="72260F06"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391B5A82"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696BF47B"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6D8F08EB"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1.746</w:t>
            </w:r>
          </w:p>
        </w:tc>
        <w:tc>
          <w:tcPr>
            <w:tcW w:w="493" w:type="pct"/>
            <w:vAlign w:val="center"/>
          </w:tcPr>
          <w:p w14:paraId="23561157"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4.03</w:t>
            </w:r>
          </w:p>
        </w:tc>
        <w:tc>
          <w:tcPr>
            <w:tcW w:w="400" w:type="pct"/>
            <w:vAlign w:val="center"/>
          </w:tcPr>
          <w:p w14:paraId="37E3F4B9"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w:t>
            </w:r>
          </w:p>
        </w:tc>
      </w:tr>
      <w:tr w:rsidR="00D83248" w14:paraId="4F9F6F7B"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tcBorders>
              <w:top w:val="single" w:sz="4" w:space="0" w:color="7F7F7F" w:themeColor="text1" w:themeTint="80"/>
              <w:bottom w:val="single" w:sz="4" w:space="0" w:color="7F7F7F" w:themeColor="text1" w:themeTint="80"/>
            </w:tcBorders>
            <w:vAlign w:val="center"/>
          </w:tcPr>
          <w:p w14:paraId="355294D6"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IA2</w:t>
            </w:r>
          </w:p>
        </w:tc>
        <w:tc>
          <w:tcPr>
            <w:tcW w:w="1359" w:type="pct"/>
            <w:tcBorders>
              <w:top w:val="single" w:sz="4" w:space="0" w:color="7F7F7F" w:themeColor="text1" w:themeTint="80"/>
              <w:bottom w:val="single" w:sz="4" w:space="0" w:color="7F7F7F" w:themeColor="text1" w:themeTint="80"/>
            </w:tcBorders>
            <w:vAlign w:val="center"/>
          </w:tcPr>
          <w:p w14:paraId="3C24B2CE"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it does not reflect my personal identity.</w:t>
            </w:r>
          </w:p>
        </w:tc>
        <w:tc>
          <w:tcPr>
            <w:tcW w:w="360" w:type="pct"/>
            <w:tcBorders>
              <w:top w:val="single" w:sz="4" w:space="0" w:color="7F7F7F" w:themeColor="text1" w:themeTint="80"/>
              <w:bottom w:val="single" w:sz="4" w:space="0" w:color="7F7F7F" w:themeColor="text1" w:themeTint="80"/>
            </w:tcBorders>
            <w:vAlign w:val="center"/>
          </w:tcPr>
          <w:p w14:paraId="66EC533D"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1342332A"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0.827</w:t>
            </w:r>
          </w:p>
        </w:tc>
        <w:tc>
          <w:tcPr>
            <w:tcW w:w="360" w:type="pct"/>
            <w:tcBorders>
              <w:top w:val="single" w:sz="4" w:space="0" w:color="7F7F7F" w:themeColor="text1" w:themeTint="80"/>
              <w:bottom w:val="single" w:sz="4" w:space="0" w:color="7F7F7F" w:themeColor="text1" w:themeTint="80"/>
            </w:tcBorders>
            <w:vAlign w:val="center"/>
          </w:tcPr>
          <w:p w14:paraId="6DB18A3A"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4F10C735"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51B72B12"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7AFC442D"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1.332</w:t>
            </w:r>
          </w:p>
        </w:tc>
        <w:tc>
          <w:tcPr>
            <w:tcW w:w="493" w:type="pct"/>
            <w:tcBorders>
              <w:top w:val="single" w:sz="4" w:space="0" w:color="7F7F7F" w:themeColor="text1" w:themeTint="80"/>
              <w:bottom w:val="single" w:sz="4" w:space="0" w:color="7F7F7F" w:themeColor="text1" w:themeTint="80"/>
            </w:tcBorders>
            <w:vAlign w:val="center"/>
          </w:tcPr>
          <w:p w14:paraId="3AD06F1B"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5.09</w:t>
            </w:r>
          </w:p>
        </w:tc>
        <w:tc>
          <w:tcPr>
            <w:tcW w:w="400" w:type="pct"/>
            <w:tcBorders>
              <w:top w:val="single" w:sz="4" w:space="0" w:color="7F7F7F" w:themeColor="text1" w:themeTint="80"/>
              <w:bottom w:val="single" w:sz="4" w:space="0" w:color="7F7F7F" w:themeColor="text1" w:themeTint="80"/>
            </w:tcBorders>
            <w:vAlign w:val="center"/>
          </w:tcPr>
          <w:p w14:paraId="694322EB"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w:t>
            </w:r>
          </w:p>
        </w:tc>
      </w:tr>
      <w:tr w:rsidR="00D83248" w14:paraId="1CA84F3E"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vAlign w:val="center"/>
          </w:tcPr>
          <w:p w14:paraId="3284A0EB"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IA3</w:t>
            </w:r>
          </w:p>
        </w:tc>
        <w:tc>
          <w:tcPr>
            <w:tcW w:w="1359" w:type="pct"/>
            <w:vAlign w:val="center"/>
          </w:tcPr>
          <w:p w14:paraId="251E2C0B"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it is associated with groups I do not want to belong to.</w:t>
            </w:r>
          </w:p>
        </w:tc>
        <w:tc>
          <w:tcPr>
            <w:tcW w:w="360" w:type="pct"/>
            <w:vAlign w:val="center"/>
          </w:tcPr>
          <w:p w14:paraId="118C5F37"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512D83D1"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0.813</w:t>
            </w:r>
          </w:p>
        </w:tc>
        <w:tc>
          <w:tcPr>
            <w:tcW w:w="360" w:type="pct"/>
            <w:vAlign w:val="center"/>
          </w:tcPr>
          <w:p w14:paraId="5A26C3AA"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1C2D2953"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0B972375"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4037EBDD"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1.213</w:t>
            </w:r>
          </w:p>
        </w:tc>
        <w:tc>
          <w:tcPr>
            <w:tcW w:w="493" w:type="pct"/>
            <w:vAlign w:val="center"/>
          </w:tcPr>
          <w:p w14:paraId="3C604524"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5.51</w:t>
            </w:r>
          </w:p>
        </w:tc>
        <w:tc>
          <w:tcPr>
            <w:tcW w:w="400" w:type="pct"/>
            <w:vAlign w:val="center"/>
          </w:tcPr>
          <w:p w14:paraId="54495756"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w:t>
            </w:r>
          </w:p>
        </w:tc>
      </w:tr>
      <w:tr w:rsidR="00D83248" w14:paraId="3B64DEEB"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tcBorders>
              <w:top w:val="single" w:sz="4" w:space="0" w:color="7F7F7F" w:themeColor="text1" w:themeTint="80"/>
              <w:bottom w:val="single" w:sz="4" w:space="0" w:color="7F7F7F" w:themeColor="text1" w:themeTint="80"/>
            </w:tcBorders>
            <w:vAlign w:val="center"/>
          </w:tcPr>
          <w:p w14:paraId="7FF4BE8F"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IA4</w:t>
            </w:r>
          </w:p>
        </w:tc>
        <w:tc>
          <w:tcPr>
            <w:tcW w:w="1359" w:type="pct"/>
            <w:tcBorders>
              <w:top w:val="single" w:sz="4" w:space="0" w:color="7F7F7F" w:themeColor="text1" w:themeTint="80"/>
              <w:bottom w:val="single" w:sz="4" w:space="0" w:color="7F7F7F" w:themeColor="text1" w:themeTint="80"/>
            </w:tcBorders>
            <w:vAlign w:val="center"/>
          </w:tcPr>
          <w:p w14:paraId="6B3F6743"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using it would make me feel less like myself.</w:t>
            </w:r>
          </w:p>
        </w:tc>
        <w:tc>
          <w:tcPr>
            <w:tcW w:w="360" w:type="pct"/>
            <w:tcBorders>
              <w:top w:val="single" w:sz="4" w:space="0" w:color="7F7F7F" w:themeColor="text1" w:themeTint="80"/>
              <w:bottom w:val="single" w:sz="4" w:space="0" w:color="7F7F7F" w:themeColor="text1" w:themeTint="80"/>
            </w:tcBorders>
            <w:vAlign w:val="center"/>
          </w:tcPr>
          <w:p w14:paraId="7A696428"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3834453F"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0.811</w:t>
            </w:r>
          </w:p>
        </w:tc>
        <w:tc>
          <w:tcPr>
            <w:tcW w:w="360" w:type="pct"/>
            <w:tcBorders>
              <w:top w:val="single" w:sz="4" w:space="0" w:color="7F7F7F" w:themeColor="text1" w:themeTint="80"/>
              <w:bottom w:val="single" w:sz="4" w:space="0" w:color="7F7F7F" w:themeColor="text1" w:themeTint="80"/>
            </w:tcBorders>
            <w:vAlign w:val="center"/>
          </w:tcPr>
          <w:p w14:paraId="48515F52"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74C2BA08"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6D67BEAA"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400A600A"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1.342</w:t>
            </w:r>
          </w:p>
        </w:tc>
        <w:tc>
          <w:tcPr>
            <w:tcW w:w="493" w:type="pct"/>
            <w:tcBorders>
              <w:top w:val="single" w:sz="4" w:space="0" w:color="7F7F7F" w:themeColor="text1" w:themeTint="80"/>
              <w:bottom w:val="single" w:sz="4" w:space="0" w:color="7F7F7F" w:themeColor="text1" w:themeTint="80"/>
            </w:tcBorders>
            <w:vAlign w:val="center"/>
          </w:tcPr>
          <w:p w14:paraId="69134934"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5.69</w:t>
            </w:r>
          </w:p>
        </w:tc>
        <w:tc>
          <w:tcPr>
            <w:tcW w:w="400" w:type="pct"/>
            <w:tcBorders>
              <w:top w:val="single" w:sz="4" w:space="0" w:color="7F7F7F" w:themeColor="text1" w:themeTint="80"/>
              <w:bottom w:val="single" w:sz="4" w:space="0" w:color="7F7F7F" w:themeColor="text1" w:themeTint="80"/>
            </w:tcBorders>
            <w:vAlign w:val="center"/>
          </w:tcPr>
          <w:p w14:paraId="23EC4D79"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w:t>
            </w:r>
          </w:p>
        </w:tc>
      </w:tr>
      <w:tr w:rsidR="00D83248" w14:paraId="50267838"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vAlign w:val="center"/>
          </w:tcPr>
          <w:p w14:paraId="27C8AD8C"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IA5</w:t>
            </w:r>
          </w:p>
        </w:tc>
        <w:tc>
          <w:tcPr>
            <w:tcW w:w="1359" w:type="pct"/>
            <w:vAlign w:val="center"/>
          </w:tcPr>
          <w:p w14:paraId="58B694F9"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it does not fit my lifestyle.</w:t>
            </w:r>
          </w:p>
        </w:tc>
        <w:tc>
          <w:tcPr>
            <w:tcW w:w="360" w:type="pct"/>
            <w:vAlign w:val="center"/>
          </w:tcPr>
          <w:p w14:paraId="6F7DE860"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4C48957F"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0.792</w:t>
            </w:r>
          </w:p>
        </w:tc>
        <w:tc>
          <w:tcPr>
            <w:tcW w:w="360" w:type="pct"/>
            <w:vAlign w:val="center"/>
          </w:tcPr>
          <w:p w14:paraId="179C1543"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59E862EF"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4328627C"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7F570BF4"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1.902</w:t>
            </w:r>
          </w:p>
        </w:tc>
        <w:tc>
          <w:tcPr>
            <w:tcW w:w="493" w:type="pct"/>
            <w:vAlign w:val="center"/>
          </w:tcPr>
          <w:p w14:paraId="497298D6"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5.31</w:t>
            </w:r>
          </w:p>
        </w:tc>
        <w:tc>
          <w:tcPr>
            <w:tcW w:w="400" w:type="pct"/>
            <w:vAlign w:val="center"/>
          </w:tcPr>
          <w:p w14:paraId="4C5E13B2"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w:t>
            </w:r>
          </w:p>
        </w:tc>
      </w:tr>
      <w:tr w:rsidR="00D83248" w14:paraId="3CD7034A"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tcBorders>
              <w:top w:val="single" w:sz="4" w:space="0" w:color="7F7F7F" w:themeColor="text1" w:themeTint="80"/>
              <w:bottom w:val="single" w:sz="4" w:space="0" w:color="7F7F7F" w:themeColor="text1" w:themeTint="80"/>
            </w:tcBorders>
            <w:vAlign w:val="center"/>
          </w:tcPr>
          <w:p w14:paraId="6EDECD0A"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IA6</w:t>
            </w:r>
          </w:p>
        </w:tc>
        <w:tc>
          <w:tcPr>
            <w:tcW w:w="1359" w:type="pct"/>
            <w:tcBorders>
              <w:top w:val="single" w:sz="4" w:space="0" w:color="7F7F7F" w:themeColor="text1" w:themeTint="80"/>
              <w:bottom w:val="single" w:sz="4" w:space="0" w:color="7F7F7F" w:themeColor="text1" w:themeTint="80"/>
            </w:tcBorders>
            <w:vAlign w:val="center"/>
          </w:tcPr>
          <w:p w14:paraId="746CEA85"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its values differ from mine.</w:t>
            </w:r>
          </w:p>
        </w:tc>
        <w:tc>
          <w:tcPr>
            <w:tcW w:w="360" w:type="pct"/>
            <w:tcBorders>
              <w:top w:val="single" w:sz="4" w:space="0" w:color="7F7F7F" w:themeColor="text1" w:themeTint="80"/>
              <w:bottom w:val="single" w:sz="4" w:space="0" w:color="7F7F7F" w:themeColor="text1" w:themeTint="80"/>
            </w:tcBorders>
            <w:vAlign w:val="center"/>
          </w:tcPr>
          <w:p w14:paraId="116DF41E"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423AE9DB"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0.783</w:t>
            </w:r>
          </w:p>
        </w:tc>
        <w:tc>
          <w:tcPr>
            <w:tcW w:w="360" w:type="pct"/>
            <w:tcBorders>
              <w:top w:val="single" w:sz="4" w:space="0" w:color="7F7F7F" w:themeColor="text1" w:themeTint="80"/>
              <w:bottom w:val="single" w:sz="4" w:space="0" w:color="7F7F7F" w:themeColor="text1" w:themeTint="80"/>
            </w:tcBorders>
            <w:vAlign w:val="center"/>
          </w:tcPr>
          <w:p w14:paraId="692A50EC"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176F49D3"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236FE032"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15F8AF04"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1.402</w:t>
            </w:r>
          </w:p>
        </w:tc>
        <w:tc>
          <w:tcPr>
            <w:tcW w:w="493" w:type="pct"/>
            <w:tcBorders>
              <w:top w:val="single" w:sz="4" w:space="0" w:color="7F7F7F" w:themeColor="text1" w:themeTint="80"/>
              <w:bottom w:val="single" w:sz="4" w:space="0" w:color="7F7F7F" w:themeColor="text1" w:themeTint="80"/>
            </w:tcBorders>
            <w:vAlign w:val="center"/>
          </w:tcPr>
          <w:p w14:paraId="005EDF8F"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4.33</w:t>
            </w:r>
          </w:p>
        </w:tc>
        <w:tc>
          <w:tcPr>
            <w:tcW w:w="400" w:type="pct"/>
            <w:tcBorders>
              <w:top w:val="single" w:sz="4" w:space="0" w:color="7F7F7F" w:themeColor="text1" w:themeTint="80"/>
              <w:bottom w:val="single" w:sz="4" w:space="0" w:color="7F7F7F" w:themeColor="text1" w:themeTint="80"/>
            </w:tcBorders>
            <w:vAlign w:val="center"/>
          </w:tcPr>
          <w:p w14:paraId="52B31FC7"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0.01</w:t>
            </w:r>
          </w:p>
        </w:tc>
      </w:tr>
      <w:tr w:rsidR="00D83248" w14:paraId="1C513CCB"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vAlign w:val="center"/>
          </w:tcPr>
          <w:p w14:paraId="1FA608A0"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IA7</w:t>
            </w:r>
          </w:p>
        </w:tc>
        <w:tc>
          <w:tcPr>
            <w:tcW w:w="1359" w:type="pct"/>
            <w:vAlign w:val="center"/>
          </w:tcPr>
          <w:p w14:paraId="3FA59454"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it is too familiar and makes me feel less unique.</w:t>
            </w:r>
          </w:p>
        </w:tc>
        <w:tc>
          <w:tcPr>
            <w:tcW w:w="360" w:type="pct"/>
            <w:vAlign w:val="center"/>
          </w:tcPr>
          <w:p w14:paraId="4E3828D1"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5B82ACA5"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0.779</w:t>
            </w:r>
          </w:p>
        </w:tc>
        <w:tc>
          <w:tcPr>
            <w:tcW w:w="360" w:type="pct"/>
            <w:vAlign w:val="center"/>
          </w:tcPr>
          <w:p w14:paraId="3F262429"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35461A27"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5D661B2A"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312D01A9"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1.832</w:t>
            </w:r>
          </w:p>
        </w:tc>
        <w:tc>
          <w:tcPr>
            <w:tcW w:w="493" w:type="pct"/>
            <w:vAlign w:val="center"/>
          </w:tcPr>
          <w:p w14:paraId="26A57D59"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2.31</w:t>
            </w:r>
          </w:p>
        </w:tc>
        <w:tc>
          <w:tcPr>
            <w:tcW w:w="400" w:type="pct"/>
            <w:vAlign w:val="center"/>
          </w:tcPr>
          <w:p w14:paraId="35C687B7"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w:t>
            </w:r>
          </w:p>
        </w:tc>
      </w:tr>
      <w:tr w:rsidR="00D83248" w14:paraId="756AE711"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tcBorders>
              <w:top w:val="single" w:sz="4" w:space="0" w:color="7F7F7F" w:themeColor="text1" w:themeTint="80"/>
              <w:bottom w:val="single" w:sz="4" w:space="0" w:color="7F7F7F" w:themeColor="text1" w:themeTint="80"/>
            </w:tcBorders>
            <w:vAlign w:val="center"/>
          </w:tcPr>
          <w:p w14:paraId="7395EBE5"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IA8</w:t>
            </w:r>
          </w:p>
        </w:tc>
        <w:tc>
          <w:tcPr>
            <w:tcW w:w="1359" w:type="pct"/>
            <w:tcBorders>
              <w:top w:val="single" w:sz="4" w:space="0" w:color="7F7F7F" w:themeColor="text1" w:themeTint="80"/>
              <w:bottom w:val="single" w:sz="4" w:space="0" w:color="7F7F7F" w:themeColor="text1" w:themeTint="80"/>
            </w:tcBorders>
            <w:vAlign w:val="center"/>
          </w:tcPr>
          <w:p w14:paraId="59879A37"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too many people use it.</w:t>
            </w:r>
          </w:p>
        </w:tc>
        <w:tc>
          <w:tcPr>
            <w:tcW w:w="360" w:type="pct"/>
            <w:tcBorders>
              <w:top w:val="single" w:sz="4" w:space="0" w:color="7F7F7F" w:themeColor="text1" w:themeTint="80"/>
              <w:bottom w:val="single" w:sz="4" w:space="0" w:color="7F7F7F" w:themeColor="text1" w:themeTint="80"/>
            </w:tcBorders>
            <w:vAlign w:val="center"/>
          </w:tcPr>
          <w:p w14:paraId="42340AB8"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618C0D68"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0.775</w:t>
            </w:r>
          </w:p>
        </w:tc>
        <w:tc>
          <w:tcPr>
            <w:tcW w:w="360" w:type="pct"/>
            <w:tcBorders>
              <w:top w:val="single" w:sz="4" w:space="0" w:color="7F7F7F" w:themeColor="text1" w:themeTint="80"/>
              <w:bottom w:val="single" w:sz="4" w:space="0" w:color="7F7F7F" w:themeColor="text1" w:themeTint="80"/>
            </w:tcBorders>
            <w:vAlign w:val="center"/>
          </w:tcPr>
          <w:p w14:paraId="54EB4372"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60873F22"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3F8DE992"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4246674C"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2.332</w:t>
            </w:r>
          </w:p>
        </w:tc>
        <w:tc>
          <w:tcPr>
            <w:tcW w:w="493" w:type="pct"/>
            <w:tcBorders>
              <w:top w:val="single" w:sz="4" w:space="0" w:color="7F7F7F" w:themeColor="text1" w:themeTint="80"/>
              <w:bottom w:val="single" w:sz="4" w:space="0" w:color="7F7F7F" w:themeColor="text1" w:themeTint="80"/>
            </w:tcBorders>
            <w:vAlign w:val="center"/>
          </w:tcPr>
          <w:p w14:paraId="21F59F9C"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2.01</w:t>
            </w:r>
          </w:p>
        </w:tc>
        <w:tc>
          <w:tcPr>
            <w:tcW w:w="400" w:type="pct"/>
            <w:tcBorders>
              <w:top w:val="single" w:sz="4" w:space="0" w:color="7F7F7F" w:themeColor="text1" w:themeTint="80"/>
              <w:bottom w:val="single" w:sz="4" w:space="0" w:color="7F7F7F" w:themeColor="text1" w:themeTint="80"/>
            </w:tcBorders>
            <w:vAlign w:val="center"/>
          </w:tcPr>
          <w:p w14:paraId="66F8E4B5"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w:t>
            </w:r>
          </w:p>
        </w:tc>
      </w:tr>
      <w:tr w:rsidR="00D83248" w14:paraId="59FFEB25"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vAlign w:val="center"/>
          </w:tcPr>
          <w:p w14:paraId="212F65EC"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IA9</w:t>
            </w:r>
          </w:p>
        </w:tc>
        <w:tc>
          <w:tcPr>
            <w:tcW w:w="1359" w:type="pct"/>
            <w:vAlign w:val="center"/>
          </w:tcPr>
          <w:p w14:paraId="3265D432"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it is inauthentic.</w:t>
            </w:r>
          </w:p>
        </w:tc>
        <w:tc>
          <w:tcPr>
            <w:tcW w:w="360" w:type="pct"/>
            <w:vAlign w:val="center"/>
          </w:tcPr>
          <w:p w14:paraId="078A4441"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5E692D08"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0.769</w:t>
            </w:r>
          </w:p>
        </w:tc>
        <w:tc>
          <w:tcPr>
            <w:tcW w:w="360" w:type="pct"/>
            <w:vAlign w:val="center"/>
          </w:tcPr>
          <w:p w14:paraId="03F16753"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5F157F57"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56C3228B"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17110497"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2.892</w:t>
            </w:r>
          </w:p>
        </w:tc>
        <w:tc>
          <w:tcPr>
            <w:tcW w:w="493" w:type="pct"/>
            <w:vAlign w:val="center"/>
          </w:tcPr>
          <w:p w14:paraId="02E9E362"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10.1</w:t>
            </w:r>
          </w:p>
        </w:tc>
        <w:tc>
          <w:tcPr>
            <w:tcW w:w="400" w:type="pct"/>
            <w:vAlign w:val="center"/>
          </w:tcPr>
          <w:p w14:paraId="61C4E7DD"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w:t>
            </w:r>
          </w:p>
        </w:tc>
      </w:tr>
      <w:tr w:rsidR="00D83248" w14:paraId="008F80E3"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tcBorders>
              <w:top w:val="single" w:sz="4" w:space="0" w:color="7F7F7F" w:themeColor="text1" w:themeTint="80"/>
              <w:bottom w:val="single" w:sz="4" w:space="0" w:color="7F7F7F" w:themeColor="text1" w:themeTint="80"/>
            </w:tcBorders>
            <w:vAlign w:val="center"/>
          </w:tcPr>
          <w:p w14:paraId="49ECBD76"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IA10</w:t>
            </w:r>
          </w:p>
        </w:tc>
        <w:tc>
          <w:tcPr>
            <w:tcW w:w="1359" w:type="pct"/>
            <w:tcBorders>
              <w:top w:val="single" w:sz="4" w:space="0" w:color="7F7F7F" w:themeColor="text1" w:themeTint="80"/>
              <w:bottom w:val="single" w:sz="4" w:space="0" w:color="7F7F7F" w:themeColor="text1" w:themeTint="80"/>
            </w:tcBorders>
            <w:vAlign w:val="center"/>
          </w:tcPr>
          <w:p w14:paraId="1A2D3B99"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it lacks originality.</w:t>
            </w:r>
          </w:p>
        </w:tc>
        <w:tc>
          <w:tcPr>
            <w:tcW w:w="360" w:type="pct"/>
            <w:tcBorders>
              <w:top w:val="single" w:sz="4" w:space="0" w:color="7F7F7F" w:themeColor="text1" w:themeTint="80"/>
              <w:bottom w:val="single" w:sz="4" w:space="0" w:color="7F7F7F" w:themeColor="text1" w:themeTint="80"/>
            </w:tcBorders>
            <w:vAlign w:val="center"/>
          </w:tcPr>
          <w:p w14:paraId="54542D5B"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3C5CCE8E"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0.769</w:t>
            </w:r>
          </w:p>
        </w:tc>
        <w:tc>
          <w:tcPr>
            <w:tcW w:w="360" w:type="pct"/>
            <w:tcBorders>
              <w:top w:val="single" w:sz="4" w:space="0" w:color="7F7F7F" w:themeColor="text1" w:themeTint="80"/>
              <w:bottom w:val="single" w:sz="4" w:space="0" w:color="7F7F7F" w:themeColor="text1" w:themeTint="80"/>
            </w:tcBorders>
            <w:vAlign w:val="center"/>
          </w:tcPr>
          <w:p w14:paraId="4F6CF6E6"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2248C32D"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5C746538"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785C074E"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2.198</w:t>
            </w:r>
          </w:p>
        </w:tc>
        <w:tc>
          <w:tcPr>
            <w:tcW w:w="493" w:type="pct"/>
            <w:tcBorders>
              <w:top w:val="single" w:sz="4" w:space="0" w:color="7F7F7F" w:themeColor="text1" w:themeTint="80"/>
              <w:bottom w:val="single" w:sz="4" w:space="0" w:color="7F7F7F" w:themeColor="text1" w:themeTint="80"/>
            </w:tcBorders>
            <w:vAlign w:val="center"/>
          </w:tcPr>
          <w:p w14:paraId="7D91461A"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3.34</w:t>
            </w:r>
          </w:p>
        </w:tc>
        <w:tc>
          <w:tcPr>
            <w:tcW w:w="400" w:type="pct"/>
            <w:tcBorders>
              <w:top w:val="single" w:sz="4" w:space="0" w:color="7F7F7F" w:themeColor="text1" w:themeTint="80"/>
              <w:bottom w:val="single" w:sz="4" w:space="0" w:color="7F7F7F" w:themeColor="text1" w:themeTint="80"/>
            </w:tcBorders>
            <w:vAlign w:val="center"/>
          </w:tcPr>
          <w:p w14:paraId="493B3C92"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w:t>
            </w:r>
          </w:p>
        </w:tc>
      </w:tr>
      <w:tr w:rsidR="00D83248" w14:paraId="3EBB52C7"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vAlign w:val="center"/>
          </w:tcPr>
          <w:p w14:paraId="1C5041C2"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IA11</w:t>
            </w:r>
          </w:p>
        </w:tc>
        <w:tc>
          <w:tcPr>
            <w:tcW w:w="1359" w:type="pct"/>
            <w:vAlign w:val="center"/>
          </w:tcPr>
          <w:p w14:paraId="4DF77948"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it makes me feel stereotyped.</w:t>
            </w:r>
          </w:p>
        </w:tc>
        <w:tc>
          <w:tcPr>
            <w:tcW w:w="360" w:type="pct"/>
            <w:vAlign w:val="center"/>
          </w:tcPr>
          <w:p w14:paraId="29F4A147"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28DBE1FB"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0.764</w:t>
            </w:r>
          </w:p>
        </w:tc>
        <w:tc>
          <w:tcPr>
            <w:tcW w:w="360" w:type="pct"/>
            <w:vAlign w:val="center"/>
          </w:tcPr>
          <w:p w14:paraId="16793513"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42F5DA0B"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6CBA9E0D"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4E4E528E"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2.102</w:t>
            </w:r>
          </w:p>
        </w:tc>
        <w:tc>
          <w:tcPr>
            <w:tcW w:w="493" w:type="pct"/>
            <w:vAlign w:val="center"/>
          </w:tcPr>
          <w:p w14:paraId="2DC1F8EA"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3.39</w:t>
            </w:r>
          </w:p>
        </w:tc>
        <w:tc>
          <w:tcPr>
            <w:tcW w:w="400" w:type="pct"/>
            <w:vAlign w:val="center"/>
          </w:tcPr>
          <w:p w14:paraId="0576EEFF"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0.02</w:t>
            </w:r>
          </w:p>
        </w:tc>
      </w:tr>
      <w:tr w:rsidR="00D83248" w14:paraId="7AE32D35"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tcBorders>
              <w:top w:val="single" w:sz="4" w:space="0" w:color="7F7F7F" w:themeColor="text1" w:themeTint="80"/>
              <w:bottom w:val="single" w:sz="4" w:space="0" w:color="7F7F7F" w:themeColor="text1" w:themeTint="80"/>
            </w:tcBorders>
            <w:vAlign w:val="center"/>
          </w:tcPr>
          <w:p w14:paraId="3363613A"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IA12</w:t>
            </w:r>
          </w:p>
        </w:tc>
        <w:tc>
          <w:tcPr>
            <w:tcW w:w="1359" w:type="pct"/>
            <w:tcBorders>
              <w:top w:val="single" w:sz="4" w:space="0" w:color="7F7F7F" w:themeColor="text1" w:themeTint="80"/>
              <w:bottom w:val="single" w:sz="4" w:space="0" w:color="7F7F7F" w:themeColor="text1" w:themeTint="80"/>
            </w:tcBorders>
            <w:vAlign w:val="center"/>
          </w:tcPr>
          <w:p w14:paraId="0695CC1C"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it makes me feel like part of an undesirable group.</w:t>
            </w:r>
          </w:p>
        </w:tc>
        <w:tc>
          <w:tcPr>
            <w:tcW w:w="360" w:type="pct"/>
            <w:tcBorders>
              <w:top w:val="single" w:sz="4" w:space="0" w:color="7F7F7F" w:themeColor="text1" w:themeTint="80"/>
              <w:bottom w:val="single" w:sz="4" w:space="0" w:color="7F7F7F" w:themeColor="text1" w:themeTint="80"/>
            </w:tcBorders>
            <w:vAlign w:val="center"/>
          </w:tcPr>
          <w:p w14:paraId="3BC40013"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6943B1B1"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0.75</w:t>
            </w:r>
          </w:p>
        </w:tc>
        <w:tc>
          <w:tcPr>
            <w:tcW w:w="360" w:type="pct"/>
            <w:tcBorders>
              <w:top w:val="single" w:sz="4" w:space="0" w:color="7F7F7F" w:themeColor="text1" w:themeTint="80"/>
              <w:bottom w:val="single" w:sz="4" w:space="0" w:color="7F7F7F" w:themeColor="text1" w:themeTint="80"/>
            </w:tcBorders>
            <w:vAlign w:val="center"/>
          </w:tcPr>
          <w:p w14:paraId="6504B681"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00DA5F97"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5491C679"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7777E6A6"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1.552</w:t>
            </w:r>
          </w:p>
        </w:tc>
        <w:tc>
          <w:tcPr>
            <w:tcW w:w="493" w:type="pct"/>
            <w:tcBorders>
              <w:top w:val="single" w:sz="4" w:space="0" w:color="7F7F7F" w:themeColor="text1" w:themeTint="80"/>
              <w:bottom w:val="single" w:sz="4" w:space="0" w:color="7F7F7F" w:themeColor="text1" w:themeTint="80"/>
            </w:tcBorders>
            <w:vAlign w:val="center"/>
          </w:tcPr>
          <w:p w14:paraId="4DD859AD"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3.38</w:t>
            </w:r>
          </w:p>
        </w:tc>
        <w:tc>
          <w:tcPr>
            <w:tcW w:w="400" w:type="pct"/>
            <w:tcBorders>
              <w:top w:val="single" w:sz="4" w:space="0" w:color="7F7F7F" w:themeColor="text1" w:themeTint="80"/>
              <w:bottom w:val="single" w:sz="4" w:space="0" w:color="7F7F7F" w:themeColor="text1" w:themeTint="80"/>
            </w:tcBorders>
            <w:vAlign w:val="center"/>
          </w:tcPr>
          <w:p w14:paraId="7FF526EC"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w:t>
            </w:r>
          </w:p>
        </w:tc>
      </w:tr>
      <w:tr w:rsidR="00D83248" w14:paraId="7FA355B4"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vAlign w:val="center"/>
          </w:tcPr>
          <w:p w14:paraId="784A45A8"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EA1</w:t>
            </w:r>
          </w:p>
        </w:tc>
        <w:tc>
          <w:tcPr>
            <w:tcW w:w="1359" w:type="pct"/>
            <w:vAlign w:val="center"/>
          </w:tcPr>
          <w:p w14:paraId="545F4487"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 had a bad experience with it.</w:t>
            </w:r>
          </w:p>
        </w:tc>
        <w:tc>
          <w:tcPr>
            <w:tcW w:w="360" w:type="pct"/>
            <w:vAlign w:val="center"/>
          </w:tcPr>
          <w:p w14:paraId="65D4CAAE"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2F7054AC"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036D0DB3"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0.824</w:t>
            </w:r>
          </w:p>
        </w:tc>
        <w:tc>
          <w:tcPr>
            <w:tcW w:w="360" w:type="pct"/>
            <w:vAlign w:val="center"/>
          </w:tcPr>
          <w:p w14:paraId="09B33CE2"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3C336E10"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1C122BFD"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1.55</w:t>
            </w:r>
          </w:p>
        </w:tc>
        <w:tc>
          <w:tcPr>
            <w:tcW w:w="493" w:type="pct"/>
            <w:vAlign w:val="center"/>
          </w:tcPr>
          <w:p w14:paraId="002E4A07"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2.21</w:t>
            </w:r>
          </w:p>
        </w:tc>
        <w:tc>
          <w:tcPr>
            <w:tcW w:w="400" w:type="pct"/>
            <w:vAlign w:val="center"/>
          </w:tcPr>
          <w:p w14:paraId="0ADA9C1A"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w:t>
            </w:r>
          </w:p>
        </w:tc>
      </w:tr>
      <w:tr w:rsidR="00D83248" w14:paraId="3DBB36DB"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tcBorders>
              <w:top w:val="single" w:sz="4" w:space="0" w:color="7F7F7F" w:themeColor="text1" w:themeTint="80"/>
              <w:bottom w:val="single" w:sz="4" w:space="0" w:color="7F7F7F" w:themeColor="text1" w:themeTint="80"/>
            </w:tcBorders>
            <w:vAlign w:val="center"/>
          </w:tcPr>
          <w:p w14:paraId="381BD4D1"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EA2</w:t>
            </w:r>
          </w:p>
        </w:tc>
        <w:tc>
          <w:tcPr>
            <w:tcW w:w="1359" w:type="pct"/>
            <w:tcBorders>
              <w:top w:val="single" w:sz="4" w:space="0" w:color="7F7F7F" w:themeColor="text1" w:themeTint="80"/>
              <w:bottom w:val="single" w:sz="4" w:space="0" w:color="7F7F7F" w:themeColor="text1" w:themeTint="80"/>
            </w:tcBorders>
            <w:vAlign w:val="center"/>
          </w:tcPr>
          <w:p w14:paraId="1EC018FD"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it failed to meet my expectations.</w:t>
            </w:r>
          </w:p>
        </w:tc>
        <w:tc>
          <w:tcPr>
            <w:tcW w:w="360" w:type="pct"/>
            <w:tcBorders>
              <w:top w:val="single" w:sz="4" w:space="0" w:color="7F7F7F" w:themeColor="text1" w:themeTint="80"/>
              <w:bottom w:val="single" w:sz="4" w:space="0" w:color="7F7F7F" w:themeColor="text1" w:themeTint="80"/>
            </w:tcBorders>
            <w:vAlign w:val="center"/>
          </w:tcPr>
          <w:p w14:paraId="4A8B6B31"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619C0300"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392C0CCA"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0.822</w:t>
            </w:r>
          </w:p>
        </w:tc>
        <w:tc>
          <w:tcPr>
            <w:tcW w:w="360" w:type="pct"/>
            <w:tcBorders>
              <w:top w:val="single" w:sz="4" w:space="0" w:color="7F7F7F" w:themeColor="text1" w:themeTint="80"/>
              <w:bottom w:val="single" w:sz="4" w:space="0" w:color="7F7F7F" w:themeColor="text1" w:themeTint="80"/>
            </w:tcBorders>
            <w:vAlign w:val="center"/>
          </w:tcPr>
          <w:p w14:paraId="69F36989"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3A24A9E7"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2B96C36F"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1.345</w:t>
            </w:r>
          </w:p>
        </w:tc>
        <w:tc>
          <w:tcPr>
            <w:tcW w:w="493" w:type="pct"/>
            <w:tcBorders>
              <w:top w:val="single" w:sz="4" w:space="0" w:color="7F7F7F" w:themeColor="text1" w:themeTint="80"/>
              <w:bottom w:val="single" w:sz="4" w:space="0" w:color="7F7F7F" w:themeColor="text1" w:themeTint="80"/>
            </w:tcBorders>
            <w:vAlign w:val="center"/>
          </w:tcPr>
          <w:p w14:paraId="51D43BDC"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2.27</w:t>
            </w:r>
          </w:p>
        </w:tc>
        <w:tc>
          <w:tcPr>
            <w:tcW w:w="400" w:type="pct"/>
            <w:tcBorders>
              <w:top w:val="single" w:sz="4" w:space="0" w:color="7F7F7F" w:themeColor="text1" w:themeTint="80"/>
              <w:bottom w:val="single" w:sz="4" w:space="0" w:color="7F7F7F" w:themeColor="text1" w:themeTint="80"/>
            </w:tcBorders>
            <w:vAlign w:val="center"/>
          </w:tcPr>
          <w:p w14:paraId="56094C26"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w:t>
            </w:r>
          </w:p>
        </w:tc>
      </w:tr>
      <w:tr w:rsidR="00D83248" w14:paraId="00FD72B4"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vAlign w:val="center"/>
          </w:tcPr>
          <w:p w14:paraId="52343C5C"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EA3</w:t>
            </w:r>
          </w:p>
        </w:tc>
        <w:tc>
          <w:tcPr>
            <w:tcW w:w="1359" w:type="pct"/>
            <w:vAlign w:val="center"/>
          </w:tcPr>
          <w:p w14:paraId="38FC763B"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its services disappointed me.</w:t>
            </w:r>
          </w:p>
        </w:tc>
        <w:tc>
          <w:tcPr>
            <w:tcW w:w="360" w:type="pct"/>
            <w:vAlign w:val="center"/>
          </w:tcPr>
          <w:p w14:paraId="485082FC"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53BDD74F"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34F9E2C4"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0.822</w:t>
            </w:r>
          </w:p>
        </w:tc>
        <w:tc>
          <w:tcPr>
            <w:tcW w:w="360" w:type="pct"/>
            <w:vAlign w:val="center"/>
          </w:tcPr>
          <w:p w14:paraId="717D56B6"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70747854"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3F39243A"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1.432</w:t>
            </w:r>
          </w:p>
        </w:tc>
        <w:tc>
          <w:tcPr>
            <w:tcW w:w="493" w:type="pct"/>
            <w:vAlign w:val="center"/>
          </w:tcPr>
          <w:p w14:paraId="0E2FACB3"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2.38</w:t>
            </w:r>
          </w:p>
        </w:tc>
        <w:tc>
          <w:tcPr>
            <w:tcW w:w="400" w:type="pct"/>
            <w:vAlign w:val="center"/>
          </w:tcPr>
          <w:p w14:paraId="56010A85"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w:t>
            </w:r>
          </w:p>
        </w:tc>
      </w:tr>
      <w:tr w:rsidR="00D83248" w14:paraId="35668FB7"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tcBorders>
              <w:top w:val="single" w:sz="4" w:space="0" w:color="7F7F7F" w:themeColor="text1" w:themeTint="80"/>
              <w:bottom w:val="single" w:sz="4" w:space="0" w:color="7F7F7F" w:themeColor="text1" w:themeTint="80"/>
            </w:tcBorders>
            <w:vAlign w:val="center"/>
          </w:tcPr>
          <w:p w14:paraId="16260376"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EA4</w:t>
            </w:r>
          </w:p>
        </w:tc>
        <w:tc>
          <w:tcPr>
            <w:tcW w:w="1359" w:type="pct"/>
            <w:tcBorders>
              <w:top w:val="single" w:sz="4" w:space="0" w:color="7F7F7F" w:themeColor="text1" w:themeTint="80"/>
              <w:bottom w:val="single" w:sz="4" w:space="0" w:color="7F7F7F" w:themeColor="text1" w:themeTint="80"/>
            </w:tcBorders>
            <w:vAlign w:val="center"/>
          </w:tcPr>
          <w:p w14:paraId="4B5F95D1"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it broke its promises.</w:t>
            </w:r>
          </w:p>
        </w:tc>
        <w:tc>
          <w:tcPr>
            <w:tcW w:w="360" w:type="pct"/>
            <w:tcBorders>
              <w:top w:val="single" w:sz="4" w:space="0" w:color="7F7F7F" w:themeColor="text1" w:themeTint="80"/>
              <w:bottom w:val="single" w:sz="4" w:space="0" w:color="7F7F7F" w:themeColor="text1" w:themeTint="80"/>
            </w:tcBorders>
            <w:vAlign w:val="center"/>
          </w:tcPr>
          <w:p w14:paraId="2D035100"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73473587"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0DDD75A8"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0.815</w:t>
            </w:r>
          </w:p>
        </w:tc>
        <w:tc>
          <w:tcPr>
            <w:tcW w:w="360" w:type="pct"/>
            <w:tcBorders>
              <w:top w:val="single" w:sz="4" w:space="0" w:color="7F7F7F" w:themeColor="text1" w:themeTint="80"/>
              <w:bottom w:val="single" w:sz="4" w:space="0" w:color="7F7F7F" w:themeColor="text1" w:themeTint="80"/>
            </w:tcBorders>
            <w:vAlign w:val="center"/>
          </w:tcPr>
          <w:p w14:paraId="03F75A05"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434516D5"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4C89B8E1"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1.532</w:t>
            </w:r>
          </w:p>
        </w:tc>
        <w:tc>
          <w:tcPr>
            <w:tcW w:w="493" w:type="pct"/>
            <w:tcBorders>
              <w:top w:val="single" w:sz="4" w:space="0" w:color="7F7F7F" w:themeColor="text1" w:themeTint="80"/>
              <w:bottom w:val="single" w:sz="4" w:space="0" w:color="7F7F7F" w:themeColor="text1" w:themeTint="80"/>
            </w:tcBorders>
            <w:vAlign w:val="center"/>
          </w:tcPr>
          <w:p w14:paraId="5A865EDC"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10.09</w:t>
            </w:r>
          </w:p>
        </w:tc>
        <w:tc>
          <w:tcPr>
            <w:tcW w:w="400" w:type="pct"/>
            <w:tcBorders>
              <w:top w:val="single" w:sz="4" w:space="0" w:color="7F7F7F" w:themeColor="text1" w:themeTint="80"/>
              <w:bottom w:val="single" w:sz="4" w:space="0" w:color="7F7F7F" w:themeColor="text1" w:themeTint="80"/>
            </w:tcBorders>
            <w:vAlign w:val="center"/>
          </w:tcPr>
          <w:p w14:paraId="6FF216EE"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w:t>
            </w:r>
          </w:p>
        </w:tc>
      </w:tr>
      <w:tr w:rsidR="00D83248" w14:paraId="6FAFDD48"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vAlign w:val="center"/>
          </w:tcPr>
          <w:p w14:paraId="3AA41EA5"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EA5</w:t>
            </w:r>
          </w:p>
        </w:tc>
        <w:tc>
          <w:tcPr>
            <w:tcW w:w="1359" w:type="pct"/>
            <w:vAlign w:val="center"/>
          </w:tcPr>
          <w:p w14:paraId="45387E80"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its products are of poor quality.</w:t>
            </w:r>
          </w:p>
        </w:tc>
        <w:tc>
          <w:tcPr>
            <w:tcW w:w="360" w:type="pct"/>
            <w:vAlign w:val="center"/>
          </w:tcPr>
          <w:p w14:paraId="2359D72F"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48A0E204"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5F0B9947"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0.81</w:t>
            </w:r>
          </w:p>
        </w:tc>
        <w:tc>
          <w:tcPr>
            <w:tcW w:w="360" w:type="pct"/>
            <w:vAlign w:val="center"/>
          </w:tcPr>
          <w:p w14:paraId="5B043339"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4B2E0A44"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404CB682"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1.003</w:t>
            </w:r>
          </w:p>
        </w:tc>
        <w:tc>
          <w:tcPr>
            <w:tcW w:w="493" w:type="pct"/>
            <w:vAlign w:val="center"/>
          </w:tcPr>
          <w:p w14:paraId="5A0270F7"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6.78</w:t>
            </w:r>
          </w:p>
        </w:tc>
        <w:tc>
          <w:tcPr>
            <w:tcW w:w="400" w:type="pct"/>
            <w:vAlign w:val="center"/>
          </w:tcPr>
          <w:p w14:paraId="2AB4A878"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w:t>
            </w:r>
          </w:p>
        </w:tc>
      </w:tr>
      <w:tr w:rsidR="00D83248" w14:paraId="4A280D0A"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tcBorders>
              <w:top w:val="single" w:sz="4" w:space="0" w:color="7F7F7F" w:themeColor="text1" w:themeTint="80"/>
              <w:bottom w:val="single" w:sz="4" w:space="0" w:color="7F7F7F" w:themeColor="text1" w:themeTint="80"/>
            </w:tcBorders>
            <w:vAlign w:val="center"/>
          </w:tcPr>
          <w:p w14:paraId="48C8FD41"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EA6</w:t>
            </w:r>
          </w:p>
        </w:tc>
        <w:tc>
          <w:tcPr>
            <w:tcW w:w="1359" w:type="pct"/>
            <w:tcBorders>
              <w:top w:val="single" w:sz="4" w:space="0" w:color="7F7F7F" w:themeColor="text1" w:themeTint="80"/>
              <w:bottom w:val="single" w:sz="4" w:space="0" w:color="7F7F7F" w:themeColor="text1" w:themeTint="80"/>
            </w:tcBorders>
            <w:vAlign w:val="center"/>
          </w:tcPr>
          <w:p w14:paraId="61A8883E"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it did not function as expected.</w:t>
            </w:r>
          </w:p>
        </w:tc>
        <w:tc>
          <w:tcPr>
            <w:tcW w:w="360" w:type="pct"/>
            <w:tcBorders>
              <w:top w:val="single" w:sz="4" w:space="0" w:color="7F7F7F" w:themeColor="text1" w:themeTint="80"/>
              <w:bottom w:val="single" w:sz="4" w:space="0" w:color="7F7F7F" w:themeColor="text1" w:themeTint="80"/>
            </w:tcBorders>
            <w:vAlign w:val="center"/>
          </w:tcPr>
          <w:p w14:paraId="197FA65E"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511E1095"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096EF2F5"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0.805</w:t>
            </w:r>
          </w:p>
        </w:tc>
        <w:tc>
          <w:tcPr>
            <w:tcW w:w="360" w:type="pct"/>
            <w:tcBorders>
              <w:top w:val="single" w:sz="4" w:space="0" w:color="7F7F7F" w:themeColor="text1" w:themeTint="80"/>
              <w:bottom w:val="single" w:sz="4" w:space="0" w:color="7F7F7F" w:themeColor="text1" w:themeTint="80"/>
            </w:tcBorders>
            <w:vAlign w:val="center"/>
          </w:tcPr>
          <w:p w14:paraId="006B57C8"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31133EAB"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4A57E3A3"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1.182</w:t>
            </w:r>
          </w:p>
        </w:tc>
        <w:tc>
          <w:tcPr>
            <w:tcW w:w="493" w:type="pct"/>
            <w:tcBorders>
              <w:top w:val="single" w:sz="4" w:space="0" w:color="7F7F7F" w:themeColor="text1" w:themeTint="80"/>
              <w:bottom w:val="single" w:sz="4" w:space="0" w:color="7F7F7F" w:themeColor="text1" w:themeTint="80"/>
            </w:tcBorders>
            <w:vAlign w:val="center"/>
          </w:tcPr>
          <w:p w14:paraId="28C4CE6D"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6.89</w:t>
            </w:r>
          </w:p>
        </w:tc>
        <w:tc>
          <w:tcPr>
            <w:tcW w:w="400" w:type="pct"/>
            <w:tcBorders>
              <w:top w:val="single" w:sz="4" w:space="0" w:color="7F7F7F" w:themeColor="text1" w:themeTint="80"/>
              <w:bottom w:val="single" w:sz="4" w:space="0" w:color="7F7F7F" w:themeColor="text1" w:themeTint="80"/>
            </w:tcBorders>
            <w:vAlign w:val="center"/>
          </w:tcPr>
          <w:p w14:paraId="21300477"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w:t>
            </w:r>
          </w:p>
        </w:tc>
      </w:tr>
      <w:tr w:rsidR="00D83248" w14:paraId="301D1D79"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vAlign w:val="center"/>
          </w:tcPr>
          <w:p w14:paraId="7D89213B"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EA7</w:t>
            </w:r>
          </w:p>
        </w:tc>
        <w:tc>
          <w:tcPr>
            <w:tcW w:w="1359" w:type="pct"/>
            <w:vAlign w:val="center"/>
          </w:tcPr>
          <w:p w14:paraId="10CCC428"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its features were not satisfactory.</w:t>
            </w:r>
          </w:p>
        </w:tc>
        <w:tc>
          <w:tcPr>
            <w:tcW w:w="360" w:type="pct"/>
            <w:vAlign w:val="center"/>
          </w:tcPr>
          <w:p w14:paraId="1A8DDF6A"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4FC0B7C7"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2F573811"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0.789</w:t>
            </w:r>
          </w:p>
        </w:tc>
        <w:tc>
          <w:tcPr>
            <w:tcW w:w="360" w:type="pct"/>
            <w:vAlign w:val="center"/>
          </w:tcPr>
          <w:p w14:paraId="400EB7CC"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0FADDBDD"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1BD85D18"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1.195</w:t>
            </w:r>
          </w:p>
        </w:tc>
        <w:tc>
          <w:tcPr>
            <w:tcW w:w="493" w:type="pct"/>
            <w:vAlign w:val="center"/>
          </w:tcPr>
          <w:p w14:paraId="567810D9"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6.03</w:t>
            </w:r>
          </w:p>
        </w:tc>
        <w:tc>
          <w:tcPr>
            <w:tcW w:w="400" w:type="pct"/>
            <w:vAlign w:val="center"/>
          </w:tcPr>
          <w:p w14:paraId="572B3856"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w:t>
            </w:r>
          </w:p>
        </w:tc>
      </w:tr>
      <w:tr w:rsidR="00D83248" w14:paraId="7277B1EB"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tcBorders>
              <w:top w:val="single" w:sz="4" w:space="0" w:color="7F7F7F" w:themeColor="text1" w:themeTint="80"/>
              <w:bottom w:val="single" w:sz="4" w:space="0" w:color="7F7F7F" w:themeColor="text1" w:themeTint="80"/>
            </w:tcBorders>
            <w:vAlign w:val="center"/>
          </w:tcPr>
          <w:p w14:paraId="680089D0"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EA8</w:t>
            </w:r>
          </w:p>
        </w:tc>
        <w:tc>
          <w:tcPr>
            <w:tcW w:w="1359" w:type="pct"/>
            <w:tcBorders>
              <w:top w:val="single" w:sz="4" w:space="0" w:color="7F7F7F" w:themeColor="text1" w:themeTint="80"/>
              <w:bottom w:val="single" w:sz="4" w:space="0" w:color="7F7F7F" w:themeColor="text1" w:themeTint="80"/>
            </w:tcBorders>
            <w:vAlign w:val="center"/>
          </w:tcPr>
          <w:p w14:paraId="77B3EF1D"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my experience with it was frustrating.</w:t>
            </w:r>
          </w:p>
        </w:tc>
        <w:tc>
          <w:tcPr>
            <w:tcW w:w="360" w:type="pct"/>
            <w:tcBorders>
              <w:top w:val="single" w:sz="4" w:space="0" w:color="7F7F7F" w:themeColor="text1" w:themeTint="80"/>
              <w:bottom w:val="single" w:sz="4" w:space="0" w:color="7F7F7F" w:themeColor="text1" w:themeTint="80"/>
            </w:tcBorders>
            <w:vAlign w:val="center"/>
          </w:tcPr>
          <w:p w14:paraId="4CE923B8"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270C312C"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19C72AF8"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0.767</w:t>
            </w:r>
          </w:p>
        </w:tc>
        <w:tc>
          <w:tcPr>
            <w:tcW w:w="360" w:type="pct"/>
            <w:tcBorders>
              <w:top w:val="single" w:sz="4" w:space="0" w:color="7F7F7F" w:themeColor="text1" w:themeTint="80"/>
              <w:bottom w:val="single" w:sz="4" w:space="0" w:color="7F7F7F" w:themeColor="text1" w:themeTint="80"/>
            </w:tcBorders>
            <w:vAlign w:val="center"/>
          </w:tcPr>
          <w:p w14:paraId="08C83899"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04300A85"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421047FD"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1.902</w:t>
            </w:r>
          </w:p>
        </w:tc>
        <w:tc>
          <w:tcPr>
            <w:tcW w:w="493" w:type="pct"/>
            <w:tcBorders>
              <w:top w:val="single" w:sz="4" w:space="0" w:color="7F7F7F" w:themeColor="text1" w:themeTint="80"/>
              <w:bottom w:val="single" w:sz="4" w:space="0" w:color="7F7F7F" w:themeColor="text1" w:themeTint="80"/>
            </w:tcBorders>
            <w:vAlign w:val="center"/>
          </w:tcPr>
          <w:p w14:paraId="05A68D2E"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6.11</w:t>
            </w:r>
          </w:p>
        </w:tc>
        <w:tc>
          <w:tcPr>
            <w:tcW w:w="400" w:type="pct"/>
            <w:tcBorders>
              <w:top w:val="single" w:sz="4" w:space="0" w:color="7F7F7F" w:themeColor="text1" w:themeTint="80"/>
              <w:bottom w:val="single" w:sz="4" w:space="0" w:color="7F7F7F" w:themeColor="text1" w:themeTint="80"/>
            </w:tcBorders>
            <w:vAlign w:val="center"/>
          </w:tcPr>
          <w:p w14:paraId="6182D023"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w:t>
            </w:r>
          </w:p>
        </w:tc>
      </w:tr>
      <w:tr w:rsidR="00D83248" w14:paraId="17F42DCF"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vAlign w:val="center"/>
          </w:tcPr>
          <w:p w14:paraId="74F17117"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EA9</w:t>
            </w:r>
          </w:p>
        </w:tc>
        <w:tc>
          <w:tcPr>
            <w:tcW w:w="1359" w:type="pct"/>
            <w:vAlign w:val="center"/>
          </w:tcPr>
          <w:p w14:paraId="6D8C6EC5"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 found it unreliable.</w:t>
            </w:r>
          </w:p>
        </w:tc>
        <w:tc>
          <w:tcPr>
            <w:tcW w:w="360" w:type="pct"/>
            <w:vAlign w:val="center"/>
          </w:tcPr>
          <w:p w14:paraId="3F827FAA"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0C687F97"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1FF38DBD"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0.749</w:t>
            </w:r>
          </w:p>
        </w:tc>
        <w:tc>
          <w:tcPr>
            <w:tcW w:w="360" w:type="pct"/>
            <w:vAlign w:val="center"/>
          </w:tcPr>
          <w:p w14:paraId="5D9142E1"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28BFACEC"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5C59A4E3"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2.003</w:t>
            </w:r>
          </w:p>
        </w:tc>
        <w:tc>
          <w:tcPr>
            <w:tcW w:w="493" w:type="pct"/>
            <w:vAlign w:val="center"/>
          </w:tcPr>
          <w:p w14:paraId="7617796B"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5.13</w:t>
            </w:r>
          </w:p>
        </w:tc>
        <w:tc>
          <w:tcPr>
            <w:tcW w:w="400" w:type="pct"/>
            <w:vAlign w:val="center"/>
          </w:tcPr>
          <w:p w14:paraId="7D99FFB8"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w:t>
            </w:r>
          </w:p>
        </w:tc>
      </w:tr>
      <w:tr w:rsidR="00D83248" w14:paraId="683A95E0"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tcBorders>
              <w:top w:val="single" w:sz="4" w:space="0" w:color="7F7F7F" w:themeColor="text1" w:themeTint="80"/>
              <w:bottom w:val="single" w:sz="4" w:space="0" w:color="7F7F7F" w:themeColor="text1" w:themeTint="80"/>
            </w:tcBorders>
            <w:vAlign w:val="center"/>
          </w:tcPr>
          <w:p w14:paraId="0D8E0A56"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VDA1</w:t>
            </w:r>
          </w:p>
        </w:tc>
        <w:tc>
          <w:tcPr>
            <w:tcW w:w="1359" w:type="pct"/>
            <w:tcBorders>
              <w:top w:val="single" w:sz="4" w:space="0" w:color="7F7F7F" w:themeColor="text1" w:themeTint="80"/>
              <w:bottom w:val="single" w:sz="4" w:space="0" w:color="7F7F7F" w:themeColor="text1" w:themeTint="80"/>
            </w:tcBorders>
            <w:vAlign w:val="center"/>
          </w:tcPr>
          <w:p w14:paraId="1D2F3832"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it is low-value.</w:t>
            </w:r>
          </w:p>
        </w:tc>
        <w:tc>
          <w:tcPr>
            <w:tcW w:w="360" w:type="pct"/>
            <w:tcBorders>
              <w:top w:val="single" w:sz="4" w:space="0" w:color="7F7F7F" w:themeColor="text1" w:themeTint="80"/>
              <w:bottom w:val="single" w:sz="4" w:space="0" w:color="7F7F7F" w:themeColor="text1" w:themeTint="80"/>
            </w:tcBorders>
            <w:vAlign w:val="center"/>
          </w:tcPr>
          <w:p w14:paraId="378B9D6C"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0223081D"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14FAE5C7"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784DC155"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0.883</w:t>
            </w:r>
          </w:p>
        </w:tc>
        <w:tc>
          <w:tcPr>
            <w:tcW w:w="360" w:type="pct"/>
            <w:tcBorders>
              <w:top w:val="single" w:sz="4" w:space="0" w:color="7F7F7F" w:themeColor="text1" w:themeTint="80"/>
              <w:bottom w:val="single" w:sz="4" w:space="0" w:color="7F7F7F" w:themeColor="text1" w:themeTint="80"/>
            </w:tcBorders>
            <w:vAlign w:val="center"/>
          </w:tcPr>
          <w:p w14:paraId="59FEDA01"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20FE4995"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2.198</w:t>
            </w:r>
          </w:p>
        </w:tc>
        <w:tc>
          <w:tcPr>
            <w:tcW w:w="493" w:type="pct"/>
            <w:tcBorders>
              <w:top w:val="single" w:sz="4" w:space="0" w:color="7F7F7F" w:themeColor="text1" w:themeTint="80"/>
              <w:bottom w:val="single" w:sz="4" w:space="0" w:color="7F7F7F" w:themeColor="text1" w:themeTint="80"/>
            </w:tcBorders>
            <w:vAlign w:val="center"/>
          </w:tcPr>
          <w:p w14:paraId="56599E36"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5.17</w:t>
            </w:r>
          </w:p>
        </w:tc>
        <w:tc>
          <w:tcPr>
            <w:tcW w:w="400" w:type="pct"/>
            <w:tcBorders>
              <w:top w:val="single" w:sz="4" w:space="0" w:color="7F7F7F" w:themeColor="text1" w:themeTint="80"/>
              <w:bottom w:val="single" w:sz="4" w:space="0" w:color="7F7F7F" w:themeColor="text1" w:themeTint="80"/>
            </w:tcBorders>
            <w:vAlign w:val="center"/>
          </w:tcPr>
          <w:p w14:paraId="47176997"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w:t>
            </w:r>
          </w:p>
        </w:tc>
      </w:tr>
      <w:tr w:rsidR="00D83248" w14:paraId="3035A184"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vAlign w:val="center"/>
          </w:tcPr>
          <w:p w14:paraId="2A94B247"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VDA2</w:t>
            </w:r>
          </w:p>
        </w:tc>
        <w:tc>
          <w:tcPr>
            <w:tcW w:w="1359" w:type="pct"/>
            <w:vAlign w:val="center"/>
          </w:tcPr>
          <w:p w14:paraId="258829F5"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it is not worth the price.</w:t>
            </w:r>
          </w:p>
        </w:tc>
        <w:tc>
          <w:tcPr>
            <w:tcW w:w="360" w:type="pct"/>
            <w:vAlign w:val="center"/>
          </w:tcPr>
          <w:p w14:paraId="73BE5F83"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696317AD"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1990480D"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4F28EC65"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0.833</w:t>
            </w:r>
          </w:p>
        </w:tc>
        <w:tc>
          <w:tcPr>
            <w:tcW w:w="360" w:type="pct"/>
            <w:vAlign w:val="center"/>
          </w:tcPr>
          <w:p w14:paraId="7001B814"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0CFFCBDC"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2.142</w:t>
            </w:r>
          </w:p>
        </w:tc>
        <w:tc>
          <w:tcPr>
            <w:tcW w:w="493" w:type="pct"/>
            <w:vAlign w:val="center"/>
          </w:tcPr>
          <w:p w14:paraId="4C3C5C50"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9.11</w:t>
            </w:r>
          </w:p>
        </w:tc>
        <w:tc>
          <w:tcPr>
            <w:tcW w:w="400" w:type="pct"/>
            <w:vAlign w:val="center"/>
          </w:tcPr>
          <w:p w14:paraId="42AE350A"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w:t>
            </w:r>
          </w:p>
        </w:tc>
      </w:tr>
      <w:tr w:rsidR="00D83248" w14:paraId="4F86EDA9"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tcBorders>
              <w:top w:val="single" w:sz="4" w:space="0" w:color="7F7F7F" w:themeColor="text1" w:themeTint="80"/>
              <w:bottom w:val="single" w:sz="4" w:space="0" w:color="7F7F7F" w:themeColor="text1" w:themeTint="80"/>
            </w:tcBorders>
            <w:vAlign w:val="center"/>
          </w:tcPr>
          <w:p w14:paraId="1482197A"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VDA3</w:t>
            </w:r>
          </w:p>
        </w:tc>
        <w:tc>
          <w:tcPr>
            <w:tcW w:w="1359" w:type="pct"/>
            <w:tcBorders>
              <w:top w:val="single" w:sz="4" w:space="0" w:color="7F7F7F" w:themeColor="text1" w:themeTint="80"/>
              <w:bottom w:val="single" w:sz="4" w:space="0" w:color="7F7F7F" w:themeColor="text1" w:themeTint="80"/>
            </w:tcBorders>
            <w:vAlign w:val="center"/>
          </w:tcPr>
          <w:p w14:paraId="5E180C99"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it does not offer good value for money.</w:t>
            </w:r>
          </w:p>
        </w:tc>
        <w:tc>
          <w:tcPr>
            <w:tcW w:w="360" w:type="pct"/>
            <w:tcBorders>
              <w:top w:val="single" w:sz="4" w:space="0" w:color="7F7F7F" w:themeColor="text1" w:themeTint="80"/>
              <w:bottom w:val="single" w:sz="4" w:space="0" w:color="7F7F7F" w:themeColor="text1" w:themeTint="80"/>
            </w:tcBorders>
            <w:vAlign w:val="center"/>
          </w:tcPr>
          <w:p w14:paraId="5BA83B06"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5FED2F2B"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2937643B"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4D0CFC95"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0.817</w:t>
            </w:r>
          </w:p>
        </w:tc>
        <w:tc>
          <w:tcPr>
            <w:tcW w:w="360" w:type="pct"/>
            <w:tcBorders>
              <w:top w:val="single" w:sz="4" w:space="0" w:color="7F7F7F" w:themeColor="text1" w:themeTint="80"/>
              <w:bottom w:val="single" w:sz="4" w:space="0" w:color="7F7F7F" w:themeColor="text1" w:themeTint="80"/>
            </w:tcBorders>
            <w:vAlign w:val="center"/>
          </w:tcPr>
          <w:p w14:paraId="0642AF1B"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47446385"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1.761</w:t>
            </w:r>
          </w:p>
        </w:tc>
        <w:tc>
          <w:tcPr>
            <w:tcW w:w="493" w:type="pct"/>
            <w:tcBorders>
              <w:top w:val="single" w:sz="4" w:space="0" w:color="7F7F7F" w:themeColor="text1" w:themeTint="80"/>
              <w:bottom w:val="single" w:sz="4" w:space="0" w:color="7F7F7F" w:themeColor="text1" w:themeTint="80"/>
            </w:tcBorders>
            <w:vAlign w:val="center"/>
          </w:tcPr>
          <w:p w14:paraId="25AAAE73"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3.93</w:t>
            </w:r>
          </w:p>
        </w:tc>
        <w:tc>
          <w:tcPr>
            <w:tcW w:w="400" w:type="pct"/>
            <w:tcBorders>
              <w:top w:val="single" w:sz="4" w:space="0" w:color="7F7F7F" w:themeColor="text1" w:themeTint="80"/>
              <w:bottom w:val="single" w:sz="4" w:space="0" w:color="7F7F7F" w:themeColor="text1" w:themeTint="80"/>
            </w:tcBorders>
            <w:vAlign w:val="center"/>
          </w:tcPr>
          <w:p w14:paraId="1FF3300C"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w:t>
            </w:r>
          </w:p>
        </w:tc>
      </w:tr>
      <w:tr w:rsidR="00D83248" w14:paraId="147D8915"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vAlign w:val="center"/>
          </w:tcPr>
          <w:p w14:paraId="06585A2B"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VDA4</w:t>
            </w:r>
          </w:p>
        </w:tc>
        <w:tc>
          <w:tcPr>
            <w:tcW w:w="1359" w:type="pct"/>
            <w:vAlign w:val="center"/>
          </w:tcPr>
          <w:p w14:paraId="0687DB12"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 perceive it as low quality.</w:t>
            </w:r>
          </w:p>
        </w:tc>
        <w:tc>
          <w:tcPr>
            <w:tcW w:w="360" w:type="pct"/>
            <w:vAlign w:val="center"/>
          </w:tcPr>
          <w:p w14:paraId="24EC04E7"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0D84D0B6"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3B4791D6"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43B28FAA"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0.814</w:t>
            </w:r>
          </w:p>
        </w:tc>
        <w:tc>
          <w:tcPr>
            <w:tcW w:w="360" w:type="pct"/>
            <w:vAlign w:val="center"/>
          </w:tcPr>
          <w:p w14:paraId="343E4D31"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552421DF"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1.117</w:t>
            </w:r>
          </w:p>
        </w:tc>
        <w:tc>
          <w:tcPr>
            <w:tcW w:w="493" w:type="pct"/>
            <w:vAlign w:val="center"/>
          </w:tcPr>
          <w:p w14:paraId="66345661"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9.03</w:t>
            </w:r>
          </w:p>
        </w:tc>
        <w:tc>
          <w:tcPr>
            <w:tcW w:w="400" w:type="pct"/>
            <w:vAlign w:val="center"/>
          </w:tcPr>
          <w:p w14:paraId="00E2B670"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w:t>
            </w:r>
          </w:p>
        </w:tc>
      </w:tr>
      <w:tr w:rsidR="00D83248" w14:paraId="045EC1CE"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tcBorders>
              <w:top w:val="single" w:sz="4" w:space="0" w:color="7F7F7F" w:themeColor="text1" w:themeTint="80"/>
              <w:bottom w:val="single" w:sz="4" w:space="0" w:color="7F7F7F" w:themeColor="text1" w:themeTint="80"/>
            </w:tcBorders>
            <w:vAlign w:val="center"/>
          </w:tcPr>
          <w:p w14:paraId="2F00AC6B"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VDA5</w:t>
            </w:r>
          </w:p>
        </w:tc>
        <w:tc>
          <w:tcPr>
            <w:tcW w:w="1359" w:type="pct"/>
            <w:tcBorders>
              <w:top w:val="single" w:sz="4" w:space="0" w:color="7F7F7F" w:themeColor="text1" w:themeTint="80"/>
              <w:bottom w:val="single" w:sz="4" w:space="0" w:color="7F7F7F" w:themeColor="text1" w:themeTint="80"/>
            </w:tcBorders>
            <w:vAlign w:val="center"/>
          </w:tcPr>
          <w:p w14:paraId="47E35648"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it looks inferior compared with others.</w:t>
            </w:r>
          </w:p>
        </w:tc>
        <w:tc>
          <w:tcPr>
            <w:tcW w:w="360" w:type="pct"/>
            <w:tcBorders>
              <w:top w:val="single" w:sz="4" w:space="0" w:color="7F7F7F" w:themeColor="text1" w:themeTint="80"/>
              <w:bottom w:val="single" w:sz="4" w:space="0" w:color="7F7F7F" w:themeColor="text1" w:themeTint="80"/>
            </w:tcBorders>
            <w:vAlign w:val="center"/>
          </w:tcPr>
          <w:p w14:paraId="7771DC56"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661EBF08"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44939669"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6CFE0153"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0.812</w:t>
            </w:r>
          </w:p>
        </w:tc>
        <w:tc>
          <w:tcPr>
            <w:tcW w:w="360" w:type="pct"/>
            <w:tcBorders>
              <w:top w:val="single" w:sz="4" w:space="0" w:color="7F7F7F" w:themeColor="text1" w:themeTint="80"/>
              <w:bottom w:val="single" w:sz="4" w:space="0" w:color="7F7F7F" w:themeColor="text1" w:themeTint="80"/>
            </w:tcBorders>
            <w:vAlign w:val="center"/>
          </w:tcPr>
          <w:p w14:paraId="6785BC6B"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109A4B09"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1.119</w:t>
            </w:r>
          </w:p>
        </w:tc>
        <w:tc>
          <w:tcPr>
            <w:tcW w:w="493" w:type="pct"/>
            <w:tcBorders>
              <w:top w:val="single" w:sz="4" w:space="0" w:color="7F7F7F" w:themeColor="text1" w:themeTint="80"/>
              <w:bottom w:val="single" w:sz="4" w:space="0" w:color="7F7F7F" w:themeColor="text1" w:themeTint="80"/>
            </w:tcBorders>
            <w:vAlign w:val="center"/>
          </w:tcPr>
          <w:p w14:paraId="0A3D5CE8"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9.87</w:t>
            </w:r>
          </w:p>
        </w:tc>
        <w:tc>
          <w:tcPr>
            <w:tcW w:w="400" w:type="pct"/>
            <w:tcBorders>
              <w:top w:val="single" w:sz="4" w:space="0" w:color="7F7F7F" w:themeColor="text1" w:themeTint="80"/>
              <w:bottom w:val="single" w:sz="4" w:space="0" w:color="7F7F7F" w:themeColor="text1" w:themeTint="80"/>
            </w:tcBorders>
            <w:vAlign w:val="center"/>
          </w:tcPr>
          <w:p w14:paraId="6F21F271"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w:t>
            </w:r>
          </w:p>
        </w:tc>
      </w:tr>
      <w:tr w:rsidR="00D83248" w14:paraId="766E0273"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vAlign w:val="center"/>
          </w:tcPr>
          <w:p w14:paraId="423DACEA"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VDA6</w:t>
            </w:r>
          </w:p>
        </w:tc>
        <w:tc>
          <w:tcPr>
            <w:tcW w:w="1359" w:type="pct"/>
            <w:vAlign w:val="center"/>
          </w:tcPr>
          <w:p w14:paraId="531F65DF"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its design is poor.</w:t>
            </w:r>
          </w:p>
        </w:tc>
        <w:tc>
          <w:tcPr>
            <w:tcW w:w="360" w:type="pct"/>
            <w:vAlign w:val="center"/>
          </w:tcPr>
          <w:p w14:paraId="7694062F"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27BE21AD"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441EB334"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68CDA50F"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0.803</w:t>
            </w:r>
          </w:p>
        </w:tc>
        <w:tc>
          <w:tcPr>
            <w:tcW w:w="360" w:type="pct"/>
            <w:vAlign w:val="center"/>
          </w:tcPr>
          <w:p w14:paraId="3442221E"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6823A16D"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1.836</w:t>
            </w:r>
          </w:p>
        </w:tc>
        <w:tc>
          <w:tcPr>
            <w:tcW w:w="493" w:type="pct"/>
            <w:vAlign w:val="center"/>
          </w:tcPr>
          <w:p w14:paraId="39F4CC35"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9.35</w:t>
            </w:r>
          </w:p>
        </w:tc>
        <w:tc>
          <w:tcPr>
            <w:tcW w:w="400" w:type="pct"/>
            <w:vAlign w:val="center"/>
          </w:tcPr>
          <w:p w14:paraId="7F4ADF86"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w:t>
            </w:r>
          </w:p>
        </w:tc>
      </w:tr>
      <w:tr w:rsidR="00D83248" w14:paraId="51ED8DDB"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tcBorders>
              <w:top w:val="single" w:sz="4" w:space="0" w:color="7F7F7F" w:themeColor="text1" w:themeTint="80"/>
              <w:bottom w:val="single" w:sz="4" w:space="0" w:color="7F7F7F" w:themeColor="text1" w:themeTint="80"/>
            </w:tcBorders>
            <w:vAlign w:val="center"/>
          </w:tcPr>
          <w:p w14:paraId="7560EFD5"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VDA7</w:t>
            </w:r>
          </w:p>
        </w:tc>
        <w:tc>
          <w:tcPr>
            <w:tcW w:w="1359" w:type="pct"/>
            <w:tcBorders>
              <w:top w:val="single" w:sz="4" w:space="0" w:color="7F7F7F" w:themeColor="text1" w:themeTint="80"/>
              <w:bottom w:val="single" w:sz="4" w:space="0" w:color="7F7F7F" w:themeColor="text1" w:themeTint="80"/>
            </w:tcBorders>
            <w:vAlign w:val="center"/>
          </w:tcPr>
          <w:p w14:paraId="22DDBA8A"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 am unfamiliar with it.</w:t>
            </w:r>
          </w:p>
        </w:tc>
        <w:tc>
          <w:tcPr>
            <w:tcW w:w="360" w:type="pct"/>
            <w:tcBorders>
              <w:top w:val="single" w:sz="4" w:space="0" w:color="7F7F7F" w:themeColor="text1" w:themeTint="80"/>
              <w:bottom w:val="single" w:sz="4" w:space="0" w:color="7F7F7F" w:themeColor="text1" w:themeTint="80"/>
            </w:tcBorders>
            <w:vAlign w:val="center"/>
          </w:tcPr>
          <w:p w14:paraId="2F49F2DC"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42F6BAA3"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0E62DB74"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0189BBA0"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0.78</w:t>
            </w:r>
          </w:p>
        </w:tc>
        <w:tc>
          <w:tcPr>
            <w:tcW w:w="360" w:type="pct"/>
            <w:tcBorders>
              <w:top w:val="single" w:sz="4" w:space="0" w:color="7F7F7F" w:themeColor="text1" w:themeTint="80"/>
              <w:bottom w:val="single" w:sz="4" w:space="0" w:color="7F7F7F" w:themeColor="text1" w:themeTint="80"/>
            </w:tcBorders>
            <w:vAlign w:val="center"/>
          </w:tcPr>
          <w:p w14:paraId="1BEF8B5F"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4FC26F5D"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1.492</w:t>
            </w:r>
          </w:p>
        </w:tc>
        <w:tc>
          <w:tcPr>
            <w:tcW w:w="493" w:type="pct"/>
            <w:tcBorders>
              <w:top w:val="single" w:sz="4" w:space="0" w:color="7F7F7F" w:themeColor="text1" w:themeTint="80"/>
              <w:bottom w:val="single" w:sz="4" w:space="0" w:color="7F7F7F" w:themeColor="text1" w:themeTint="80"/>
            </w:tcBorders>
            <w:vAlign w:val="center"/>
          </w:tcPr>
          <w:p w14:paraId="71371C6F"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8.11</w:t>
            </w:r>
          </w:p>
        </w:tc>
        <w:tc>
          <w:tcPr>
            <w:tcW w:w="400" w:type="pct"/>
            <w:tcBorders>
              <w:top w:val="single" w:sz="4" w:space="0" w:color="7F7F7F" w:themeColor="text1" w:themeTint="80"/>
              <w:bottom w:val="single" w:sz="4" w:space="0" w:color="7F7F7F" w:themeColor="text1" w:themeTint="80"/>
            </w:tcBorders>
            <w:vAlign w:val="center"/>
          </w:tcPr>
          <w:p w14:paraId="6A4AC828"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w:t>
            </w:r>
          </w:p>
        </w:tc>
      </w:tr>
      <w:tr w:rsidR="00D83248" w14:paraId="0727AB31"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vAlign w:val="center"/>
          </w:tcPr>
          <w:p w14:paraId="2167F6E8"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VDA8</w:t>
            </w:r>
          </w:p>
        </w:tc>
        <w:tc>
          <w:tcPr>
            <w:tcW w:w="1359" w:type="pct"/>
            <w:vAlign w:val="center"/>
          </w:tcPr>
          <w:p w14:paraId="2C77EEC9"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 worry it will not perform well.</w:t>
            </w:r>
          </w:p>
        </w:tc>
        <w:tc>
          <w:tcPr>
            <w:tcW w:w="360" w:type="pct"/>
            <w:vAlign w:val="center"/>
          </w:tcPr>
          <w:p w14:paraId="101059F5"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5E57C3AD"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67FA9C1C"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1443DD54"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0.776</w:t>
            </w:r>
          </w:p>
        </w:tc>
        <w:tc>
          <w:tcPr>
            <w:tcW w:w="360" w:type="pct"/>
            <w:vAlign w:val="center"/>
          </w:tcPr>
          <w:p w14:paraId="0A8E9C5C"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1C113BC8"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1.893</w:t>
            </w:r>
          </w:p>
        </w:tc>
        <w:tc>
          <w:tcPr>
            <w:tcW w:w="493" w:type="pct"/>
            <w:vAlign w:val="center"/>
          </w:tcPr>
          <w:p w14:paraId="5C2F30A3"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8.09</w:t>
            </w:r>
          </w:p>
        </w:tc>
        <w:tc>
          <w:tcPr>
            <w:tcW w:w="400" w:type="pct"/>
            <w:vAlign w:val="center"/>
          </w:tcPr>
          <w:p w14:paraId="1969B3E9"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0.03</w:t>
            </w:r>
          </w:p>
        </w:tc>
      </w:tr>
      <w:tr w:rsidR="00D83248" w14:paraId="0ACE0889"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tcBorders>
              <w:top w:val="single" w:sz="4" w:space="0" w:color="7F7F7F" w:themeColor="text1" w:themeTint="80"/>
              <w:bottom w:val="single" w:sz="4" w:space="0" w:color="7F7F7F" w:themeColor="text1" w:themeTint="80"/>
            </w:tcBorders>
            <w:vAlign w:val="center"/>
          </w:tcPr>
          <w:p w14:paraId="17DF3D76"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OBL1</w:t>
            </w:r>
          </w:p>
        </w:tc>
        <w:tc>
          <w:tcPr>
            <w:tcW w:w="1359" w:type="pct"/>
            <w:tcBorders>
              <w:top w:val="single" w:sz="4" w:space="0" w:color="7F7F7F" w:themeColor="text1" w:themeTint="80"/>
              <w:bottom w:val="single" w:sz="4" w:space="0" w:color="7F7F7F" w:themeColor="text1" w:themeTint="80"/>
            </w:tcBorders>
            <w:vAlign w:val="center"/>
          </w:tcPr>
          <w:p w14:paraId="6A45965B"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it competes with my favorite brand.</w:t>
            </w:r>
          </w:p>
        </w:tc>
        <w:tc>
          <w:tcPr>
            <w:tcW w:w="360" w:type="pct"/>
            <w:tcBorders>
              <w:top w:val="single" w:sz="4" w:space="0" w:color="7F7F7F" w:themeColor="text1" w:themeTint="80"/>
              <w:bottom w:val="single" w:sz="4" w:space="0" w:color="7F7F7F" w:themeColor="text1" w:themeTint="80"/>
            </w:tcBorders>
            <w:vAlign w:val="center"/>
          </w:tcPr>
          <w:p w14:paraId="0AA60DA2"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1F65BAE6"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1CBFC221"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038724CA"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729B00B8"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0.937</w:t>
            </w:r>
          </w:p>
        </w:tc>
        <w:tc>
          <w:tcPr>
            <w:tcW w:w="360" w:type="pct"/>
            <w:tcBorders>
              <w:top w:val="single" w:sz="4" w:space="0" w:color="7F7F7F" w:themeColor="text1" w:themeTint="80"/>
              <w:bottom w:val="single" w:sz="4" w:space="0" w:color="7F7F7F" w:themeColor="text1" w:themeTint="80"/>
            </w:tcBorders>
            <w:vAlign w:val="center"/>
          </w:tcPr>
          <w:p w14:paraId="3F777A8B"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2.189</w:t>
            </w:r>
          </w:p>
        </w:tc>
        <w:tc>
          <w:tcPr>
            <w:tcW w:w="493" w:type="pct"/>
            <w:tcBorders>
              <w:top w:val="single" w:sz="4" w:space="0" w:color="7F7F7F" w:themeColor="text1" w:themeTint="80"/>
              <w:bottom w:val="single" w:sz="4" w:space="0" w:color="7F7F7F" w:themeColor="text1" w:themeTint="80"/>
            </w:tcBorders>
            <w:vAlign w:val="center"/>
          </w:tcPr>
          <w:p w14:paraId="65A50F52"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8.23</w:t>
            </w:r>
          </w:p>
        </w:tc>
        <w:tc>
          <w:tcPr>
            <w:tcW w:w="400" w:type="pct"/>
            <w:tcBorders>
              <w:top w:val="single" w:sz="4" w:space="0" w:color="7F7F7F" w:themeColor="text1" w:themeTint="80"/>
              <w:bottom w:val="single" w:sz="4" w:space="0" w:color="7F7F7F" w:themeColor="text1" w:themeTint="80"/>
            </w:tcBorders>
            <w:vAlign w:val="center"/>
          </w:tcPr>
          <w:p w14:paraId="08499B0D"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0.01</w:t>
            </w:r>
          </w:p>
        </w:tc>
      </w:tr>
      <w:tr w:rsidR="00D83248" w14:paraId="2AD0156F"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vAlign w:val="center"/>
          </w:tcPr>
          <w:p w14:paraId="1D2A15D6"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OBL2</w:t>
            </w:r>
          </w:p>
        </w:tc>
        <w:tc>
          <w:tcPr>
            <w:tcW w:w="1359" w:type="pct"/>
            <w:vAlign w:val="center"/>
          </w:tcPr>
          <w:p w14:paraId="729470B5"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 am loyal to another brand.</w:t>
            </w:r>
          </w:p>
        </w:tc>
        <w:tc>
          <w:tcPr>
            <w:tcW w:w="360" w:type="pct"/>
            <w:vAlign w:val="center"/>
          </w:tcPr>
          <w:p w14:paraId="43B4B1E9"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061A0FB0"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30D896D3"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001EE5DD"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3C64EE28"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0.919</w:t>
            </w:r>
          </w:p>
        </w:tc>
        <w:tc>
          <w:tcPr>
            <w:tcW w:w="360" w:type="pct"/>
            <w:vAlign w:val="center"/>
          </w:tcPr>
          <w:p w14:paraId="07114815"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1.034</w:t>
            </w:r>
          </w:p>
        </w:tc>
        <w:tc>
          <w:tcPr>
            <w:tcW w:w="493" w:type="pct"/>
            <w:vAlign w:val="center"/>
          </w:tcPr>
          <w:p w14:paraId="3D06FD6F"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8.33</w:t>
            </w:r>
          </w:p>
        </w:tc>
        <w:tc>
          <w:tcPr>
            <w:tcW w:w="400" w:type="pct"/>
            <w:vAlign w:val="center"/>
          </w:tcPr>
          <w:p w14:paraId="503560D1"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w:t>
            </w:r>
          </w:p>
        </w:tc>
      </w:tr>
      <w:tr w:rsidR="00D83248" w14:paraId="31A0EC7A"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tcBorders>
              <w:top w:val="single" w:sz="4" w:space="0" w:color="7F7F7F" w:themeColor="text1" w:themeTint="80"/>
              <w:bottom w:val="single" w:sz="4" w:space="0" w:color="7F7F7F" w:themeColor="text1" w:themeTint="80"/>
            </w:tcBorders>
            <w:vAlign w:val="center"/>
          </w:tcPr>
          <w:p w14:paraId="0BD2FF32"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OBL3</w:t>
            </w:r>
          </w:p>
        </w:tc>
        <w:tc>
          <w:tcPr>
            <w:tcW w:w="1359" w:type="pct"/>
            <w:tcBorders>
              <w:top w:val="single" w:sz="4" w:space="0" w:color="7F7F7F" w:themeColor="text1" w:themeTint="80"/>
              <w:bottom w:val="single" w:sz="4" w:space="0" w:color="7F7F7F" w:themeColor="text1" w:themeTint="80"/>
            </w:tcBorders>
            <w:vAlign w:val="center"/>
          </w:tcPr>
          <w:p w14:paraId="3894D9A9"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it threatens my preferred brand.</w:t>
            </w:r>
          </w:p>
        </w:tc>
        <w:tc>
          <w:tcPr>
            <w:tcW w:w="360" w:type="pct"/>
            <w:tcBorders>
              <w:top w:val="single" w:sz="4" w:space="0" w:color="7F7F7F" w:themeColor="text1" w:themeTint="80"/>
              <w:bottom w:val="single" w:sz="4" w:space="0" w:color="7F7F7F" w:themeColor="text1" w:themeTint="80"/>
            </w:tcBorders>
            <w:vAlign w:val="center"/>
          </w:tcPr>
          <w:p w14:paraId="416F0096"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5A764C50"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075A8064"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35FC4250"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2988C391"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0.881</w:t>
            </w:r>
          </w:p>
        </w:tc>
        <w:tc>
          <w:tcPr>
            <w:tcW w:w="360" w:type="pct"/>
            <w:tcBorders>
              <w:top w:val="single" w:sz="4" w:space="0" w:color="7F7F7F" w:themeColor="text1" w:themeTint="80"/>
              <w:bottom w:val="single" w:sz="4" w:space="0" w:color="7F7F7F" w:themeColor="text1" w:themeTint="80"/>
            </w:tcBorders>
            <w:vAlign w:val="center"/>
          </w:tcPr>
          <w:p w14:paraId="7EC3569B"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2.048</w:t>
            </w:r>
          </w:p>
        </w:tc>
        <w:tc>
          <w:tcPr>
            <w:tcW w:w="493" w:type="pct"/>
            <w:tcBorders>
              <w:top w:val="single" w:sz="4" w:space="0" w:color="7F7F7F" w:themeColor="text1" w:themeTint="80"/>
              <w:bottom w:val="single" w:sz="4" w:space="0" w:color="7F7F7F" w:themeColor="text1" w:themeTint="80"/>
            </w:tcBorders>
            <w:vAlign w:val="center"/>
          </w:tcPr>
          <w:p w14:paraId="26DE7CB5"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3.34</w:t>
            </w:r>
          </w:p>
        </w:tc>
        <w:tc>
          <w:tcPr>
            <w:tcW w:w="400" w:type="pct"/>
            <w:tcBorders>
              <w:top w:val="single" w:sz="4" w:space="0" w:color="7F7F7F" w:themeColor="text1" w:themeTint="80"/>
              <w:bottom w:val="single" w:sz="4" w:space="0" w:color="7F7F7F" w:themeColor="text1" w:themeTint="80"/>
            </w:tcBorders>
            <w:vAlign w:val="center"/>
          </w:tcPr>
          <w:p w14:paraId="40630418"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w:t>
            </w:r>
          </w:p>
        </w:tc>
      </w:tr>
      <w:tr w:rsidR="00D83248" w14:paraId="4A6047B6"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vAlign w:val="center"/>
          </w:tcPr>
          <w:p w14:paraId="059CE369"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OBL4</w:t>
            </w:r>
          </w:p>
        </w:tc>
        <w:tc>
          <w:tcPr>
            <w:tcW w:w="1359" w:type="pct"/>
            <w:vAlign w:val="center"/>
          </w:tcPr>
          <w:p w14:paraId="6ECCD383"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to show support for the brands I like.</w:t>
            </w:r>
          </w:p>
        </w:tc>
        <w:tc>
          <w:tcPr>
            <w:tcW w:w="360" w:type="pct"/>
            <w:vAlign w:val="center"/>
          </w:tcPr>
          <w:p w14:paraId="42DB3469"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6E7688AB"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5465F0DF"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65D67273"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vAlign w:val="center"/>
          </w:tcPr>
          <w:p w14:paraId="6EF1A501"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0.823</w:t>
            </w:r>
          </w:p>
        </w:tc>
        <w:tc>
          <w:tcPr>
            <w:tcW w:w="360" w:type="pct"/>
            <w:vAlign w:val="center"/>
          </w:tcPr>
          <w:p w14:paraId="47540189"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1.249</w:t>
            </w:r>
          </w:p>
        </w:tc>
        <w:tc>
          <w:tcPr>
            <w:tcW w:w="493" w:type="pct"/>
            <w:vAlign w:val="center"/>
          </w:tcPr>
          <w:p w14:paraId="7CCBCD71"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3.14</w:t>
            </w:r>
          </w:p>
        </w:tc>
        <w:tc>
          <w:tcPr>
            <w:tcW w:w="400" w:type="pct"/>
            <w:vAlign w:val="center"/>
          </w:tcPr>
          <w:p w14:paraId="31955EBD"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w:t>
            </w:r>
          </w:p>
        </w:tc>
      </w:tr>
      <w:tr w:rsidR="00D83248" w14:paraId="1189080E" w14:textId="77777777" w:rsidTr="00D83248">
        <w:trPr>
          <w:trHeight w:val="520"/>
        </w:trPr>
        <w:tc>
          <w:tcPr>
            <w:cnfStyle w:val="001000000000" w:firstRow="0" w:lastRow="0" w:firstColumn="1" w:lastColumn="0" w:oddVBand="0" w:evenVBand="0" w:oddHBand="0" w:evenHBand="0" w:firstRowFirstColumn="0" w:firstRowLastColumn="0" w:lastRowFirstColumn="0" w:lastRowLastColumn="0"/>
            <w:tcW w:w="585" w:type="pct"/>
            <w:tcBorders>
              <w:top w:val="single" w:sz="4" w:space="0" w:color="7F7F7F" w:themeColor="text1" w:themeTint="80"/>
              <w:bottom w:val="single" w:sz="4" w:space="0" w:color="7F7F7F" w:themeColor="text1" w:themeTint="80"/>
            </w:tcBorders>
            <w:vAlign w:val="center"/>
          </w:tcPr>
          <w:p w14:paraId="6AABDCCB" w14:textId="77777777" w:rsidR="004F5D9D" w:rsidRPr="005F1B2C" w:rsidRDefault="00534E43">
            <w:pPr>
              <w:spacing w:after="0" w:line="240" w:lineRule="auto"/>
              <w:jc w:val="center"/>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OBL5</w:t>
            </w:r>
          </w:p>
        </w:tc>
        <w:tc>
          <w:tcPr>
            <w:tcW w:w="1359" w:type="pct"/>
            <w:tcBorders>
              <w:top w:val="single" w:sz="4" w:space="0" w:color="7F7F7F" w:themeColor="text1" w:themeTint="80"/>
              <w:bottom w:val="single" w:sz="4" w:space="0" w:color="7F7F7F" w:themeColor="text1" w:themeTint="80"/>
            </w:tcBorders>
            <w:vAlign w:val="center"/>
          </w:tcPr>
          <w:p w14:paraId="5E42431E" w14:textId="77777777" w:rsidR="004F5D9D" w:rsidRPr="005F1B2C" w:rsidRDefault="00534E4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val="en-IN" w:eastAsia="en-IN"/>
              </w:rPr>
              <w:t>I avoid this brand because I want to defend my favorite brand.</w:t>
            </w:r>
          </w:p>
        </w:tc>
        <w:tc>
          <w:tcPr>
            <w:tcW w:w="360" w:type="pct"/>
            <w:tcBorders>
              <w:top w:val="single" w:sz="4" w:space="0" w:color="7F7F7F" w:themeColor="text1" w:themeTint="80"/>
              <w:bottom w:val="single" w:sz="4" w:space="0" w:color="7F7F7F" w:themeColor="text1" w:themeTint="80"/>
            </w:tcBorders>
            <w:vAlign w:val="center"/>
          </w:tcPr>
          <w:p w14:paraId="2F15BAE7"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6FB0040F"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4E98B2FA"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531700A7" w14:textId="77777777" w:rsidR="004F5D9D" w:rsidRPr="005F1B2C" w:rsidRDefault="004F5D9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p>
        </w:tc>
        <w:tc>
          <w:tcPr>
            <w:tcW w:w="360" w:type="pct"/>
            <w:tcBorders>
              <w:top w:val="single" w:sz="4" w:space="0" w:color="7F7F7F" w:themeColor="text1" w:themeTint="80"/>
              <w:bottom w:val="single" w:sz="4" w:space="0" w:color="7F7F7F" w:themeColor="text1" w:themeTint="80"/>
            </w:tcBorders>
            <w:vAlign w:val="center"/>
          </w:tcPr>
          <w:p w14:paraId="3480ECB9"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0.814</w:t>
            </w:r>
          </w:p>
        </w:tc>
        <w:tc>
          <w:tcPr>
            <w:tcW w:w="360" w:type="pct"/>
            <w:tcBorders>
              <w:top w:val="single" w:sz="4" w:space="0" w:color="7F7F7F" w:themeColor="text1" w:themeTint="80"/>
              <w:bottom w:val="single" w:sz="4" w:space="0" w:color="7F7F7F" w:themeColor="text1" w:themeTint="80"/>
            </w:tcBorders>
            <w:vAlign w:val="center"/>
          </w:tcPr>
          <w:p w14:paraId="510637D1"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1.659</w:t>
            </w:r>
          </w:p>
        </w:tc>
        <w:tc>
          <w:tcPr>
            <w:tcW w:w="493" w:type="pct"/>
            <w:tcBorders>
              <w:top w:val="single" w:sz="4" w:space="0" w:color="7F7F7F" w:themeColor="text1" w:themeTint="80"/>
              <w:bottom w:val="single" w:sz="4" w:space="0" w:color="7F7F7F" w:themeColor="text1" w:themeTint="80"/>
            </w:tcBorders>
            <w:vAlign w:val="center"/>
          </w:tcPr>
          <w:p w14:paraId="7698391F"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2.1</w:t>
            </w:r>
          </w:p>
        </w:tc>
        <w:tc>
          <w:tcPr>
            <w:tcW w:w="400" w:type="pct"/>
            <w:tcBorders>
              <w:top w:val="single" w:sz="4" w:space="0" w:color="7F7F7F" w:themeColor="text1" w:themeTint="80"/>
              <w:bottom w:val="single" w:sz="4" w:space="0" w:color="7F7F7F" w:themeColor="text1" w:themeTint="80"/>
            </w:tcBorders>
            <w:vAlign w:val="center"/>
          </w:tcPr>
          <w:p w14:paraId="48D43F31" w14:textId="77777777" w:rsidR="004F5D9D" w:rsidRPr="005F1B2C" w:rsidRDefault="00534E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IN" w:eastAsia="en-IN"/>
              </w:rPr>
            </w:pPr>
            <w:r>
              <w:rPr>
                <w:rFonts w:ascii="Times New Roman" w:eastAsia="Times New Roman" w:hAnsi="Times New Roman" w:cs="Times New Roman"/>
                <w:sz w:val="20"/>
                <w:szCs w:val="20"/>
                <w:lang w:eastAsia="en-IN"/>
              </w:rPr>
              <w:t>0</w:t>
            </w:r>
          </w:p>
        </w:tc>
      </w:tr>
    </w:tbl>
    <w:p w14:paraId="5106BEFA" w14:textId="77777777" w:rsidR="004F5D9D" w:rsidRPr="005F1B2C" w:rsidRDefault="00534E43" w:rsidP="005F1B2C">
      <w:pPr>
        <w:tabs>
          <w:tab w:val="left" w:pos="180"/>
        </w:tabs>
        <w:spacing w:after="0" w:line="360" w:lineRule="exact"/>
        <w:ind w:left="523" w:right="90" w:hangingChars="218" w:hanging="523"/>
        <w:jc w:val="both"/>
        <w:rPr>
          <w:rFonts w:ascii="Times New Roman" w:hAnsi="Times New Roman" w:cs="Times New Roman"/>
          <w:bCs/>
          <w:sz w:val="24"/>
          <w:szCs w:val="24"/>
        </w:rPr>
      </w:pPr>
      <w:r>
        <w:rPr>
          <w:rFonts w:ascii="Times New Roman" w:hAnsi="Times New Roman" w:cs="Times New Roman"/>
          <w:bCs/>
          <w:i/>
          <w:iCs/>
          <w:sz w:val="24"/>
          <w:szCs w:val="24"/>
        </w:rPr>
        <w:t>Note</w:t>
      </w:r>
      <w:r>
        <w:rPr>
          <w:rFonts w:ascii="Times New Roman" w:hAnsi="Times New Roman" w:cs="Times New Roman" w:hint="eastAsia"/>
          <w:bCs/>
          <w:i/>
          <w:iCs/>
          <w:sz w:val="24"/>
          <w:szCs w:val="24"/>
          <w:lang w:eastAsia="zh-TW"/>
        </w:rPr>
        <w:t>.</w:t>
      </w:r>
      <w:r>
        <w:rPr>
          <w:rFonts w:ascii="Times New Roman" w:hAnsi="Times New Roman" w:cs="Times New Roman"/>
          <w:bCs/>
          <w:sz w:val="24"/>
          <w:szCs w:val="24"/>
        </w:rPr>
        <w:t xml:space="preserve"> MA = moral avoidance; IA = identity avoidance; EA = experiential avoidance; VDA = value deficiency avoidance; OBL = oppositional brand loyalty.</w:t>
      </w:r>
    </w:p>
    <w:p w14:paraId="0AD95803" w14:textId="77777777" w:rsidR="005F1B2C" w:rsidRDefault="005F1B2C" w:rsidP="0050632A">
      <w:pPr>
        <w:autoSpaceDE w:val="0"/>
        <w:autoSpaceDN w:val="0"/>
        <w:adjustRightInd w:val="0"/>
        <w:spacing w:after="0" w:line="300" w:lineRule="auto"/>
        <w:ind w:firstLineChars="200" w:firstLine="520"/>
        <w:jc w:val="both"/>
        <w:rPr>
          <w:rFonts w:ascii="Times New Roman" w:hAnsi="Times New Roman" w:cs="Times New Roman"/>
          <w:bCs/>
          <w:sz w:val="26"/>
          <w:szCs w:val="26"/>
        </w:rPr>
      </w:pPr>
    </w:p>
    <w:p w14:paraId="4F1220BD" w14:textId="77777777" w:rsidR="004F5D9D" w:rsidRPr="005F1B2C" w:rsidRDefault="00534E43" w:rsidP="0050632A">
      <w:pPr>
        <w:autoSpaceDE w:val="0"/>
        <w:autoSpaceDN w:val="0"/>
        <w:adjustRightInd w:val="0"/>
        <w:spacing w:after="0" w:line="300" w:lineRule="auto"/>
        <w:ind w:firstLineChars="200" w:firstLine="520"/>
        <w:jc w:val="both"/>
        <w:rPr>
          <w:rFonts w:ascii="Times New Roman" w:hAnsi="Times New Roman" w:cs="Times New Roman"/>
          <w:bCs/>
          <w:sz w:val="26"/>
          <w:szCs w:val="26"/>
        </w:rPr>
      </w:pPr>
      <w:r>
        <w:rPr>
          <w:rFonts w:ascii="Times New Roman" w:hAnsi="Times New Roman" w:cs="Times New Roman"/>
          <w:bCs/>
          <w:sz w:val="26"/>
          <w:szCs w:val="26"/>
        </w:rPr>
        <w:t xml:space="preserve">VIF values &lt; 3.3 indicate no multicollinearity. All indicators are significant at p &lt; .05. Item-level diagnostics indicate </w:t>
      </w:r>
      <w:r>
        <w:rPr>
          <w:rFonts w:ascii="Times New Roman" w:hAnsi="Times New Roman" w:cs="Times New Roman"/>
          <w:kern w:val="2"/>
          <w:sz w:val="26"/>
          <w:szCs w:val="26"/>
          <w14:ligatures w14:val="standardContextual"/>
        </w:rPr>
        <w:t>that</w:t>
      </w:r>
      <w:r>
        <w:rPr>
          <w:rFonts w:ascii="Times New Roman" w:hAnsi="Times New Roman" w:cs="Times New Roman"/>
          <w:bCs/>
          <w:sz w:val="26"/>
          <w:szCs w:val="26"/>
        </w:rPr>
        <w:t xml:space="preserve"> all formative indicators have acceptable loadings and low VIF values, suggesting multicollinearity is not a concern. These results confirm that each item contributes uniquely to its respective formative dimension.</w:t>
      </w:r>
    </w:p>
    <w:p w14:paraId="057ECE9A" w14:textId="77777777" w:rsidR="004F5D9D" w:rsidRPr="005F1B2C" w:rsidRDefault="004F5D9D">
      <w:pPr>
        <w:tabs>
          <w:tab w:val="left" w:pos="180"/>
        </w:tabs>
        <w:spacing w:after="0" w:line="360" w:lineRule="exact"/>
        <w:ind w:right="86" w:firstLine="360"/>
        <w:jc w:val="both"/>
        <w:rPr>
          <w:rFonts w:ascii="Times New Roman" w:hAnsi="Times New Roman" w:cs="Times New Roman"/>
          <w:bCs/>
          <w:sz w:val="26"/>
          <w:szCs w:val="26"/>
        </w:rPr>
      </w:pPr>
    </w:p>
    <w:p w14:paraId="6CC8988C" w14:textId="77777777" w:rsidR="004F5D9D" w:rsidRPr="005F1B2C" w:rsidRDefault="00534E43">
      <w:pPr>
        <w:tabs>
          <w:tab w:val="left" w:pos="180"/>
        </w:tabs>
        <w:spacing w:after="0" w:line="360" w:lineRule="exact"/>
        <w:ind w:right="86"/>
        <w:rPr>
          <w:rFonts w:ascii="Times New Roman" w:hAnsi="Times New Roman" w:cs="Times New Roman"/>
          <w:b/>
          <w:bCs/>
          <w:sz w:val="26"/>
          <w:szCs w:val="26"/>
          <w:lang w:val="en-GB"/>
        </w:rPr>
      </w:pPr>
      <w:r>
        <w:rPr>
          <w:rFonts w:ascii="Times New Roman" w:hAnsi="Times New Roman" w:cs="Times New Roman"/>
          <w:b/>
          <w:bCs/>
          <w:sz w:val="26"/>
          <w:szCs w:val="26"/>
          <w:lang w:val="en-GB"/>
        </w:rPr>
        <w:t xml:space="preserve">Inner </w:t>
      </w:r>
      <w:r w:rsidR="000C5032">
        <w:rPr>
          <w:rFonts w:ascii="Times New Roman" w:hAnsi="Times New Roman" w:cs="Times New Roman"/>
          <w:b/>
          <w:bCs/>
          <w:sz w:val="26"/>
          <w:szCs w:val="26"/>
          <w:lang w:val="en-GB"/>
        </w:rPr>
        <w:t>M</w:t>
      </w:r>
      <w:r>
        <w:rPr>
          <w:rFonts w:ascii="Times New Roman" w:hAnsi="Times New Roman" w:cs="Times New Roman"/>
          <w:b/>
          <w:bCs/>
          <w:sz w:val="26"/>
          <w:szCs w:val="26"/>
          <w:lang w:val="en-GB"/>
        </w:rPr>
        <w:t xml:space="preserve">odel </w:t>
      </w:r>
      <w:r w:rsidR="000C5032">
        <w:rPr>
          <w:rFonts w:ascii="Times New Roman" w:hAnsi="Times New Roman" w:cs="Times New Roman"/>
          <w:b/>
          <w:bCs/>
          <w:sz w:val="26"/>
          <w:szCs w:val="26"/>
          <w:lang w:val="en-GB"/>
        </w:rPr>
        <w:t>E</w:t>
      </w:r>
      <w:r>
        <w:rPr>
          <w:rFonts w:ascii="Times New Roman" w:hAnsi="Times New Roman" w:cs="Times New Roman"/>
          <w:b/>
          <w:bCs/>
          <w:sz w:val="26"/>
          <w:szCs w:val="26"/>
          <w:lang w:val="en-GB"/>
        </w:rPr>
        <w:t xml:space="preserve">valuation and </w:t>
      </w:r>
      <w:r w:rsidR="000C5032">
        <w:rPr>
          <w:rFonts w:ascii="Times New Roman" w:hAnsi="Times New Roman" w:cs="Times New Roman"/>
          <w:b/>
          <w:bCs/>
          <w:sz w:val="26"/>
          <w:szCs w:val="26"/>
          <w:lang w:val="en-GB"/>
        </w:rPr>
        <w:t>N</w:t>
      </w:r>
      <w:r>
        <w:rPr>
          <w:rFonts w:ascii="Times New Roman" w:hAnsi="Times New Roman" w:cs="Times New Roman"/>
          <w:b/>
          <w:bCs/>
          <w:sz w:val="26"/>
          <w:szCs w:val="26"/>
          <w:lang w:val="en-GB"/>
        </w:rPr>
        <w:t xml:space="preserve">omological </w:t>
      </w:r>
      <w:r w:rsidR="000C5032">
        <w:rPr>
          <w:rFonts w:ascii="Times New Roman" w:hAnsi="Times New Roman" w:cs="Times New Roman"/>
          <w:b/>
          <w:bCs/>
          <w:sz w:val="26"/>
          <w:szCs w:val="26"/>
          <w:lang w:val="en-GB"/>
        </w:rPr>
        <w:t>E</w:t>
      </w:r>
      <w:r>
        <w:rPr>
          <w:rFonts w:ascii="Times New Roman" w:hAnsi="Times New Roman" w:cs="Times New Roman"/>
          <w:b/>
          <w:bCs/>
          <w:sz w:val="26"/>
          <w:szCs w:val="26"/>
          <w:lang w:val="en-GB"/>
        </w:rPr>
        <w:t xml:space="preserve">stimations </w:t>
      </w:r>
    </w:p>
    <w:p w14:paraId="6691324F" w14:textId="0D70E40A" w:rsidR="004F5D9D" w:rsidRPr="005F1B2C" w:rsidRDefault="00534E43" w:rsidP="0050632A">
      <w:pPr>
        <w:autoSpaceDE w:val="0"/>
        <w:autoSpaceDN w:val="0"/>
        <w:adjustRightInd w:val="0"/>
        <w:spacing w:after="0" w:line="300" w:lineRule="auto"/>
        <w:ind w:firstLineChars="200" w:firstLine="520"/>
        <w:jc w:val="both"/>
        <w:rPr>
          <w:rFonts w:ascii="Times New Roman" w:hAnsi="Times New Roman" w:cs="Times New Roman"/>
          <w:bCs/>
          <w:sz w:val="26"/>
          <w:szCs w:val="26"/>
        </w:rPr>
      </w:pPr>
      <w:r>
        <w:rPr>
          <w:rFonts w:ascii="Times New Roman" w:hAnsi="Times New Roman" w:cs="Times New Roman"/>
          <w:bCs/>
          <w:sz w:val="26"/>
          <w:szCs w:val="26"/>
        </w:rPr>
        <w:t xml:space="preserve">Similar research protocols were followed while investigating the outer measurement models for the first- and second-order factors. In the statistical analysis, the weights were substantial, and no multicollinearity concerns were reported (as shown in Table II and Figure 1). Following the pertinent literature on formative constructs (Ranjan </w:t>
      </w:r>
      <w:r w:rsidR="003239FC">
        <w:rPr>
          <w:rFonts w:ascii="Times New Roman" w:hAnsi="Times New Roman" w:cs="Times New Roman"/>
          <w:bCs/>
          <w:sz w:val="26"/>
          <w:szCs w:val="26"/>
        </w:rPr>
        <w:t xml:space="preserve">&amp; </w:t>
      </w:r>
      <w:r>
        <w:rPr>
          <w:rFonts w:ascii="Times New Roman" w:hAnsi="Times New Roman" w:cs="Times New Roman"/>
          <w:bCs/>
          <w:sz w:val="26"/>
          <w:szCs w:val="26"/>
        </w:rPr>
        <w:t xml:space="preserve">Read, 2016; Taheri et al., 2016), the quality of the inner model was measured using cross-validated redundancy, path coefficients, </w:t>
      </w:r>
      <w:r>
        <w:rPr>
          <w:rFonts w:ascii="Times New Roman" w:hAnsi="Times New Roman" w:cs="Times New Roman"/>
          <w:kern w:val="2"/>
          <w:sz w:val="26"/>
          <w:szCs w:val="26"/>
          <w14:ligatures w14:val="standardContextual"/>
        </w:rPr>
        <w:t>effect</w:t>
      </w:r>
      <w:r>
        <w:rPr>
          <w:rFonts w:ascii="Times New Roman" w:hAnsi="Times New Roman" w:cs="Times New Roman"/>
          <w:bCs/>
          <w:sz w:val="26"/>
          <w:szCs w:val="26"/>
        </w:rPr>
        <w:t xml:space="preserve"> sizes, and the coefficient of determination. To assess the blindfolding results, the Stone–Geisser test criterion Q2 (Geisser, 1974; Stone, 1974) was applied using a sample-reuse technique. The important results are as follows:</w:t>
      </w:r>
    </w:p>
    <w:p w14:paraId="6B43FFDA" w14:textId="77777777" w:rsidR="004F5D9D" w:rsidRPr="005F1B2C" w:rsidRDefault="004F5D9D">
      <w:pPr>
        <w:widowControl w:val="0"/>
        <w:autoSpaceDE w:val="0"/>
        <w:autoSpaceDN w:val="0"/>
        <w:adjustRightInd w:val="0"/>
        <w:spacing w:after="0" w:line="360" w:lineRule="exact"/>
        <w:ind w:firstLine="360"/>
        <w:jc w:val="both"/>
        <w:rPr>
          <w:rFonts w:ascii="Times New Roman" w:hAnsi="Times New Roman" w:cs="Times New Roman"/>
          <w:bCs/>
          <w:sz w:val="26"/>
          <w:szCs w:val="26"/>
        </w:rPr>
      </w:pPr>
    </w:p>
    <w:p w14:paraId="2ABB3167" w14:textId="4F922179" w:rsidR="004F5D9D" w:rsidRPr="005F1B2C" w:rsidRDefault="00534E43">
      <w:pPr>
        <w:tabs>
          <w:tab w:val="left" w:pos="180"/>
        </w:tabs>
        <w:spacing w:after="0" w:line="360" w:lineRule="auto"/>
        <w:ind w:right="90"/>
        <w:rPr>
          <w:rFonts w:ascii="Times New Roman" w:hAnsi="Times New Roman" w:cs="Times New Roman"/>
          <w:b/>
          <w:bCs/>
          <w:sz w:val="26"/>
          <w:szCs w:val="26"/>
          <w:lang w:val="en-GB"/>
        </w:rPr>
      </w:pPr>
      <w:r>
        <w:rPr>
          <w:rFonts w:ascii="Times New Roman" w:hAnsi="Times New Roman" w:cs="Times New Roman"/>
          <w:b/>
          <w:bCs/>
          <w:sz w:val="26"/>
          <w:szCs w:val="26"/>
          <w:lang w:val="en-GB"/>
        </w:rPr>
        <w:t>Table 2</w:t>
      </w:r>
      <w:r>
        <w:rPr>
          <w:rFonts w:ascii="Times New Roman" w:hAnsi="Times New Roman" w:cs="Times New Roman" w:hint="eastAsia"/>
          <w:b/>
          <w:bCs/>
          <w:sz w:val="26"/>
          <w:szCs w:val="26"/>
          <w:lang w:val="en-GB" w:eastAsia="zh-TW"/>
        </w:rPr>
        <w:t xml:space="preserve"> </w:t>
      </w:r>
      <w:r>
        <w:rPr>
          <w:rFonts w:ascii="Times New Roman" w:hAnsi="Times New Roman" w:cs="Times New Roman"/>
          <w:bCs/>
          <w:i/>
          <w:iCs/>
          <w:sz w:val="26"/>
          <w:szCs w:val="26"/>
          <w:lang w:val="en-GB"/>
        </w:rPr>
        <w:t>Second-Order Variable Assessments</w:t>
      </w:r>
      <w:r>
        <w:rPr>
          <w:rFonts w:ascii="Times New Roman" w:hAnsi="Times New Roman" w:cs="Times New Roman" w:hint="eastAsia"/>
          <w:bCs/>
          <w:i/>
          <w:iCs/>
          <w:sz w:val="26"/>
          <w:szCs w:val="26"/>
          <w:lang w:val="en-GB" w:eastAsia="zh-TW"/>
        </w:rPr>
        <w:t>.</w:t>
      </w:r>
    </w:p>
    <w:tbl>
      <w:tblPr>
        <w:tblStyle w:val="PlainTable21"/>
        <w:tblW w:w="9264" w:type="dxa"/>
        <w:tblLook w:val="04A0" w:firstRow="1" w:lastRow="0" w:firstColumn="1" w:lastColumn="0" w:noHBand="0" w:noVBand="1"/>
      </w:tblPr>
      <w:tblGrid>
        <w:gridCol w:w="4347"/>
        <w:gridCol w:w="2098"/>
        <w:gridCol w:w="1606"/>
        <w:gridCol w:w="1213"/>
      </w:tblGrid>
      <w:tr w:rsidR="00D83248" w14:paraId="37162C97" w14:textId="77777777" w:rsidTr="00D83248">
        <w:trPr>
          <w:cnfStyle w:val="100000000000" w:firstRow="1" w:lastRow="0" w:firstColumn="0" w:lastColumn="0" w:oddVBand="0" w:evenVBand="0" w:oddHBand="0"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0" w:type="auto"/>
          </w:tcPr>
          <w:p w14:paraId="6A6302C6" w14:textId="77777777" w:rsidR="004F5D9D" w:rsidRPr="005F1B2C" w:rsidRDefault="00534E43">
            <w:pPr>
              <w:tabs>
                <w:tab w:val="left" w:pos="180"/>
              </w:tabs>
              <w:spacing w:after="0" w:line="240" w:lineRule="auto"/>
              <w:ind w:right="90"/>
              <w:rPr>
                <w:rFonts w:ascii="Times New Roman" w:hAnsi="Times New Roman"/>
                <w:sz w:val="26"/>
                <w:szCs w:val="26"/>
                <w:lang w:val="en-GB"/>
              </w:rPr>
            </w:pPr>
            <w:r>
              <w:rPr>
                <w:rFonts w:ascii="Times New Roman" w:hAnsi="Times New Roman"/>
                <w:sz w:val="26"/>
                <w:szCs w:val="26"/>
                <w:lang w:val="en-GB"/>
              </w:rPr>
              <w:t>Items</w:t>
            </w:r>
          </w:p>
        </w:tc>
        <w:tc>
          <w:tcPr>
            <w:tcW w:w="0" w:type="auto"/>
          </w:tcPr>
          <w:p w14:paraId="736E5545" w14:textId="77777777" w:rsidR="004F5D9D" w:rsidRPr="005F1B2C" w:rsidRDefault="00534E43">
            <w:pPr>
              <w:tabs>
                <w:tab w:val="left" w:pos="180"/>
              </w:tabs>
              <w:spacing w:after="0" w:line="240" w:lineRule="auto"/>
              <w:ind w:right="90"/>
              <w:cnfStyle w:val="100000000000" w:firstRow="1" w:lastRow="0" w:firstColumn="0" w:lastColumn="0" w:oddVBand="0" w:evenVBand="0" w:oddHBand="0" w:evenHBand="0" w:firstRowFirstColumn="0" w:firstRowLastColumn="0" w:lastRowFirstColumn="0" w:lastRowLastColumn="0"/>
              <w:rPr>
                <w:rFonts w:ascii="Times New Roman" w:hAnsi="Times New Roman"/>
                <w:sz w:val="26"/>
                <w:szCs w:val="26"/>
                <w:lang w:val="en-GB"/>
              </w:rPr>
            </w:pPr>
            <w:r>
              <w:rPr>
                <w:rFonts w:ascii="Times New Roman" w:hAnsi="Times New Roman"/>
                <w:sz w:val="26"/>
                <w:szCs w:val="26"/>
                <w:lang w:val="en-GB"/>
              </w:rPr>
              <w:t>t- Statistics</w:t>
            </w:r>
          </w:p>
        </w:tc>
        <w:tc>
          <w:tcPr>
            <w:tcW w:w="0" w:type="auto"/>
          </w:tcPr>
          <w:p w14:paraId="6ACA351F" w14:textId="77777777" w:rsidR="004F5D9D" w:rsidRPr="005F1B2C" w:rsidRDefault="00534E43">
            <w:pPr>
              <w:tabs>
                <w:tab w:val="left" w:pos="180"/>
              </w:tabs>
              <w:spacing w:after="0" w:line="240" w:lineRule="auto"/>
              <w:ind w:right="90"/>
              <w:cnfStyle w:val="100000000000" w:firstRow="1" w:lastRow="0" w:firstColumn="0" w:lastColumn="0" w:oddVBand="0" w:evenVBand="0" w:oddHBand="0" w:evenHBand="0" w:firstRowFirstColumn="0" w:firstRowLastColumn="0" w:lastRowFirstColumn="0" w:lastRowLastColumn="0"/>
              <w:rPr>
                <w:rFonts w:ascii="Times New Roman" w:hAnsi="Times New Roman"/>
                <w:sz w:val="26"/>
                <w:szCs w:val="26"/>
                <w:lang w:val="en-GB"/>
              </w:rPr>
            </w:pPr>
            <w:r>
              <w:rPr>
                <w:rFonts w:ascii="Times New Roman" w:hAnsi="Times New Roman"/>
                <w:sz w:val="26"/>
                <w:szCs w:val="26"/>
                <w:lang w:val="en-GB"/>
              </w:rPr>
              <w:t>P Value</w:t>
            </w:r>
          </w:p>
        </w:tc>
        <w:tc>
          <w:tcPr>
            <w:tcW w:w="0" w:type="auto"/>
          </w:tcPr>
          <w:p w14:paraId="6A64C63E" w14:textId="77777777" w:rsidR="004F5D9D" w:rsidRPr="005F1B2C" w:rsidRDefault="00534E43">
            <w:pPr>
              <w:tabs>
                <w:tab w:val="left" w:pos="180"/>
              </w:tabs>
              <w:spacing w:after="0" w:line="240" w:lineRule="auto"/>
              <w:ind w:right="90"/>
              <w:cnfStyle w:val="100000000000" w:firstRow="1" w:lastRow="0" w:firstColumn="0" w:lastColumn="0" w:oddVBand="0" w:evenVBand="0" w:oddHBand="0" w:evenHBand="0" w:firstRowFirstColumn="0" w:firstRowLastColumn="0" w:lastRowFirstColumn="0" w:lastRowLastColumn="0"/>
              <w:rPr>
                <w:rFonts w:ascii="Times New Roman" w:hAnsi="Times New Roman"/>
                <w:sz w:val="26"/>
                <w:szCs w:val="26"/>
                <w:lang w:val="en-GB"/>
              </w:rPr>
            </w:pPr>
            <w:r>
              <w:rPr>
                <w:rFonts w:ascii="Times New Roman" w:hAnsi="Times New Roman"/>
                <w:sz w:val="26"/>
                <w:szCs w:val="26"/>
                <w:lang w:val="en-GB"/>
              </w:rPr>
              <w:t>VIF</w:t>
            </w:r>
          </w:p>
        </w:tc>
      </w:tr>
      <w:tr w:rsidR="00D83248" w14:paraId="264CBA5C" w14:textId="77777777" w:rsidTr="00D83248">
        <w:trPr>
          <w:trHeight w:val="441"/>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bottom w:val="single" w:sz="4" w:space="0" w:color="7F7F7F" w:themeColor="text1" w:themeTint="80"/>
            </w:tcBorders>
          </w:tcPr>
          <w:p w14:paraId="68B95E31" w14:textId="77777777" w:rsidR="004F5D9D" w:rsidRPr="005F1B2C" w:rsidRDefault="00534E43">
            <w:pPr>
              <w:tabs>
                <w:tab w:val="left" w:pos="180"/>
              </w:tabs>
              <w:spacing w:after="0" w:line="240" w:lineRule="auto"/>
              <w:ind w:right="90"/>
              <w:rPr>
                <w:rFonts w:ascii="Times New Roman" w:hAnsi="Times New Roman"/>
                <w:sz w:val="26"/>
                <w:szCs w:val="26"/>
                <w:lang w:val="en-GB"/>
              </w:rPr>
            </w:pPr>
            <w:r>
              <w:rPr>
                <w:rFonts w:ascii="Times New Roman" w:hAnsi="Times New Roman"/>
                <w:b w:val="0"/>
                <w:bCs w:val="0"/>
                <w:sz w:val="26"/>
                <w:szCs w:val="26"/>
                <w:lang w:val="en-GB"/>
              </w:rPr>
              <w:t>Moral avoidance</w:t>
            </w:r>
          </w:p>
        </w:tc>
        <w:tc>
          <w:tcPr>
            <w:tcW w:w="0" w:type="auto"/>
            <w:tcBorders>
              <w:top w:val="single" w:sz="4" w:space="0" w:color="7F7F7F" w:themeColor="text1" w:themeTint="80"/>
              <w:bottom w:val="single" w:sz="4" w:space="0" w:color="7F7F7F" w:themeColor="text1" w:themeTint="80"/>
            </w:tcBorders>
          </w:tcPr>
          <w:p w14:paraId="2A5F66A1" w14:textId="77777777" w:rsidR="004F5D9D" w:rsidRPr="005F1B2C" w:rsidRDefault="00534E43">
            <w:pPr>
              <w:tabs>
                <w:tab w:val="left" w:pos="180"/>
              </w:tabs>
              <w:spacing w:after="0" w:line="240" w:lineRule="auto"/>
              <w:ind w:right="90"/>
              <w:cnfStyle w:val="000000000000" w:firstRow="0" w:lastRow="0" w:firstColumn="0" w:lastColumn="0" w:oddVBand="0" w:evenVBand="0" w:oddHBand="0" w:evenHBand="0" w:firstRowFirstColumn="0" w:firstRowLastColumn="0" w:lastRowFirstColumn="0" w:lastRowLastColumn="0"/>
              <w:rPr>
                <w:rFonts w:ascii="Times New Roman" w:hAnsi="Times New Roman"/>
                <w:bCs/>
                <w:sz w:val="26"/>
                <w:szCs w:val="26"/>
                <w:lang w:val="en-GB"/>
              </w:rPr>
            </w:pPr>
            <w:r>
              <w:rPr>
                <w:rFonts w:ascii="Times New Roman" w:hAnsi="Times New Roman"/>
                <w:bCs/>
                <w:sz w:val="26"/>
                <w:szCs w:val="26"/>
                <w:lang w:val="en-GB"/>
              </w:rPr>
              <w:t>4.135</w:t>
            </w:r>
          </w:p>
        </w:tc>
        <w:tc>
          <w:tcPr>
            <w:tcW w:w="0" w:type="auto"/>
            <w:tcBorders>
              <w:top w:val="single" w:sz="4" w:space="0" w:color="7F7F7F" w:themeColor="text1" w:themeTint="80"/>
              <w:bottom w:val="single" w:sz="4" w:space="0" w:color="7F7F7F" w:themeColor="text1" w:themeTint="80"/>
            </w:tcBorders>
          </w:tcPr>
          <w:p w14:paraId="28F0E663" w14:textId="77777777" w:rsidR="004F5D9D" w:rsidRPr="005F1B2C" w:rsidRDefault="00534E43">
            <w:pPr>
              <w:tabs>
                <w:tab w:val="left" w:pos="180"/>
              </w:tabs>
              <w:spacing w:after="0" w:line="240" w:lineRule="auto"/>
              <w:ind w:right="90"/>
              <w:cnfStyle w:val="000000000000" w:firstRow="0" w:lastRow="0" w:firstColumn="0" w:lastColumn="0" w:oddVBand="0" w:evenVBand="0" w:oddHBand="0" w:evenHBand="0" w:firstRowFirstColumn="0" w:firstRowLastColumn="0" w:lastRowFirstColumn="0" w:lastRowLastColumn="0"/>
              <w:rPr>
                <w:rFonts w:ascii="Times New Roman" w:hAnsi="Times New Roman"/>
                <w:bCs/>
                <w:sz w:val="26"/>
                <w:szCs w:val="26"/>
                <w:lang w:val="en-GB"/>
              </w:rPr>
            </w:pPr>
            <w:r>
              <w:rPr>
                <w:rFonts w:ascii="Times New Roman" w:hAnsi="Times New Roman"/>
                <w:bCs/>
                <w:sz w:val="26"/>
                <w:szCs w:val="26"/>
                <w:lang w:val="en-GB"/>
              </w:rPr>
              <w:t>0.03</w:t>
            </w:r>
          </w:p>
        </w:tc>
        <w:tc>
          <w:tcPr>
            <w:tcW w:w="0" w:type="auto"/>
            <w:tcBorders>
              <w:top w:val="single" w:sz="4" w:space="0" w:color="7F7F7F" w:themeColor="text1" w:themeTint="80"/>
              <w:bottom w:val="single" w:sz="4" w:space="0" w:color="7F7F7F" w:themeColor="text1" w:themeTint="80"/>
            </w:tcBorders>
          </w:tcPr>
          <w:p w14:paraId="3CC32AC6" w14:textId="77777777" w:rsidR="004F5D9D" w:rsidRPr="005F1B2C" w:rsidRDefault="00534E43">
            <w:pPr>
              <w:tabs>
                <w:tab w:val="left" w:pos="180"/>
              </w:tabs>
              <w:spacing w:after="0" w:line="240" w:lineRule="auto"/>
              <w:ind w:right="90"/>
              <w:cnfStyle w:val="000000000000" w:firstRow="0" w:lastRow="0" w:firstColumn="0" w:lastColumn="0" w:oddVBand="0" w:evenVBand="0" w:oddHBand="0" w:evenHBand="0" w:firstRowFirstColumn="0" w:firstRowLastColumn="0" w:lastRowFirstColumn="0" w:lastRowLastColumn="0"/>
              <w:rPr>
                <w:rFonts w:ascii="Times New Roman" w:hAnsi="Times New Roman"/>
                <w:bCs/>
                <w:sz w:val="26"/>
                <w:szCs w:val="26"/>
                <w:lang w:val="en-GB"/>
              </w:rPr>
            </w:pPr>
            <w:r>
              <w:rPr>
                <w:rFonts w:ascii="Times New Roman" w:hAnsi="Times New Roman"/>
                <w:bCs/>
                <w:sz w:val="26"/>
                <w:szCs w:val="26"/>
                <w:lang w:val="en-GB"/>
              </w:rPr>
              <w:t>1.197</w:t>
            </w:r>
          </w:p>
        </w:tc>
      </w:tr>
      <w:tr w:rsidR="00D83248" w14:paraId="628ACA21" w14:textId="77777777" w:rsidTr="00D83248">
        <w:trPr>
          <w:trHeight w:val="441"/>
        </w:trPr>
        <w:tc>
          <w:tcPr>
            <w:cnfStyle w:val="001000000000" w:firstRow="0" w:lastRow="0" w:firstColumn="1" w:lastColumn="0" w:oddVBand="0" w:evenVBand="0" w:oddHBand="0" w:evenHBand="0" w:firstRowFirstColumn="0" w:firstRowLastColumn="0" w:lastRowFirstColumn="0" w:lastRowLastColumn="0"/>
            <w:tcW w:w="0" w:type="auto"/>
          </w:tcPr>
          <w:p w14:paraId="68961963" w14:textId="77777777" w:rsidR="004F5D9D" w:rsidRPr="005F1B2C" w:rsidRDefault="00534E43">
            <w:pPr>
              <w:tabs>
                <w:tab w:val="left" w:pos="180"/>
              </w:tabs>
              <w:spacing w:after="0" w:line="240" w:lineRule="auto"/>
              <w:ind w:right="90"/>
              <w:rPr>
                <w:rFonts w:ascii="Times New Roman" w:hAnsi="Times New Roman"/>
                <w:sz w:val="26"/>
                <w:szCs w:val="26"/>
                <w:lang w:val="en-GB"/>
              </w:rPr>
            </w:pPr>
            <w:r>
              <w:rPr>
                <w:rFonts w:ascii="Times New Roman" w:hAnsi="Times New Roman"/>
                <w:b w:val="0"/>
                <w:bCs w:val="0"/>
                <w:sz w:val="26"/>
                <w:szCs w:val="26"/>
                <w:lang w:val="en-GB"/>
              </w:rPr>
              <w:t>Identity avoidance</w:t>
            </w:r>
          </w:p>
        </w:tc>
        <w:tc>
          <w:tcPr>
            <w:tcW w:w="0" w:type="auto"/>
          </w:tcPr>
          <w:p w14:paraId="6158CD1F" w14:textId="77777777" w:rsidR="004F5D9D" w:rsidRPr="005F1B2C" w:rsidRDefault="00534E43">
            <w:pPr>
              <w:tabs>
                <w:tab w:val="left" w:pos="180"/>
              </w:tabs>
              <w:spacing w:after="0" w:line="240" w:lineRule="auto"/>
              <w:ind w:right="90"/>
              <w:cnfStyle w:val="000000000000" w:firstRow="0" w:lastRow="0" w:firstColumn="0" w:lastColumn="0" w:oddVBand="0" w:evenVBand="0" w:oddHBand="0" w:evenHBand="0" w:firstRowFirstColumn="0" w:firstRowLastColumn="0" w:lastRowFirstColumn="0" w:lastRowLastColumn="0"/>
              <w:rPr>
                <w:rFonts w:ascii="Times New Roman" w:hAnsi="Times New Roman"/>
                <w:bCs/>
                <w:sz w:val="26"/>
                <w:szCs w:val="26"/>
                <w:lang w:val="en-GB"/>
              </w:rPr>
            </w:pPr>
            <w:r>
              <w:rPr>
                <w:rFonts w:ascii="Times New Roman" w:hAnsi="Times New Roman"/>
                <w:bCs/>
                <w:sz w:val="26"/>
                <w:szCs w:val="26"/>
                <w:lang w:val="en-GB"/>
              </w:rPr>
              <w:t>12.623</w:t>
            </w:r>
          </w:p>
        </w:tc>
        <w:tc>
          <w:tcPr>
            <w:tcW w:w="0" w:type="auto"/>
          </w:tcPr>
          <w:p w14:paraId="26C1F628" w14:textId="77777777" w:rsidR="004F5D9D" w:rsidRPr="005F1B2C" w:rsidRDefault="00534E43">
            <w:pPr>
              <w:tabs>
                <w:tab w:val="left" w:pos="180"/>
              </w:tabs>
              <w:spacing w:after="0" w:line="240" w:lineRule="auto"/>
              <w:ind w:right="90"/>
              <w:cnfStyle w:val="000000000000" w:firstRow="0" w:lastRow="0" w:firstColumn="0" w:lastColumn="0" w:oddVBand="0" w:evenVBand="0" w:oddHBand="0" w:evenHBand="0" w:firstRowFirstColumn="0" w:firstRowLastColumn="0" w:lastRowFirstColumn="0" w:lastRowLastColumn="0"/>
              <w:rPr>
                <w:rFonts w:ascii="Times New Roman" w:hAnsi="Times New Roman"/>
                <w:bCs/>
                <w:sz w:val="26"/>
                <w:szCs w:val="26"/>
                <w:lang w:val="en-GB"/>
              </w:rPr>
            </w:pPr>
            <w:r>
              <w:rPr>
                <w:rFonts w:ascii="Times New Roman" w:hAnsi="Times New Roman"/>
                <w:bCs/>
                <w:sz w:val="26"/>
                <w:szCs w:val="26"/>
                <w:lang w:val="en-GB"/>
              </w:rPr>
              <w:t>0.02</w:t>
            </w:r>
          </w:p>
        </w:tc>
        <w:tc>
          <w:tcPr>
            <w:tcW w:w="0" w:type="auto"/>
          </w:tcPr>
          <w:p w14:paraId="7A0D127A" w14:textId="77777777" w:rsidR="004F5D9D" w:rsidRPr="005F1B2C" w:rsidRDefault="00534E43">
            <w:pPr>
              <w:tabs>
                <w:tab w:val="left" w:pos="180"/>
              </w:tabs>
              <w:spacing w:after="0" w:line="240" w:lineRule="auto"/>
              <w:ind w:right="90"/>
              <w:cnfStyle w:val="000000000000" w:firstRow="0" w:lastRow="0" w:firstColumn="0" w:lastColumn="0" w:oddVBand="0" w:evenVBand="0" w:oddHBand="0" w:evenHBand="0" w:firstRowFirstColumn="0" w:firstRowLastColumn="0" w:lastRowFirstColumn="0" w:lastRowLastColumn="0"/>
              <w:rPr>
                <w:rFonts w:ascii="Times New Roman" w:hAnsi="Times New Roman"/>
                <w:bCs/>
                <w:sz w:val="26"/>
                <w:szCs w:val="26"/>
                <w:lang w:val="en-GB"/>
              </w:rPr>
            </w:pPr>
            <w:r>
              <w:rPr>
                <w:rFonts w:ascii="Times New Roman" w:hAnsi="Times New Roman"/>
                <w:bCs/>
                <w:sz w:val="26"/>
                <w:szCs w:val="26"/>
                <w:lang w:val="en-GB"/>
              </w:rPr>
              <w:t>1.288</w:t>
            </w:r>
          </w:p>
        </w:tc>
      </w:tr>
      <w:tr w:rsidR="00D83248" w14:paraId="032C1110" w14:textId="77777777" w:rsidTr="00D83248">
        <w:trPr>
          <w:trHeight w:val="456"/>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bottom w:val="single" w:sz="4" w:space="0" w:color="7F7F7F" w:themeColor="text1" w:themeTint="80"/>
            </w:tcBorders>
          </w:tcPr>
          <w:p w14:paraId="01793EEA" w14:textId="77777777" w:rsidR="004F5D9D" w:rsidRPr="005F1B2C" w:rsidRDefault="00534E43">
            <w:pPr>
              <w:tabs>
                <w:tab w:val="left" w:pos="180"/>
              </w:tabs>
              <w:spacing w:after="0" w:line="240" w:lineRule="auto"/>
              <w:ind w:right="90"/>
              <w:rPr>
                <w:rFonts w:ascii="Times New Roman" w:hAnsi="Times New Roman"/>
                <w:sz w:val="26"/>
                <w:szCs w:val="26"/>
                <w:lang w:val="en-GB"/>
              </w:rPr>
            </w:pPr>
            <w:r>
              <w:rPr>
                <w:rFonts w:ascii="Times New Roman" w:hAnsi="Times New Roman"/>
                <w:b w:val="0"/>
                <w:bCs w:val="0"/>
                <w:sz w:val="26"/>
                <w:szCs w:val="26"/>
                <w:lang w:val="en-GB"/>
              </w:rPr>
              <w:t>Experiential avoidance</w:t>
            </w:r>
          </w:p>
        </w:tc>
        <w:tc>
          <w:tcPr>
            <w:tcW w:w="0" w:type="auto"/>
            <w:tcBorders>
              <w:top w:val="single" w:sz="4" w:space="0" w:color="7F7F7F" w:themeColor="text1" w:themeTint="80"/>
              <w:bottom w:val="single" w:sz="4" w:space="0" w:color="7F7F7F" w:themeColor="text1" w:themeTint="80"/>
            </w:tcBorders>
          </w:tcPr>
          <w:p w14:paraId="236F5234" w14:textId="77777777" w:rsidR="004F5D9D" w:rsidRPr="005F1B2C" w:rsidRDefault="00534E43">
            <w:pPr>
              <w:tabs>
                <w:tab w:val="left" w:pos="180"/>
              </w:tabs>
              <w:spacing w:after="0" w:line="240" w:lineRule="auto"/>
              <w:ind w:right="90"/>
              <w:cnfStyle w:val="000000000000" w:firstRow="0" w:lastRow="0" w:firstColumn="0" w:lastColumn="0" w:oddVBand="0" w:evenVBand="0" w:oddHBand="0" w:evenHBand="0" w:firstRowFirstColumn="0" w:firstRowLastColumn="0" w:lastRowFirstColumn="0" w:lastRowLastColumn="0"/>
              <w:rPr>
                <w:rFonts w:ascii="Times New Roman" w:hAnsi="Times New Roman"/>
                <w:bCs/>
                <w:sz w:val="26"/>
                <w:szCs w:val="26"/>
                <w:lang w:val="en-GB"/>
              </w:rPr>
            </w:pPr>
            <w:r>
              <w:rPr>
                <w:rFonts w:ascii="Times New Roman" w:hAnsi="Times New Roman"/>
                <w:bCs/>
                <w:sz w:val="26"/>
                <w:szCs w:val="26"/>
                <w:lang w:val="en-GB"/>
              </w:rPr>
              <w:t>11.512</w:t>
            </w:r>
          </w:p>
        </w:tc>
        <w:tc>
          <w:tcPr>
            <w:tcW w:w="0" w:type="auto"/>
            <w:tcBorders>
              <w:top w:val="single" w:sz="4" w:space="0" w:color="7F7F7F" w:themeColor="text1" w:themeTint="80"/>
              <w:bottom w:val="single" w:sz="4" w:space="0" w:color="7F7F7F" w:themeColor="text1" w:themeTint="80"/>
            </w:tcBorders>
          </w:tcPr>
          <w:p w14:paraId="00B15B67" w14:textId="77777777" w:rsidR="004F5D9D" w:rsidRPr="005F1B2C" w:rsidRDefault="00534E43">
            <w:pPr>
              <w:tabs>
                <w:tab w:val="left" w:pos="180"/>
              </w:tabs>
              <w:spacing w:after="0" w:line="240" w:lineRule="auto"/>
              <w:ind w:right="90"/>
              <w:cnfStyle w:val="000000000000" w:firstRow="0" w:lastRow="0" w:firstColumn="0" w:lastColumn="0" w:oddVBand="0" w:evenVBand="0" w:oddHBand="0" w:evenHBand="0" w:firstRowFirstColumn="0" w:firstRowLastColumn="0" w:lastRowFirstColumn="0" w:lastRowLastColumn="0"/>
              <w:rPr>
                <w:rFonts w:ascii="Times New Roman" w:hAnsi="Times New Roman"/>
                <w:bCs/>
                <w:sz w:val="26"/>
                <w:szCs w:val="26"/>
                <w:lang w:val="en-GB"/>
              </w:rPr>
            </w:pPr>
            <w:r>
              <w:rPr>
                <w:rFonts w:ascii="Times New Roman" w:hAnsi="Times New Roman"/>
                <w:bCs/>
                <w:sz w:val="26"/>
                <w:szCs w:val="26"/>
                <w:lang w:val="en-GB"/>
              </w:rPr>
              <w:t>0.01</w:t>
            </w:r>
          </w:p>
        </w:tc>
        <w:tc>
          <w:tcPr>
            <w:tcW w:w="0" w:type="auto"/>
            <w:tcBorders>
              <w:top w:val="single" w:sz="4" w:space="0" w:color="7F7F7F" w:themeColor="text1" w:themeTint="80"/>
              <w:bottom w:val="single" w:sz="4" w:space="0" w:color="7F7F7F" w:themeColor="text1" w:themeTint="80"/>
            </w:tcBorders>
          </w:tcPr>
          <w:p w14:paraId="2F0C3A79" w14:textId="77777777" w:rsidR="004F5D9D" w:rsidRPr="005F1B2C" w:rsidRDefault="00534E43">
            <w:pPr>
              <w:tabs>
                <w:tab w:val="left" w:pos="180"/>
              </w:tabs>
              <w:spacing w:after="0" w:line="240" w:lineRule="auto"/>
              <w:ind w:right="90"/>
              <w:cnfStyle w:val="000000000000" w:firstRow="0" w:lastRow="0" w:firstColumn="0" w:lastColumn="0" w:oddVBand="0" w:evenVBand="0" w:oddHBand="0" w:evenHBand="0" w:firstRowFirstColumn="0" w:firstRowLastColumn="0" w:lastRowFirstColumn="0" w:lastRowLastColumn="0"/>
              <w:rPr>
                <w:rFonts w:ascii="Times New Roman" w:hAnsi="Times New Roman"/>
                <w:bCs/>
                <w:sz w:val="26"/>
                <w:szCs w:val="26"/>
                <w:lang w:val="en-GB"/>
              </w:rPr>
            </w:pPr>
            <w:r>
              <w:rPr>
                <w:rFonts w:ascii="Times New Roman" w:hAnsi="Times New Roman"/>
                <w:bCs/>
                <w:sz w:val="26"/>
                <w:szCs w:val="26"/>
                <w:lang w:val="en-GB"/>
              </w:rPr>
              <w:t>2.726</w:t>
            </w:r>
          </w:p>
        </w:tc>
      </w:tr>
      <w:tr w:rsidR="00D83248" w14:paraId="593108DE" w14:textId="77777777" w:rsidTr="00D83248">
        <w:trPr>
          <w:trHeight w:val="441"/>
        </w:trPr>
        <w:tc>
          <w:tcPr>
            <w:cnfStyle w:val="001000000000" w:firstRow="0" w:lastRow="0" w:firstColumn="1" w:lastColumn="0" w:oddVBand="0" w:evenVBand="0" w:oddHBand="0" w:evenHBand="0" w:firstRowFirstColumn="0" w:firstRowLastColumn="0" w:lastRowFirstColumn="0" w:lastRowLastColumn="0"/>
            <w:tcW w:w="0" w:type="auto"/>
          </w:tcPr>
          <w:p w14:paraId="4C9732A8" w14:textId="77777777" w:rsidR="004F5D9D" w:rsidRPr="005F1B2C" w:rsidRDefault="00534E43">
            <w:pPr>
              <w:tabs>
                <w:tab w:val="left" w:pos="180"/>
              </w:tabs>
              <w:spacing w:after="0" w:line="240" w:lineRule="auto"/>
              <w:ind w:right="90"/>
              <w:rPr>
                <w:rFonts w:ascii="Times New Roman" w:hAnsi="Times New Roman"/>
                <w:sz w:val="26"/>
                <w:szCs w:val="26"/>
                <w:lang w:val="en-GB"/>
              </w:rPr>
            </w:pPr>
            <w:r>
              <w:rPr>
                <w:rFonts w:ascii="Times New Roman" w:hAnsi="Times New Roman"/>
                <w:b w:val="0"/>
                <w:bCs w:val="0"/>
                <w:sz w:val="26"/>
                <w:szCs w:val="26"/>
                <w:lang w:val="en-GB"/>
              </w:rPr>
              <w:t>Value deficiency avoidance</w:t>
            </w:r>
          </w:p>
        </w:tc>
        <w:tc>
          <w:tcPr>
            <w:tcW w:w="0" w:type="auto"/>
          </w:tcPr>
          <w:p w14:paraId="5F7F3870" w14:textId="77777777" w:rsidR="004F5D9D" w:rsidRPr="005F1B2C" w:rsidRDefault="00534E43">
            <w:pPr>
              <w:tabs>
                <w:tab w:val="left" w:pos="180"/>
              </w:tabs>
              <w:spacing w:after="0" w:line="240" w:lineRule="auto"/>
              <w:ind w:right="90"/>
              <w:cnfStyle w:val="000000000000" w:firstRow="0" w:lastRow="0" w:firstColumn="0" w:lastColumn="0" w:oddVBand="0" w:evenVBand="0" w:oddHBand="0" w:evenHBand="0" w:firstRowFirstColumn="0" w:firstRowLastColumn="0" w:lastRowFirstColumn="0" w:lastRowLastColumn="0"/>
              <w:rPr>
                <w:rFonts w:ascii="Times New Roman" w:hAnsi="Times New Roman"/>
                <w:bCs/>
                <w:sz w:val="26"/>
                <w:szCs w:val="26"/>
                <w:lang w:val="en-GB"/>
              </w:rPr>
            </w:pPr>
            <w:r>
              <w:rPr>
                <w:rFonts w:ascii="Times New Roman" w:hAnsi="Times New Roman"/>
                <w:bCs/>
                <w:sz w:val="26"/>
                <w:szCs w:val="26"/>
                <w:lang w:val="en-GB"/>
              </w:rPr>
              <w:t>12.998</w:t>
            </w:r>
          </w:p>
        </w:tc>
        <w:tc>
          <w:tcPr>
            <w:tcW w:w="0" w:type="auto"/>
          </w:tcPr>
          <w:p w14:paraId="2EA516A0" w14:textId="77777777" w:rsidR="004F5D9D" w:rsidRPr="005F1B2C" w:rsidRDefault="00534E43">
            <w:pPr>
              <w:tabs>
                <w:tab w:val="left" w:pos="180"/>
              </w:tabs>
              <w:spacing w:after="0" w:line="240" w:lineRule="auto"/>
              <w:ind w:right="90"/>
              <w:cnfStyle w:val="000000000000" w:firstRow="0" w:lastRow="0" w:firstColumn="0" w:lastColumn="0" w:oddVBand="0" w:evenVBand="0" w:oddHBand="0" w:evenHBand="0" w:firstRowFirstColumn="0" w:firstRowLastColumn="0" w:lastRowFirstColumn="0" w:lastRowLastColumn="0"/>
              <w:rPr>
                <w:rFonts w:ascii="Times New Roman" w:hAnsi="Times New Roman"/>
                <w:bCs/>
                <w:sz w:val="26"/>
                <w:szCs w:val="26"/>
                <w:lang w:val="en-GB"/>
              </w:rPr>
            </w:pPr>
            <w:r>
              <w:rPr>
                <w:rFonts w:ascii="Times New Roman" w:hAnsi="Times New Roman"/>
                <w:bCs/>
                <w:sz w:val="26"/>
                <w:szCs w:val="26"/>
                <w:lang w:val="en-GB"/>
              </w:rPr>
              <w:t>0.02</w:t>
            </w:r>
          </w:p>
        </w:tc>
        <w:tc>
          <w:tcPr>
            <w:tcW w:w="0" w:type="auto"/>
          </w:tcPr>
          <w:p w14:paraId="0E61CE39" w14:textId="77777777" w:rsidR="004F5D9D" w:rsidRPr="005F1B2C" w:rsidRDefault="00534E43">
            <w:pPr>
              <w:tabs>
                <w:tab w:val="left" w:pos="180"/>
              </w:tabs>
              <w:spacing w:after="0" w:line="240" w:lineRule="auto"/>
              <w:ind w:right="90"/>
              <w:cnfStyle w:val="000000000000" w:firstRow="0" w:lastRow="0" w:firstColumn="0" w:lastColumn="0" w:oddVBand="0" w:evenVBand="0" w:oddHBand="0" w:evenHBand="0" w:firstRowFirstColumn="0" w:firstRowLastColumn="0" w:lastRowFirstColumn="0" w:lastRowLastColumn="0"/>
              <w:rPr>
                <w:rFonts w:ascii="Times New Roman" w:hAnsi="Times New Roman"/>
                <w:bCs/>
                <w:sz w:val="26"/>
                <w:szCs w:val="26"/>
                <w:lang w:val="en-GB"/>
              </w:rPr>
            </w:pPr>
            <w:r>
              <w:rPr>
                <w:rFonts w:ascii="Times New Roman" w:hAnsi="Times New Roman"/>
                <w:bCs/>
                <w:sz w:val="26"/>
                <w:szCs w:val="26"/>
                <w:lang w:val="en-GB"/>
              </w:rPr>
              <w:t>1.105</w:t>
            </w:r>
          </w:p>
        </w:tc>
      </w:tr>
      <w:tr w:rsidR="00D83248" w14:paraId="6D3EB1A4" w14:textId="77777777" w:rsidTr="00D83248">
        <w:trPr>
          <w:trHeight w:val="441"/>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bottom w:val="single" w:sz="4" w:space="0" w:color="7F7F7F" w:themeColor="text1" w:themeTint="80"/>
            </w:tcBorders>
          </w:tcPr>
          <w:p w14:paraId="492E1446" w14:textId="77777777" w:rsidR="004F5D9D" w:rsidRPr="005F1B2C" w:rsidRDefault="00534E43">
            <w:pPr>
              <w:tabs>
                <w:tab w:val="left" w:pos="180"/>
              </w:tabs>
              <w:spacing w:after="0" w:line="240" w:lineRule="auto"/>
              <w:ind w:right="90"/>
              <w:rPr>
                <w:rFonts w:ascii="Times New Roman" w:hAnsi="Times New Roman"/>
                <w:sz w:val="26"/>
                <w:szCs w:val="26"/>
                <w:lang w:val="en-GB"/>
              </w:rPr>
            </w:pPr>
            <w:r>
              <w:rPr>
                <w:rFonts w:ascii="Times New Roman" w:hAnsi="Times New Roman"/>
                <w:b w:val="0"/>
                <w:bCs w:val="0"/>
                <w:sz w:val="26"/>
                <w:szCs w:val="26"/>
                <w:lang w:val="en-GB"/>
              </w:rPr>
              <w:t>Oppositional brand loyalty</w:t>
            </w:r>
          </w:p>
        </w:tc>
        <w:tc>
          <w:tcPr>
            <w:tcW w:w="0" w:type="auto"/>
            <w:tcBorders>
              <w:top w:val="single" w:sz="4" w:space="0" w:color="7F7F7F" w:themeColor="text1" w:themeTint="80"/>
              <w:bottom w:val="single" w:sz="4" w:space="0" w:color="7F7F7F" w:themeColor="text1" w:themeTint="80"/>
            </w:tcBorders>
          </w:tcPr>
          <w:p w14:paraId="07CCA34A" w14:textId="77777777" w:rsidR="004F5D9D" w:rsidRPr="005F1B2C" w:rsidRDefault="00534E43">
            <w:pPr>
              <w:tabs>
                <w:tab w:val="left" w:pos="180"/>
              </w:tabs>
              <w:spacing w:after="0" w:line="240" w:lineRule="auto"/>
              <w:ind w:right="90"/>
              <w:cnfStyle w:val="000000000000" w:firstRow="0" w:lastRow="0" w:firstColumn="0" w:lastColumn="0" w:oddVBand="0" w:evenVBand="0" w:oddHBand="0" w:evenHBand="0" w:firstRowFirstColumn="0" w:firstRowLastColumn="0" w:lastRowFirstColumn="0" w:lastRowLastColumn="0"/>
              <w:rPr>
                <w:rFonts w:ascii="Times New Roman" w:hAnsi="Times New Roman"/>
                <w:bCs/>
                <w:sz w:val="26"/>
                <w:szCs w:val="26"/>
                <w:lang w:val="en-GB"/>
              </w:rPr>
            </w:pPr>
            <w:r>
              <w:rPr>
                <w:rFonts w:ascii="Times New Roman" w:hAnsi="Times New Roman"/>
                <w:bCs/>
                <w:sz w:val="26"/>
                <w:szCs w:val="26"/>
                <w:lang w:val="en-GB"/>
              </w:rPr>
              <w:t>4.969</w:t>
            </w:r>
          </w:p>
        </w:tc>
        <w:tc>
          <w:tcPr>
            <w:tcW w:w="0" w:type="auto"/>
            <w:tcBorders>
              <w:top w:val="single" w:sz="4" w:space="0" w:color="7F7F7F" w:themeColor="text1" w:themeTint="80"/>
              <w:bottom w:val="single" w:sz="4" w:space="0" w:color="7F7F7F" w:themeColor="text1" w:themeTint="80"/>
            </w:tcBorders>
          </w:tcPr>
          <w:p w14:paraId="50A109E6" w14:textId="77777777" w:rsidR="004F5D9D" w:rsidRPr="005F1B2C" w:rsidRDefault="00534E43">
            <w:pPr>
              <w:tabs>
                <w:tab w:val="left" w:pos="180"/>
              </w:tabs>
              <w:spacing w:after="0" w:line="240" w:lineRule="auto"/>
              <w:ind w:right="90"/>
              <w:cnfStyle w:val="000000000000" w:firstRow="0" w:lastRow="0" w:firstColumn="0" w:lastColumn="0" w:oddVBand="0" w:evenVBand="0" w:oddHBand="0" w:evenHBand="0" w:firstRowFirstColumn="0" w:firstRowLastColumn="0" w:lastRowFirstColumn="0" w:lastRowLastColumn="0"/>
              <w:rPr>
                <w:rFonts w:ascii="Times New Roman" w:hAnsi="Times New Roman"/>
                <w:bCs/>
                <w:sz w:val="26"/>
                <w:szCs w:val="26"/>
                <w:lang w:val="en-GB"/>
              </w:rPr>
            </w:pPr>
            <w:r>
              <w:rPr>
                <w:rFonts w:ascii="Times New Roman" w:hAnsi="Times New Roman"/>
                <w:bCs/>
                <w:sz w:val="26"/>
                <w:szCs w:val="26"/>
                <w:lang w:val="en-GB"/>
              </w:rPr>
              <w:t>0.04</w:t>
            </w:r>
          </w:p>
        </w:tc>
        <w:tc>
          <w:tcPr>
            <w:tcW w:w="0" w:type="auto"/>
            <w:tcBorders>
              <w:top w:val="single" w:sz="4" w:space="0" w:color="7F7F7F" w:themeColor="text1" w:themeTint="80"/>
              <w:bottom w:val="single" w:sz="4" w:space="0" w:color="7F7F7F" w:themeColor="text1" w:themeTint="80"/>
            </w:tcBorders>
          </w:tcPr>
          <w:p w14:paraId="4D05A95A" w14:textId="77777777" w:rsidR="004F5D9D" w:rsidRPr="005F1B2C" w:rsidRDefault="00534E43">
            <w:pPr>
              <w:tabs>
                <w:tab w:val="left" w:pos="180"/>
              </w:tabs>
              <w:spacing w:after="0" w:line="240" w:lineRule="auto"/>
              <w:ind w:right="90"/>
              <w:cnfStyle w:val="000000000000" w:firstRow="0" w:lastRow="0" w:firstColumn="0" w:lastColumn="0" w:oddVBand="0" w:evenVBand="0" w:oddHBand="0" w:evenHBand="0" w:firstRowFirstColumn="0" w:firstRowLastColumn="0" w:lastRowFirstColumn="0" w:lastRowLastColumn="0"/>
              <w:rPr>
                <w:rFonts w:ascii="Times New Roman" w:hAnsi="Times New Roman"/>
                <w:bCs/>
                <w:sz w:val="26"/>
                <w:szCs w:val="26"/>
                <w:lang w:val="en-GB"/>
              </w:rPr>
            </w:pPr>
            <w:r>
              <w:rPr>
                <w:rFonts w:ascii="Times New Roman" w:hAnsi="Times New Roman"/>
                <w:bCs/>
                <w:sz w:val="26"/>
                <w:szCs w:val="26"/>
                <w:lang w:val="en-GB"/>
              </w:rPr>
              <w:t>1.499</w:t>
            </w:r>
          </w:p>
        </w:tc>
      </w:tr>
    </w:tbl>
    <w:p w14:paraId="1931D984" w14:textId="77777777" w:rsidR="004F5D9D" w:rsidRDefault="00534E43" w:rsidP="005F1B2C">
      <w:pPr>
        <w:tabs>
          <w:tab w:val="left" w:pos="180"/>
        </w:tabs>
        <w:spacing w:after="0" w:line="360" w:lineRule="exact"/>
        <w:ind w:left="523" w:right="90" w:hangingChars="218" w:hanging="523"/>
        <w:jc w:val="both"/>
        <w:rPr>
          <w:rFonts w:ascii="Times New Roman" w:hAnsi="Times New Roman" w:cs="Times New Roman"/>
          <w:bCs/>
          <w:i/>
          <w:iCs/>
          <w:sz w:val="24"/>
          <w:szCs w:val="24"/>
        </w:rPr>
      </w:pPr>
      <w:r>
        <w:rPr>
          <w:rFonts w:ascii="Times New Roman" w:hAnsi="Times New Roman" w:cs="Times New Roman"/>
          <w:bCs/>
          <w:i/>
          <w:iCs/>
          <w:sz w:val="24"/>
          <w:szCs w:val="24"/>
        </w:rPr>
        <w:t>Note. All second-order dimensions show significant contributions to the higher-order construct. VIF values are below 3.3, indicating no multicollinearity.</w:t>
      </w:r>
    </w:p>
    <w:p w14:paraId="28725706" w14:textId="77777777" w:rsidR="005F1B2C" w:rsidRPr="005F1B2C" w:rsidRDefault="005F1B2C" w:rsidP="005F1B2C">
      <w:pPr>
        <w:tabs>
          <w:tab w:val="left" w:pos="180"/>
        </w:tabs>
        <w:spacing w:after="0" w:line="360" w:lineRule="exact"/>
        <w:ind w:left="523" w:right="90" w:hangingChars="218" w:hanging="523"/>
        <w:jc w:val="both"/>
        <w:rPr>
          <w:rFonts w:ascii="Times New Roman" w:hAnsi="Times New Roman" w:cs="Times New Roman"/>
          <w:bCs/>
          <w:i/>
          <w:iCs/>
          <w:sz w:val="24"/>
          <w:szCs w:val="24"/>
        </w:rPr>
      </w:pPr>
    </w:p>
    <w:p w14:paraId="45815241" w14:textId="77777777" w:rsidR="004F5D9D" w:rsidRPr="005F1B2C" w:rsidRDefault="00534E43" w:rsidP="0050632A">
      <w:pPr>
        <w:autoSpaceDE w:val="0"/>
        <w:autoSpaceDN w:val="0"/>
        <w:adjustRightInd w:val="0"/>
        <w:spacing w:after="0" w:line="300" w:lineRule="auto"/>
        <w:ind w:firstLineChars="200" w:firstLine="520"/>
        <w:jc w:val="both"/>
        <w:rPr>
          <w:rFonts w:ascii="Times New Roman" w:hAnsi="Times New Roman" w:cs="Times New Roman"/>
          <w:sz w:val="26"/>
          <w:szCs w:val="26"/>
        </w:rPr>
      </w:pPr>
      <w:r>
        <w:rPr>
          <w:rFonts w:ascii="Times New Roman" w:hAnsi="Times New Roman" w:cs="Times New Roman"/>
          <w:sz w:val="26"/>
          <w:szCs w:val="26"/>
        </w:rPr>
        <w:t xml:space="preserve">All five first-order dimensions significantly contribute to the higher-order brand avoidance construct, supporting the validity of the hierarchical model. The t-values and VIF scores indicate stable and </w:t>
      </w:r>
      <w:r>
        <w:rPr>
          <w:rFonts w:ascii="Times New Roman" w:hAnsi="Times New Roman" w:cs="Times New Roman"/>
          <w:kern w:val="2"/>
          <w:sz w:val="26"/>
          <w:szCs w:val="26"/>
          <w14:ligatures w14:val="standardContextual"/>
        </w:rPr>
        <w:t>meaningful</w:t>
      </w:r>
      <w:r>
        <w:rPr>
          <w:rFonts w:ascii="Times New Roman" w:hAnsi="Times New Roman" w:cs="Times New Roman"/>
          <w:sz w:val="26"/>
          <w:szCs w:val="26"/>
        </w:rPr>
        <w:t xml:space="preserve"> second-order relationships.</w:t>
      </w:r>
    </w:p>
    <w:p w14:paraId="0D3D4F9F" w14:textId="77777777" w:rsidR="004F5D9D" w:rsidRPr="005F1B2C" w:rsidRDefault="004F5D9D">
      <w:pPr>
        <w:tabs>
          <w:tab w:val="left" w:pos="180"/>
        </w:tabs>
        <w:spacing w:after="0" w:line="360" w:lineRule="exact"/>
        <w:ind w:right="86" w:firstLine="360"/>
        <w:jc w:val="both"/>
        <w:rPr>
          <w:rFonts w:ascii="Times New Roman" w:hAnsi="Times New Roman" w:cs="Times New Roman"/>
          <w:bCs/>
          <w:sz w:val="26"/>
          <w:szCs w:val="26"/>
          <w:lang w:val="en-GB"/>
        </w:rPr>
      </w:pPr>
    </w:p>
    <w:p w14:paraId="04244F99" w14:textId="77777777" w:rsidR="005F1B2C" w:rsidRDefault="00534E43">
      <w:pPr>
        <w:spacing w:after="0" w:line="240" w:lineRule="auto"/>
        <w:rPr>
          <w:rFonts w:ascii="Times New Roman" w:eastAsia="新細明體" w:hAnsi="Times New Roman" w:cs="Times New Roman"/>
          <w:b/>
          <w:bCs/>
          <w:sz w:val="26"/>
          <w:szCs w:val="26"/>
          <w:lang w:val="zh-CN" w:eastAsia="zh-CN"/>
        </w:rPr>
      </w:pPr>
      <w:r>
        <w:rPr>
          <w:rFonts w:ascii="Times New Roman" w:eastAsia="新細明體" w:hAnsi="Times New Roman" w:cs="Times New Roman"/>
          <w:b/>
          <w:bCs/>
          <w:sz w:val="26"/>
          <w:szCs w:val="26"/>
          <w:lang w:val="zh-CN" w:eastAsia="zh-CN"/>
        </w:rPr>
        <w:br w:type="page"/>
      </w:r>
    </w:p>
    <w:p w14:paraId="000E42FA" w14:textId="596B0799" w:rsidR="004F5D9D" w:rsidRPr="005F1B2C" w:rsidRDefault="00534E43">
      <w:pPr>
        <w:tabs>
          <w:tab w:val="left" w:pos="180"/>
        </w:tabs>
        <w:spacing w:after="0" w:line="360" w:lineRule="exact"/>
        <w:ind w:right="90"/>
        <w:rPr>
          <w:rFonts w:ascii="Times New Roman" w:hAnsi="Times New Roman" w:cs="Times New Roman"/>
          <w:bCs/>
          <w:i/>
          <w:iCs/>
          <w:sz w:val="26"/>
          <w:szCs w:val="26"/>
        </w:rPr>
      </w:pPr>
      <w:r>
        <w:rPr>
          <w:rFonts w:ascii="Times New Roman" w:eastAsia="新細明體" w:hAnsi="Times New Roman" w:cs="Times New Roman"/>
          <w:b/>
          <w:bCs/>
          <w:sz w:val="26"/>
          <w:szCs w:val="26"/>
          <w:lang w:val="zh-CN" w:eastAsia="zh-CN"/>
        </w:rPr>
        <w:t>Figure 1</w:t>
      </w:r>
      <w:r w:rsidR="000D24FF">
        <w:rPr>
          <w:rFonts w:ascii="Times New Roman" w:eastAsia="SimSun" w:hAnsi="Times New Roman" w:cs="Times New Roman"/>
          <w:b/>
          <w:bCs/>
          <w:sz w:val="26"/>
          <w:szCs w:val="26"/>
          <w:lang w:val="zh-CN" w:eastAsia="zh-CN"/>
        </w:rPr>
        <w:t xml:space="preserve"> </w:t>
      </w:r>
      <w:r>
        <w:rPr>
          <w:rFonts w:ascii="Times New Roman" w:eastAsia="新細明體" w:hAnsi="Times New Roman" w:cs="Times New Roman"/>
          <w:i/>
          <w:iCs/>
          <w:sz w:val="26"/>
          <w:szCs w:val="26"/>
          <w:lang w:val="zh-CN" w:eastAsia="zh-CN"/>
        </w:rPr>
        <w:t xml:space="preserve">Measurement Model </w:t>
      </w:r>
      <w:r>
        <w:rPr>
          <w:rFonts w:ascii="Times New Roman" w:hAnsi="Times New Roman" w:cs="Times New Roman"/>
          <w:bCs/>
          <w:i/>
          <w:iCs/>
          <w:sz w:val="26"/>
          <w:szCs w:val="26"/>
        </w:rPr>
        <w:t>(Author’s illustration)</w:t>
      </w:r>
    </w:p>
    <w:p w14:paraId="3E2C329C" w14:textId="77777777" w:rsidR="004F5D9D" w:rsidRPr="005F1B2C" w:rsidRDefault="00534E43">
      <w:pPr>
        <w:tabs>
          <w:tab w:val="left" w:pos="180"/>
        </w:tabs>
        <w:spacing w:after="0" w:line="360" w:lineRule="auto"/>
        <w:ind w:right="90"/>
        <w:jc w:val="center"/>
        <w:rPr>
          <w:rFonts w:ascii="Times New Roman" w:hAnsi="Times New Roman" w:cs="Times New Roman"/>
          <w:bCs/>
          <w:sz w:val="26"/>
          <w:szCs w:val="26"/>
        </w:rPr>
      </w:pPr>
      <w:r>
        <w:rPr>
          <w:rFonts w:ascii="Times New Roman" w:hAnsi="Times New Roman" w:cs="Times New Roman"/>
          <w:bCs/>
          <w:noProof/>
          <w:sz w:val="26"/>
          <w:szCs w:val="26"/>
        </w:rPr>
        <w:drawing>
          <wp:inline distT="0" distB="0" distL="0" distR="0" wp14:anchorId="72527672" wp14:editId="6096D5B8">
            <wp:extent cx="5674360" cy="3174365"/>
            <wp:effectExtent l="0" t="0" r="2540" b="6985"/>
            <wp:docPr id="1177900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900506" name="Picture 1"/>
                    <pic:cNvPicPr>
                      <a:picLocks noChangeAspect="1"/>
                    </pic:cNvPicPr>
                  </pic:nvPicPr>
                  <pic:blipFill>
                    <a:blip r:embed="rId11"/>
                    <a:stretch>
                      <a:fillRect/>
                    </a:stretch>
                  </pic:blipFill>
                  <pic:spPr>
                    <a:xfrm>
                      <a:off x="0" y="0"/>
                      <a:ext cx="5688778" cy="3182082"/>
                    </a:xfrm>
                    <a:prstGeom prst="rect">
                      <a:avLst/>
                    </a:prstGeom>
                  </pic:spPr>
                </pic:pic>
              </a:graphicData>
            </a:graphic>
          </wp:inline>
        </w:drawing>
      </w:r>
    </w:p>
    <w:p w14:paraId="409E5095" w14:textId="77777777" w:rsidR="005F1B2C" w:rsidRDefault="005F1B2C" w:rsidP="0050632A">
      <w:pPr>
        <w:autoSpaceDE w:val="0"/>
        <w:autoSpaceDN w:val="0"/>
        <w:adjustRightInd w:val="0"/>
        <w:spacing w:after="0" w:line="300" w:lineRule="auto"/>
        <w:ind w:firstLineChars="200" w:firstLine="520"/>
        <w:jc w:val="both"/>
        <w:rPr>
          <w:rFonts w:ascii="Times New Roman" w:hAnsi="Times New Roman" w:cs="Times New Roman"/>
          <w:sz w:val="26"/>
          <w:szCs w:val="26"/>
          <w:lang w:val="en-GB"/>
        </w:rPr>
      </w:pPr>
    </w:p>
    <w:p w14:paraId="1486374D" w14:textId="77777777" w:rsidR="004F5D9D" w:rsidRPr="005F1B2C" w:rsidRDefault="00534E43" w:rsidP="0050632A">
      <w:pPr>
        <w:autoSpaceDE w:val="0"/>
        <w:autoSpaceDN w:val="0"/>
        <w:adjustRightInd w:val="0"/>
        <w:spacing w:after="0" w:line="300" w:lineRule="auto"/>
        <w:ind w:firstLineChars="200" w:firstLine="520"/>
        <w:jc w:val="both"/>
        <w:rPr>
          <w:rFonts w:ascii="Times New Roman" w:hAnsi="Times New Roman" w:cs="Times New Roman"/>
          <w:sz w:val="26"/>
          <w:szCs w:val="26"/>
          <w:lang w:val="en-GB"/>
        </w:rPr>
      </w:pPr>
      <w:r>
        <w:rPr>
          <w:rFonts w:ascii="Times New Roman" w:hAnsi="Times New Roman" w:cs="Times New Roman"/>
          <w:sz w:val="26"/>
          <w:szCs w:val="26"/>
          <w:lang w:val="en-GB"/>
        </w:rPr>
        <w:t xml:space="preserve">Based on the criteria discussed in the relevant literature, the R² and Q² values were 0.903 and 0.882, respectively. </w:t>
      </w:r>
      <w:r>
        <w:rPr>
          <w:rFonts w:ascii="Times New Roman" w:hAnsi="Times New Roman" w:cs="Times New Roman"/>
          <w:kern w:val="2"/>
          <w:sz w:val="26"/>
          <w:szCs w:val="26"/>
          <w14:ligatures w14:val="standardContextual"/>
        </w:rPr>
        <w:t>Furthermore</w:t>
      </w:r>
      <w:r>
        <w:rPr>
          <w:rFonts w:ascii="Times New Roman" w:hAnsi="Times New Roman" w:cs="Times New Roman"/>
          <w:sz w:val="26"/>
          <w:szCs w:val="26"/>
          <w:lang w:val="en-GB"/>
        </w:rPr>
        <w:t>, f2 was 0.268, 0.255, 0.423, 0.449, and 0.302 for moral, identity, experiential, value deficiency, and oppositional brand loyalty-based brand avoidance, respectively.</w:t>
      </w:r>
    </w:p>
    <w:p w14:paraId="7C045046" w14:textId="77777777" w:rsidR="004F5D9D" w:rsidRPr="005F1B2C" w:rsidRDefault="00534E43" w:rsidP="0050632A">
      <w:pPr>
        <w:autoSpaceDE w:val="0"/>
        <w:autoSpaceDN w:val="0"/>
        <w:adjustRightInd w:val="0"/>
        <w:spacing w:after="0" w:line="300" w:lineRule="auto"/>
        <w:ind w:firstLineChars="200" w:firstLine="520"/>
        <w:jc w:val="both"/>
        <w:rPr>
          <w:rFonts w:ascii="Times New Roman" w:hAnsi="Times New Roman" w:cs="Times New Roman"/>
          <w:sz w:val="26"/>
          <w:szCs w:val="26"/>
          <w:lang w:val="en-GB"/>
        </w:rPr>
      </w:pPr>
      <w:r>
        <w:rPr>
          <w:rFonts w:ascii="Times New Roman" w:hAnsi="Times New Roman" w:cs="Times New Roman"/>
          <w:sz w:val="26"/>
          <w:szCs w:val="26"/>
          <w:lang w:val="en-GB"/>
        </w:rPr>
        <w:t xml:space="preserve">γ = 0.271 and p &lt;0.001 for moral avoidance; γ = 0.241 and p &lt;0.001 for identity avoidance; γ = 0.259 and p &lt;0.001 for experiential avoidance; γ = 0.229 and p &lt;0.001 for value deficiency avoidance; and γ = 0.213 and p &lt;0.001 for oppositional brand loyalty were found to display significant formative path coefficients while using bootstrap (5000) resamples, thereby confirming the nature of the brand avoidance construct to be formative with which it is commonly </w:t>
      </w:r>
      <w:r>
        <w:rPr>
          <w:rFonts w:ascii="Times New Roman" w:hAnsi="Times New Roman" w:cs="Times New Roman"/>
          <w:kern w:val="2"/>
          <w:sz w:val="26"/>
          <w:szCs w:val="26"/>
          <w14:ligatures w14:val="standardContextual"/>
        </w:rPr>
        <w:t>correlated</w:t>
      </w:r>
      <w:r>
        <w:rPr>
          <w:rFonts w:ascii="Times New Roman" w:hAnsi="Times New Roman" w:cs="Times New Roman"/>
          <w:sz w:val="26"/>
          <w:szCs w:val="26"/>
          <w:lang w:val="en-GB"/>
        </w:rPr>
        <w:t xml:space="preserve"> for estimation of nomological and external validity. Researchers endorse integrating the index construct and reflective constructs. Accordingly, the brand avoidance index was linked with 'non-buying' intention toward smartphones, adopting a scale established and tested by Fullerton (2005). </w:t>
      </w:r>
    </w:p>
    <w:p w14:paraId="4C887C53" w14:textId="77777777" w:rsidR="004F5D9D" w:rsidRPr="005F1B2C" w:rsidRDefault="00534E43" w:rsidP="0050632A">
      <w:pPr>
        <w:autoSpaceDE w:val="0"/>
        <w:autoSpaceDN w:val="0"/>
        <w:adjustRightInd w:val="0"/>
        <w:spacing w:after="0" w:line="300" w:lineRule="auto"/>
        <w:ind w:firstLineChars="200" w:firstLine="520"/>
        <w:jc w:val="both"/>
        <w:rPr>
          <w:rFonts w:ascii="Times New Roman" w:hAnsi="Times New Roman" w:cs="Times New Roman"/>
          <w:sz w:val="26"/>
          <w:szCs w:val="26"/>
          <w:lang w:val="en-GB"/>
        </w:rPr>
      </w:pPr>
      <w:r>
        <w:rPr>
          <w:rFonts w:ascii="Times New Roman" w:hAnsi="Times New Roman" w:cs="Times New Roman"/>
          <w:sz w:val="26"/>
          <w:szCs w:val="26"/>
          <w:lang w:val="en-GB"/>
        </w:rPr>
        <w:t xml:space="preserve">The procedure followed was supported by a Cronbach's alpha (α) of 0.878, average variance extracted (AVE) and </w:t>
      </w:r>
      <w:r>
        <w:rPr>
          <w:rFonts w:ascii="Times New Roman" w:hAnsi="Times New Roman" w:cs="Times New Roman"/>
          <w:kern w:val="2"/>
          <w:sz w:val="26"/>
          <w:szCs w:val="26"/>
          <w14:ligatures w14:val="standardContextual"/>
        </w:rPr>
        <w:t>composite</w:t>
      </w:r>
      <w:r>
        <w:rPr>
          <w:rFonts w:ascii="Times New Roman" w:hAnsi="Times New Roman" w:cs="Times New Roman"/>
          <w:sz w:val="26"/>
          <w:szCs w:val="26"/>
          <w:lang w:val="en-GB"/>
        </w:rPr>
        <w:t xml:space="preserve"> reliability (CR) values falling well within allowable levels of 0.7 and 0.5 (0.909 and 0.728, respectively), and factor loadings (0.802 to 0.897) for statements belonging to reflective constructs (Table III). </w:t>
      </w:r>
    </w:p>
    <w:p w14:paraId="2B164F66" w14:textId="77777777" w:rsidR="004F5D9D" w:rsidRPr="005F1B2C" w:rsidRDefault="004F5D9D">
      <w:pPr>
        <w:widowControl w:val="0"/>
        <w:autoSpaceDE w:val="0"/>
        <w:autoSpaceDN w:val="0"/>
        <w:adjustRightInd w:val="0"/>
        <w:spacing w:after="0" w:line="360" w:lineRule="exact"/>
        <w:ind w:firstLine="360"/>
        <w:jc w:val="both"/>
        <w:rPr>
          <w:rFonts w:ascii="Times New Roman" w:hAnsi="Times New Roman" w:cs="Times New Roman"/>
          <w:sz w:val="26"/>
          <w:szCs w:val="26"/>
          <w:lang w:val="en-GB"/>
        </w:rPr>
      </w:pPr>
    </w:p>
    <w:p w14:paraId="11F0CE54" w14:textId="3BF9030D" w:rsidR="004F5D9D" w:rsidRPr="005F1B2C" w:rsidRDefault="00534E43" w:rsidP="005F1B2C">
      <w:pPr>
        <w:widowControl w:val="0"/>
        <w:autoSpaceDE w:val="0"/>
        <w:autoSpaceDN w:val="0"/>
        <w:adjustRightInd w:val="0"/>
        <w:snapToGrid w:val="0"/>
        <w:spacing w:after="0" w:line="300" w:lineRule="auto"/>
        <w:jc w:val="both"/>
        <w:rPr>
          <w:rFonts w:ascii="Times New Roman" w:hAnsi="Times New Roman" w:cs="Times New Roman"/>
          <w:b/>
          <w:bCs/>
          <w:sz w:val="26"/>
          <w:szCs w:val="26"/>
          <w:lang w:val="en-GB"/>
        </w:rPr>
      </w:pPr>
      <w:r>
        <w:rPr>
          <w:rFonts w:ascii="Times New Roman" w:hAnsi="Times New Roman" w:cs="Times New Roman"/>
          <w:b/>
          <w:bCs/>
          <w:sz w:val="26"/>
          <w:szCs w:val="26"/>
          <w:lang w:val="en-GB"/>
        </w:rPr>
        <w:t xml:space="preserve">Table 3 </w:t>
      </w:r>
      <w:r>
        <w:rPr>
          <w:rFonts w:ascii="Times New Roman" w:hAnsi="Times New Roman" w:cs="Times New Roman"/>
          <w:i/>
          <w:iCs/>
          <w:sz w:val="26"/>
          <w:szCs w:val="26"/>
          <w:lang w:val="en-GB"/>
        </w:rPr>
        <w:t>Reliability, validity, and Relative measure</w:t>
      </w:r>
    </w:p>
    <w:tbl>
      <w:tblPr>
        <w:tblStyle w:val="PlainTable21"/>
        <w:tblW w:w="0" w:type="auto"/>
        <w:tblLook w:val="04A0" w:firstRow="1" w:lastRow="0" w:firstColumn="1" w:lastColumn="0" w:noHBand="0" w:noVBand="1"/>
      </w:tblPr>
      <w:tblGrid>
        <w:gridCol w:w="7573"/>
        <w:gridCol w:w="1723"/>
      </w:tblGrid>
      <w:tr w:rsidR="00D83248" w14:paraId="119FAC99" w14:textId="77777777" w:rsidTr="00D832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E2830EC" w14:textId="77777777" w:rsidR="004F5D9D" w:rsidRPr="005F1B2C" w:rsidRDefault="00534E43">
            <w:pPr>
              <w:widowControl w:val="0"/>
              <w:autoSpaceDE w:val="0"/>
              <w:autoSpaceDN w:val="0"/>
              <w:adjustRightInd w:val="0"/>
              <w:spacing w:after="0" w:line="360" w:lineRule="exact"/>
              <w:ind w:hanging="15"/>
              <w:jc w:val="both"/>
              <w:rPr>
                <w:rFonts w:ascii="Times New Roman" w:hAnsi="Times New Roman"/>
                <w:sz w:val="26"/>
                <w:szCs w:val="26"/>
                <w:lang w:val="en-GB"/>
              </w:rPr>
            </w:pPr>
            <w:r>
              <w:rPr>
                <w:rFonts w:ascii="Times New Roman" w:hAnsi="Times New Roman"/>
                <w:sz w:val="26"/>
                <w:szCs w:val="26"/>
                <w:lang w:val="en-GB"/>
              </w:rPr>
              <w:t>Items</w:t>
            </w:r>
          </w:p>
        </w:tc>
        <w:tc>
          <w:tcPr>
            <w:tcW w:w="0" w:type="auto"/>
          </w:tcPr>
          <w:p w14:paraId="46E9C7B8" w14:textId="77777777" w:rsidR="004F5D9D" w:rsidRPr="005F1B2C" w:rsidRDefault="00534E43">
            <w:pPr>
              <w:widowControl w:val="0"/>
              <w:autoSpaceDE w:val="0"/>
              <w:autoSpaceDN w:val="0"/>
              <w:adjustRightInd w:val="0"/>
              <w:spacing w:after="0" w:line="360" w:lineRule="exact"/>
              <w:ind w:firstLine="480"/>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6"/>
                <w:szCs w:val="26"/>
                <w:lang w:val="en-GB"/>
              </w:rPr>
            </w:pPr>
            <w:r>
              <w:rPr>
                <w:rFonts w:ascii="Times New Roman" w:hAnsi="Times New Roman"/>
                <w:sz w:val="26"/>
                <w:szCs w:val="26"/>
                <w:lang w:val="en-GB"/>
              </w:rPr>
              <w:t>Loadings</w:t>
            </w:r>
          </w:p>
        </w:tc>
      </w:tr>
      <w:tr w:rsidR="00D83248" w14:paraId="4CB3C075" w14:textId="77777777" w:rsidTr="00D83248">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7F7F7F" w:themeColor="text1" w:themeTint="80"/>
              <w:bottom w:val="single" w:sz="4" w:space="0" w:color="7F7F7F" w:themeColor="text1" w:themeTint="80"/>
            </w:tcBorders>
          </w:tcPr>
          <w:p w14:paraId="35AD1963" w14:textId="77777777" w:rsidR="004F5D9D" w:rsidRPr="005F1B2C" w:rsidRDefault="00534E43">
            <w:pPr>
              <w:widowControl w:val="0"/>
              <w:autoSpaceDE w:val="0"/>
              <w:autoSpaceDN w:val="0"/>
              <w:adjustRightInd w:val="0"/>
              <w:spacing w:after="0" w:line="360" w:lineRule="exact"/>
              <w:ind w:hanging="15"/>
              <w:jc w:val="both"/>
              <w:rPr>
                <w:rFonts w:ascii="Times New Roman" w:hAnsi="Times New Roman"/>
                <w:sz w:val="26"/>
                <w:szCs w:val="26"/>
                <w:lang w:val="en-GB"/>
              </w:rPr>
            </w:pPr>
            <w:r>
              <w:rPr>
                <w:rFonts w:ascii="Times New Roman" w:hAnsi="Times New Roman"/>
                <w:b w:val="0"/>
                <w:bCs w:val="0"/>
                <w:sz w:val="26"/>
                <w:szCs w:val="26"/>
                <w:lang w:val="en-GB"/>
              </w:rPr>
              <w:t>‘Non-buying’ intention (α= 0.878, CR= 0.909, AVE= 0.728)</w:t>
            </w:r>
          </w:p>
        </w:tc>
      </w:tr>
      <w:tr w:rsidR="00D83248" w14:paraId="65F0D7DC" w14:textId="77777777" w:rsidTr="00D83248">
        <w:tc>
          <w:tcPr>
            <w:cnfStyle w:val="001000000000" w:firstRow="0" w:lastRow="0" w:firstColumn="1" w:lastColumn="0" w:oddVBand="0" w:evenVBand="0" w:oddHBand="0" w:evenHBand="0" w:firstRowFirstColumn="0" w:firstRowLastColumn="0" w:lastRowFirstColumn="0" w:lastRowLastColumn="0"/>
            <w:tcW w:w="0" w:type="auto"/>
          </w:tcPr>
          <w:p w14:paraId="26EB2C03" w14:textId="77777777" w:rsidR="004F5D9D" w:rsidRPr="005F1B2C" w:rsidRDefault="00534E43">
            <w:pPr>
              <w:widowControl w:val="0"/>
              <w:autoSpaceDE w:val="0"/>
              <w:autoSpaceDN w:val="0"/>
              <w:adjustRightInd w:val="0"/>
              <w:spacing w:after="0" w:line="360" w:lineRule="exact"/>
              <w:ind w:hanging="15"/>
              <w:jc w:val="both"/>
              <w:rPr>
                <w:rFonts w:ascii="Times New Roman" w:hAnsi="Times New Roman"/>
                <w:sz w:val="26"/>
                <w:szCs w:val="26"/>
                <w:lang w:val="en-GB"/>
              </w:rPr>
            </w:pPr>
            <w:r>
              <w:rPr>
                <w:rFonts w:ascii="Times New Roman" w:hAnsi="Times New Roman"/>
                <w:b w:val="0"/>
                <w:bCs w:val="0"/>
                <w:sz w:val="26"/>
                <w:szCs w:val="26"/>
                <w:lang w:val="en-GB"/>
              </w:rPr>
              <w:t>I avoid buying this brand because of the bad experience I had with it.</w:t>
            </w:r>
          </w:p>
        </w:tc>
        <w:tc>
          <w:tcPr>
            <w:tcW w:w="0" w:type="auto"/>
          </w:tcPr>
          <w:p w14:paraId="27042AF6" w14:textId="77777777" w:rsidR="004F5D9D" w:rsidRPr="005F1B2C" w:rsidRDefault="00534E43">
            <w:pPr>
              <w:widowControl w:val="0"/>
              <w:autoSpaceDE w:val="0"/>
              <w:autoSpaceDN w:val="0"/>
              <w:adjustRightInd w:val="0"/>
              <w:spacing w:after="0" w:line="360" w:lineRule="exact"/>
              <w:ind w:firstLine="48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6"/>
                <w:szCs w:val="26"/>
                <w:lang w:val="en-GB"/>
              </w:rPr>
            </w:pPr>
            <w:r>
              <w:rPr>
                <w:rFonts w:ascii="Times New Roman" w:hAnsi="Times New Roman"/>
                <w:sz w:val="26"/>
                <w:szCs w:val="26"/>
                <w:lang w:val="en-GB"/>
              </w:rPr>
              <w:t>0.897</w:t>
            </w:r>
          </w:p>
        </w:tc>
      </w:tr>
      <w:tr w:rsidR="00D83248" w14:paraId="3D9B1768" w14:textId="77777777" w:rsidTr="00D83248">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bottom w:val="single" w:sz="4" w:space="0" w:color="7F7F7F" w:themeColor="text1" w:themeTint="80"/>
            </w:tcBorders>
          </w:tcPr>
          <w:p w14:paraId="63961179" w14:textId="77777777" w:rsidR="004F5D9D" w:rsidRPr="005F1B2C" w:rsidRDefault="00534E43">
            <w:pPr>
              <w:widowControl w:val="0"/>
              <w:autoSpaceDE w:val="0"/>
              <w:autoSpaceDN w:val="0"/>
              <w:adjustRightInd w:val="0"/>
              <w:spacing w:after="0" w:line="360" w:lineRule="exact"/>
              <w:ind w:hanging="15"/>
              <w:jc w:val="both"/>
              <w:rPr>
                <w:rFonts w:ascii="Times New Roman" w:hAnsi="Times New Roman"/>
                <w:sz w:val="26"/>
                <w:szCs w:val="26"/>
                <w:lang w:val="en-GB"/>
              </w:rPr>
            </w:pPr>
            <w:r>
              <w:rPr>
                <w:rFonts w:ascii="Times New Roman" w:hAnsi="Times New Roman"/>
                <w:b w:val="0"/>
                <w:bCs w:val="0"/>
                <w:sz w:val="26"/>
                <w:szCs w:val="26"/>
                <w:lang w:val="en-GB"/>
              </w:rPr>
              <w:t>I avoid buying this brand as it does not reflect who I am</w:t>
            </w:r>
          </w:p>
        </w:tc>
        <w:tc>
          <w:tcPr>
            <w:tcW w:w="0" w:type="auto"/>
            <w:tcBorders>
              <w:top w:val="single" w:sz="4" w:space="0" w:color="7F7F7F" w:themeColor="text1" w:themeTint="80"/>
              <w:bottom w:val="single" w:sz="4" w:space="0" w:color="7F7F7F" w:themeColor="text1" w:themeTint="80"/>
            </w:tcBorders>
          </w:tcPr>
          <w:p w14:paraId="0F294725" w14:textId="77777777" w:rsidR="004F5D9D" w:rsidRPr="005F1B2C" w:rsidRDefault="00534E43">
            <w:pPr>
              <w:widowControl w:val="0"/>
              <w:autoSpaceDE w:val="0"/>
              <w:autoSpaceDN w:val="0"/>
              <w:adjustRightInd w:val="0"/>
              <w:spacing w:after="0" w:line="360" w:lineRule="exact"/>
              <w:ind w:firstLine="48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6"/>
                <w:szCs w:val="26"/>
                <w:lang w:val="en-GB"/>
              </w:rPr>
            </w:pPr>
            <w:r>
              <w:rPr>
                <w:rFonts w:ascii="Times New Roman" w:hAnsi="Times New Roman"/>
                <w:sz w:val="26"/>
                <w:szCs w:val="26"/>
                <w:lang w:val="en-GB"/>
              </w:rPr>
              <w:t>0.873</w:t>
            </w:r>
          </w:p>
        </w:tc>
      </w:tr>
      <w:tr w:rsidR="00D83248" w14:paraId="2C4D69B1" w14:textId="77777777" w:rsidTr="00D83248">
        <w:tc>
          <w:tcPr>
            <w:cnfStyle w:val="001000000000" w:firstRow="0" w:lastRow="0" w:firstColumn="1" w:lastColumn="0" w:oddVBand="0" w:evenVBand="0" w:oddHBand="0" w:evenHBand="0" w:firstRowFirstColumn="0" w:firstRowLastColumn="0" w:lastRowFirstColumn="0" w:lastRowLastColumn="0"/>
            <w:tcW w:w="0" w:type="auto"/>
          </w:tcPr>
          <w:p w14:paraId="01DDB6C5" w14:textId="77777777" w:rsidR="004F5D9D" w:rsidRPr="005F1B2C" w:rsidRDefault="00534E43">
            <w:pPr>
              <w:widowControl w:val="0"/>
              <w:autoSpaceDE w:val="0"/>
              <w:autoSpaceDN w:val="0"/>
              <w:adjustRightInd w:val="0"/>
              <w:spacing w:after="0" w:line="360" w:lineRule="exact"/>
              <w:ind w:hanging="15"/>
              <w:jc w:val="both"/>
              <w:rPr>
                <w:rFonts w:ascii="Times New Roman" w:hAnsi="Times New Roman"/>
                <w:sz w:val="26"/>
                <w:szCs w:val="26"/>
                <w:lang w:val="en-GB"/>
              </w:rPr>
            </w:pPr>
            <w:r>
              <w:rPr>
                <w:rFonts w:ascii="Times New Roman" w:hAnsi="Times New Roman"/>
                <w:b w:val="0"/>
                <w:bCs w:val="0"/>
                <w:sz w:val="26"/>
                <w:szCs w:val="26"/>
                <w:lang w:val="en-GB"/>
              </w:rPr>
              <w:t>I avoid buying this brand as I find it to be unethical</w:t>
            </w:r>
          </w:p>
        </w:tc>
        <w:tc>
          <w:tcPr>
            <w:tcW w:w="0" w:type="auto"/>
          </w:tcPr>
          <w:p w14:paraId="31B949B5" w14:textId="77777777" w:rsidR="004F5D9D" w:rsidRPr="005F1B2C" w:rsidRDefault="00534E43">
            <w:pPr>
              <w:widowControl w:val="0"/>
              <w:autoSpaceDE w:val="0"/>
              <w:autoSpaceDN w:val="0"/>
              <w:adjustRightInd w:val="0"/>
              <w:spacing w:after="0" w:line="360" w:lineRule="exact"/>
              <w:ind w:firstLine="48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6"/>
                <w:szCs w:val="26"/>
                <w:lang w:val="en-GB"/>
              </w:rPr>
            </w:pPr>
            <w:r>
              <w:rPr>
                <w:rFonts w:ascii="Times New Roman" w:hAnsi="Times New Roman"/>
                <w:sz w:val="26"/>
                <w:szCs w:val="26"/>
                <w:lang w:val="en-GB"/>
              </w:rPr>
              <w:t>0.859</w:t>
            </w:r>
          </w:p>
        </w:tc>
      </w:tr>
      <w:tr w:rsidR="00D83248" w14:paraId="5C25086E" w14:textId="77777777" w:rsidTr="00D83248">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bottom w:val="single" w:sz="4" w:space="0" w:color="7F7F7F" w:themeColor="text1" w:themeTint="80"/>
            </w:tcBorders>
          </w:tcPr>
          <w:p w14:paraId="30DC79FA" w14:textId="77777777" w:rsidR="004F5D9D" w:rsidRPr="005F1B2C" w:rsidRDefault="00534E43">
            <w:pPr>
              <w:widowControl w:val="0"/>
              <w:autoSpaceDE w:val="0"/>
              <w:autoSpaceDN w:val="0"/>
              <w:adjustRightInd w:val="0"/>
              <w:spacing w:after="0" w:line="360" w:lineRule="exact"/>
              <w:ind w:hanging="15"/>
              <w:jc w:val="both"/>
              <w:rPr>
                <w:rFonts w:ascii="Times New Roman" w:hAnsi="Times New Roman"/>
                <w:sz w:val="26"/>
                <w:szCs w:val="26"/>
                <w:lang w:val="en-GB"/>
              </w:rPr>
            </w:pPr>
            <w:r>
              <w:rPr>
                <w:rFonts w:ascii="Times New Roman" w:hAnsi="Times New Roman"/>
                <w:b w:val="0"/>
                <w:bCs w:val="0"/>
                <w:sz w:val="26"/>
                <w:szCs w:val="26"/>
                <w:lang w:val="en-GB"/>
              </w:rPr>
              <w:t>I avoid buying this brand as it is deficient in value</w:t>
            </w:r>
          </w:p>
        </w:tc>
        <w:tc>
          <w:tcPr>
            <w:tcW w:w="0" w:type="auto"/>
            <w:tcBorders>
              <w:top w:val="single" w:sz="4" w:space="0" w:color="7F7F7F" w:themeColor="text1" w:themeTint="80"/>
              <w:bottom w:val="single" w:sz="4" w:space="0" w:color="7F7F7F" w:themeColor="text1" w:themeTint="80"/>
            </w:tcBorders>
          </w:tcPr>
          <w:p w14:paraId="15403B06" w14:textId="77777777" w:rsidR="004F5D9D" w:rsidRPr="005F1B2C" w:rsidRDefault="00534E43">
            <w:pPr>
              <w:widowControl w:val="0"/>
              <w:autoSpaceDE w:val="0"/>
              <w:autoSpaceDN w:val="0"/>
              <w:adjustRightInd w:val="0"/>
              <w:spacing w:after="0" w:line="360" w:lineRule="exact"/>
              <w:ind w:firstLine="48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6"/>
                <w:szCs w:val="26"/>
                <w:lang w:val="en-GB"/>
              </w:rPr>
            </w:pPr>
            <w:r>
              <w:rPr>
                <w:rFonts w:ascii="Times New Roman" w:hAnsi="Times New Roman"/>
                <w:sz w:val="26"/>
                <w:szCs w:val="26"/>
                <w:lang w:val="en-GB"/>
              </w:rPr>
              <w:t>0.823</w:t>
            </w:r>
          </w:p>
        </w:tc>
      </w:tr>
      <w:tr w:rsidR="00D83248" w14:paraId="0A3CB647" w14:textId="77777777" w:rsidTr="00D83248">
        <w:tc>
          <w:tcPr>
            <w:cnfStyle w:val="001000000000" w:firstRow="0" w:lastRow="0" w:firstColumn="1" w:lastColumn="0" w:oddVBand="0" w:evenVBand="0" w:oddHBand="0" w:evenHBand="0" w:firstRowFirstColumn="0" w:firstRowLastColumn="0" w:lastRowFirstColumn="0" w:lastRowLastColumn="0"/>
            <w:tcW w:w="0" w:type="auto"/>
          </w:tcPr>
          <w:p w14:paraId="13C14718" w14:textId="77777777" w:rsidR="004F5D9D" w:rsidRPr="005F1B2C" w:rsidRDefault="00534E43">
            <w:pPr>
              <w:widowControl w:val="0"/>
              <w:autoSpaceDE w:val="0"/>
              <w:autoSpaceDN w:val="0"/>
              <w:adjustRightInd w:val="0"/>
              <w:spacing w:after="0" w:line="360" w:lineRule="exact"/>
              <w:ind w:hanging="15"/>
              <w:jc w:val="both"/>
              <w:rPr>
                <w:rFonts w:ascii="Times New Roman" w:hAnsi="Times New Roman"/>
                <w:sz w:val="26"/>
                <w:szCs w:val="26"/>
                <w:lang w:val="en-GB"/>
              </w:rPr>
            </w:pPr>
            <w:r>
              <w:rPr>
                <w:rFonts w:ascii="Times New Roman" w:hAnsi="Times New Roman"/>
                <w:b w:val="0"/>
                <w:bCs w:val="0"/>
                <w:sz w:val="26"/>
                <w:szCs w:val="26"/>
                <w:lang w:val="en-GB"/>
              </w:rPr>
              <w:t>I avoid buying this brand as it competes with my favorite brand</w:t>
            </w:r>
          </w:p>
        </w:tc>
        <w:tc>
          <w:tcPr>
            <w:tcW w:w="0" w:type="auto"/>
          </w:tcPr>
          <w:p w14:paraId="78D1231B" w14:textId="77777777" w:rsidR="004F5D9D" w:rsidRPr="005F1B2C" w:rsidRDefault="00534E43">
            <w:pPr>
              <w:widowControl w:val="0"/>
              <w:autoSpaceDE w:val="0"/>
              <w:autoSpaceDN w:val="0"/>
              <w:adjustRightInd w:val="0"/>
              <w:spacing w:after="0" w:line="360" w:lineRule="exact"/>
              <w:ind w:firstLine="48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6"/>
                <w:szCs w:val="26"/>
                <w:lang w:val="en-GB"/>
              </w:rPr>
            </w:pPr>
            <w:r>
              <w:rPr>
                <w:rFonts w:ascii="Times New Roman" w:hAnsi="Times New Roman"/>
                <w:sz w:val="26"/>
                <w:szCs w:val="26"/>
                <w:lang w:val="en-GB"/>
              </w:rPr>
              <w:t>0.802</w:t>
            </w:r>
          </w:p>
        </w:tc>
      </w:tr>
    </w:tbl>
    <w:p w14:paraId="562971D2" w14:textId="77777777" w:rsidR="004F5D9D" w:rsidRDefault="00534E43" w:rsidP="005F1B2C">
      <w:pPr>
        <w:tabs>
          <w:tab w:val="left" w:pos="180"/>
        </w:tabs>
        <w:spacing w:after="0" w:line="360" w:lineRule="exact"/>
        <w:ind w:left="523" w:right="90" w:hangingChars="218" w:hanging="523"/>
        <w:jc w:val="both"/>
        <w:rPr>
          <w:rFonts w:ascii="Times New Roman" w:hAnsi="Times New Roman" w:cs="Times New Roman"/>
          <w:bCs/>
          <w:i/>
          <w:iCs/>
          <w:sz w:val="24"/>
          <w:szCs w:val="24"/>
        </w:rPr>
      </w:pPr>
      <w:r>
        <w:rPr>
          <w:rFonts w:ascii="Times New Roman" w:hAnsi="Times New Roman" w:cs="Times New Roman"/>
          <w:bCs/>
          <w:i/>
          <w:iCs/>
          <w:sz w:val="24"/>
          <w:szCs w:val="24"/>
        </w:rPr>
        <w:t>Note: α = Cronbach’s alpha; CR = composite reliability; AVE = average variance extracted. All values exceed recommended thresholds (α &gt; .70, CR &gt; .70, AVE &gt; .50).</w:t>
      </w:r>
    </w:p>
    <w:p w14:paraId="0F006FB1" w14:textId="77777777" w:rsidR="005F1B2C" w:rsidRPr="005F1B2C" w:rsidRDefault="005F1B2C" w:rsidP="005F1B2C">
      <w:pPr>
        <w:tabs>
          <w:tab w:val="left" w:pos="180"/>
        </w:tabs>
        <w:spacing w:after="0" w:line="360" w:lineRule="exact"/>
        <w:ind w:left="523" w:right="90" w:hangingChars="218" w:hanging="523"/>
        <w:jc w:val="both"/>
        <w:rPr>
          <w:rFonts w:ascii="Times New Roman" w:hAnsi="Times New Roman" w:cs="Times New Roman"/>
          <w:bCs/>
          <w:i/>
          <w:iCs/>
          <w:sz w:val="24"/>
          <w:szCs w:val="24"/>
        </w:rPr>
      </w:pPr>
    </w:p>
    <w:p w14:paraId="1EC98A15" w14:textId="77777777" w:rsidR="004F5D9D" w:rsidRPr="005F1B2C" w:rsidRDefault="00534E43" w:rsidP="0050632A">
      <w:pPr>
        <w:autoSpaceDE w:val="0"/>
        <w:autoSpaceDN w:val="0"/>
        <w:adjustRightInd w:val="0"/>
        <w:spacing w:after="0" w:line="300" w:lineRule="auto"/>
        <w:ind w:firstLineChars="200" w:firstLine="520"/>
        <w:jc w:val="both"/>
        <w:rPr>
          <w:rFonts w:ascii="Times New Roman" w:hAnsi="Times New Roman" w:cs="Times New Roman"/>
          <w:sz w:val="26"/>
          <w:szCs w:val="26"/>
          <w:lang w:val="en-GB"/>
        </w:rPr>
      </w:pPr>
      <w:r>
        <w:rPr>
          <w:rFonts w:ascii="Times New Roman" w:hAnsi="Times New Roman" w:cs="Times New Roman"/>
          <w:sz w:val="26"/>
          <w:szCs w:val="26"/>
          <w:lang w:val="en-GB"/>
        </w:rPr>
        <w:t>Cohen's f2 was 0.584 (significant effect), whereas R was 0.370 (moderate effect). Stone–Geisser criterion Q2 produced a moderate value (0.247) for brand avoidance on 'non-buying' intent. The regressed path coefficient results showed a positive association between brand avoidance and 'non-</w:t>
      </w:r>
      <w:r>
        <w:rPr>
          <w:rFonts w:ascii="Times New Roman" w:hAnsi="Times New Roman" w:cs="Times New Roman"/>
          <w:kern w:val="2"/>
          <w:sz w:val="26"/>
          <w:szCs w:val="26"/>
          <w14:ligatures w14:val="standardContextual"/>
        </w:rPr>
        <w:t>buying'</w:t>
      </w:r>
      <w:r>
        <w:rPr>
          <w:rFonts w:ascii="Times New Roman" w:hAnsi="Times New Roman" w:cs="Times New Roman"/>
          <w:sz w:val="26"/>
          <w:szCs w:val="26"/>
          <w:lang w:val="en-GB"/>
        </w:rPr>
        <w:t xml:space="preserve"> intention (β = 0.95; p &lt; 0.001; t-value = 8.218), indicating why some consumers do not purchase brands they choose to avoid.</w:t>
      </w:r>
    </w:p>
    <w:p w14:paraId="34C3049F" w14:textId="77777777" w:rsidR="004F5D9D" w:rsidRPr="005F1B2C" w:rsidRDefault="00534E43" w:rsidP="0050632A">
      <w:pPr>
        <w:autoSpaceDE w:val="0"/>
        <w:autoSpaceDN w:val="0"/>
        <w:adjustRightInd w:val="0"/>
        <w:spacing w:after="0" w:line="300" w:lineRule="auto"/>
        <w:ind w:firstLineChars="200" w:firstLine="520"/>
        <w:jc w:val="both"/>
        <w:rPr>
          <w:rFonts w:ascii="Times New Roman" w:hAnsi="Times New Roman" w:cs="Times New Roman"/>
          <w:sz w:val="26"/>
          <w:szCs w:val="26"/>
          <w:lang w:val="en-GB"/>
        </w:rPr>
      </w:pPr>
      <w:r>
        <w:rPr>
          <w:rFonts w:ascii="Times New Roman" w:hAnsi="Times New Roman" w:cs="Times New Roman"/>
          <w:sz w:val="26"/>
          <w:szCs w:val="26"/>
          <w:lang w:val="en-GB"/>
        </w:rPr>
        <w:t xml:space="preserve">Overall, the results demonstrate that the proposed brand avoidance construct is statistically robust, exhibits strong predictive validity, and is consistent with theoretical expectations. The significant positive </w:t>
      </w:r>
      <w:r>
        <w:rPr>
          <w:rFonts w:ascii="Times New Roman" w:hAnsi="Times New Roman" w:cs="Times New Roman"/>
          <w:kern w:val="2"/>
          <w:sz w:val="26"/>
          <w:szCs w:val="26"/>
          <w14:ligatures w14:val="standardContextual"/>
        </w:rPr>
        <w:t>path</w:t>
      </w:r>
      <w:r>
        <w:rPr>
          <w:rFonts w:ascii="Times New Roman" w:hAnsi="Times New Roman" w:cs="Times New Roman"/>
          <w:sz w:val="26"/>
          <w:szCs w:val="26"/>
          <w:lang w:val="en-GB"/>
        </w:rPr>
        <w:t xml:space="preserve"> from brand avoidance to non-buying intention provides the required nomological evidence, confirming that consumers who score higher on brand avoidance are indeed less likely to purchase the focal brand.</w:t>
      </w:r>
    </w:p>
    <w:p w14:paraId="38951C0F" w14:textId="77777777" w:rsidR="004F5D9D" w:rsidRPr="005F1B2C" w:rsidRDefault="004F5D9D" w:rsidP="005F1B2C">
      <w:pPr>
        <w:widowControl w:val="0"/>
        <w:autoSpaceDE w:val="0"/>
        <w:autoSpaceDN w:val="0"/>
        <w:adjustRightInd w:val="0"/>
        <w:spacing w:after="0" w:line="300" w:lineRule="auto"/>
        <w:ind w:firstLine="360"/>
        <w:jc w:val="both"/>
        <w:rPr>
          <w:rFonts w:ascii="Times New Roman" w:hAnsi="Times New Roman" w:cs="Times New Roman"/>
          <w:sz w:val="26"/>
          <w:szCs w:val="26"/>
          <w:lang w:val="en-GB"/>
        </w:rPr>
      </w:pPr>
    </w:p>
    <w:p w14:paraId="4B622C30" w14:textId="77777777" w:rsidR="004F5D9D" w:rsidRPr="005F1B2C" w:rsidRDefault="00534E43" w:rsidP="005F1B2C">
      <w:pPr>
        <w:autoSpaceDE w:val="0"/>
        <w:autoSpaceDN w:val="0"/>
        <w:adjustRightInd w:val="0"/>
        <w:spacing w:after="0" w:line="300" w:lineRule="auto"/>
        <w:jc w:val="center"/>
        <w:rPr>
          <w:rFonts w:ascii="Times New Roman" w:hAnsi="Times New Roman" w:cs="Times New Roman"/>
          <w:b/>
          <w:bCs/>
          <w:sz w:val="26"/>
          <w:szCs w:val="26"/>
        </w:rPr>
      </w:pPr>
      <w:r>
        <w:rPr>
          <w:rFonts w:ascii="Times New Roman" w:hAnsi="Times New Roman" w:cs="Times New Roman"/>
          <w:b/>
          <w:bCs/>
          <w:sz w:val="26"/>
          <w:szCs w:val="26"/>
        </w:rPr>
        <w:t>DISCUSSION OF FINDINGS AND CONCLUSION</w:t>
      </w:r>
    </w:p>
    <w:p w14:paraId="104604E2" w14:textId="77777777" w:rsidR="004F5D9D" w:rsidRPr="005F1B2C" w:rsidRDefault="00534E43" w:rsidP="0050632A">
      <w:pPr>
        <w:autoSpaceDE w:val="0"/>
        <w:autoSpaceDN w:val="0"/>
        <w:adjustRightInd w:val="0"/>
        <w:spacing w:after="0" w:line="300" w:lineRule="auto"/>
        <w:ind w:firstLineChars="200" w:firstLine="520"/>
        <w:jc w:val="both"/>
        <w:rPr>
          <w:rFonts w:ascii="Times New Roman" w:hAnsi="Times New Roman" w:cs="Times New Roman"/>
          <w:sz w:val="26"/>
          <w:szCs w:val="26"/>
          <w:lang w:val="en-GB"/>
        </w:rPr>
      </w:pPr>
      <w:r>
        <w:rPr>
          <w:rFonts w:ascii="Times New Roman" w:hAnsi="Times New Roman" w:cs="Times New Roman"/>
          <w:sz w:val="26"/>
          <w:szCs w:val="26"/>
          <w:lang w:val="en-GB"/>
        </w:rPr>
        <w:t xml:space="preserve">The growing interest in negative consumer-brand relationships between industry and academia has recently gained momentum. However, critiques of existing research </w:t>
      </w:r>
      <w:r w:rsidR="003239FC">
        <w:rPr>
          <w:rFonts w:ascii="Times New Roman" w:hAnsi="Times New Roman" w:cs="Times New Roman"/>
          <w:sz w:val="26"/>
          <w:szCs w:val="26"/>
          <w:lang w:val="en-GB"/>
        </w:rPr>
        <w:t>indicate</w:t>
      </w:r>
      <w:r>
        <w:rPr>
          <w:rFonts w:ascii="Times New Roman" w:hAnsi="Times New Roman" w:cs="Times New Roman"/>
          <w:sz w:val="26"/>
          <w:szCs w:val="26"/>
          <w:lang w:val="en-GB"/>
        </w:rPr>
        <w:t xml:space="preserve"> that </w:t>
      </w:r>
      <w:r w:rsidR="003239FC">
        <w:rPr>
          <w:rFonts w:ascii="Times New Roman" w:hAnsi="Times New Roman" w:cs="Times New Roman"/>
          <w:sz w:val="26"/>
          <w:szCs w:val="26"/>
          <w:lang w:val="en-GB"/>
        </w:rPr>
        <w:t xml:space="preserve">these </w:t>
      </w:r>
      <w:r>
        <w:rPr>
          <w:rFonts w:ascii="Times New Roman" w:hAnsi="Times New Roman" w:cs="Times New Roman"/>
          <w:sz w:val="26"/>
          <w:szCs w:val="26"/>
          <w:lang w:val="en-GB"/>
        </w:rPr>
        <w:t xml:space="preserve">studies are qualitative (Knittel et al., 2016), theoretically weak, and empirically insufficient (due to the lack of a parsimonious scale) (Park et al., 2013). This study addressed these critiques by examining the theoretical facets of brand avoidance and its operational mechanisms, and by developing a thoroughly authenticated second-order scale using recommended procedures. </w:t>
      </w:r>
    </w:p>
    <w:p w14:paraId="6936049A" w14:textId="236A654E" w:rsidR="004F5D9D" w:rsidRPr="005F1B2C" w:rsidRDefault="00534E43" w:rsidP="0050632A">
      <w:pPr>
        <w:autoSpaceDE w:val="0"/>
        <w:autoSpaceDN w:val="0"/>
        <w:adjustRightInd w:val="0"/>
        <w:spacing w:after="0" w:line="300" w:lineRule="auto"/>
        <w:ind w:firstLineChars="200" w:firstLine="520"/>
        <w:jc w:val="both"/>
        <w:rPr>
          <w:rFonts w:ascii="Times New Roman" w:hAnsi="Times New Roman" w:cs="Times New Roman"/>
          <w:sz w:val="26"/>
          <w:szCs w:val="26"/>
          <w:lang w:val="en-GB"/>
        </w:rPr>
      </w:pPr>
      <w:r>
        <w:rPr>
          <w:rFonts w:ascii="Times New Roman" w:hAnsi="Times New Roman" w:cs="Times New Roman"/>
          <w:sz w:val="26"/>
          <w:szCs w:val="26"/>
          <w:lang w:val="en-GB"/>
        </w:rPr>
        <w:t xml:space="preserve">The results reveal that all independent variables exhibit statistically significant relationships with non-buying </w:t>
      </w:r>
      <w:proofErr w:type="spellStart"/>
      <w:r>
        <w:rPr>
          <w:rFonts w:ascii="Times New Roman" w:hAnsi="Times New Roman" w:cs="Times New Roman"/>
          <w:sz w:val="26"/>
          <w:szCs w:val="26"/>
          <w:lang w:val="en-GB"/>
        </w:rPr>
        <w:t>behavior</w:t>
      </w:r>
      <w:proofErr w:type="spellEnd"/>
      <w:r>
        <w:rPr>
          <w:rFonts w:ascii="Times New Roman" w:hAnsi="Times New Roman" w:cs="Times New Roman"/>
          <w:sz w:val="26"/>
          <w:szCs w:val="26"/>
          <w:lang w:val="en-GB"/>
        </w:rPr>
        <w:t xml:space="preserve">, namely moral avoidance, identity avoidance, experiential avoidance, value-deficiency avoidance, and oppositional brand loyalty-based brand avoidance. This is in congruence with the existing literature, which focuses on exploring the phenomenon using a unidimensional approach (Zarantonello et al., 2016). </w:t>
      </w:r>
    </w:p>
    <w:p w14:paraId="585B721E" w14:textId="77777777" w:rsidR="004F5D9D" w:rsidRPr="005F1B2C" w:rsidRDefault="00534E43" w:rsidP="0050632A">
      <w:pPr>
        <w:autoSpaceDE w:val="0"/>
        <w:autoSpaceDN w:val="0"/>
        <w:adjustRightInd w:val="0"/>
        <w:spacing w:after="0" w:line="300" w:lineRule="auto"/>
        <w:ind w:firstLineChars="200" w:firstLine="520"/>
        <w:jc w:val="both"/>
        <w:rPr>
          <w:rFonts w:ascii="Times New Roman" w:hAnsi="Times New Roman" w:cs="Times New Roman"/>
          <w:sz w:val="26"/>
          <w:szCs w:val="26"/>
          <w:lang w:val="en-GB"/>
        </w:rPr>
      </w:pPr>
      <w:r>
        <w:rPr>
          <w:rFonts w:ascii="Times New Roman" w:hAnsi="Times New Roman" w:cs="Times New Roman"/>
          <w:sz w:val="26"/>
          <w:szCs w:val="26"/>
          <w:lang w:val="en-GB"/>
        </w:rPr>
        <w:t xml:space="preserve">These results also validate all hypothesized relationships in the study, confirming that each antecedent uniquely contributes to consumers' non-buying intention. The pattern of effects is consistent with the underlying theoretical arguments linking each driver of avoidance to downstream behavioral </w:t>
      </w:r>
      <w:r>
        <w:rPr>
          <w:rFonts w:ascii="Times New Roman" w:hAnsi="Times New Roman" w:cs="Times New Roman"/>
          <w:kern w:val="2"/>
          <w:sz w:val="26"/>
          <w:szCs w:val="26"/>
          <w14:ligatures w14:val="standardContextual"/>
        </w:rPr>
        <w:t>rejection</w:t>
      </w:r>
      <w:r>
        <w:rPr>
          <w:rFonts w:ascii="Times New Roman" w:hAnsi="Times New Roman" w:cs="Times New Roman"/>
          <w:sz w:val="26"/>
          <w:szCs w:val="26"/>
          <w:lang w:val="en-GB"/>
        </w:rPr>
        <w:t>.</w:t>
      </w:r>
    </w:p>
    <w:p w14:paraId="4735D180" w14:textId="77777777" w:rsidR="004F5D9D" w:rsidRPr="005F1B2C" w:rsidRDefault="004F5D9D">
      <w:pPr>
        <w:widowControl w:val="0"/>
        <w:autoSpaceDE w:val="0"/>
        <w:autoSpaceDN w:val="0"/>
        <w:adjustRightInd w:val="0"/>
        <w:spacing w:after="0" w:line="360" w:lineRule="atLeast"/>
        <w:jc w:val="both"/>
        <w:rPr>
          <w:rFonts w:ascii="Times New Roman" w:hAnsi="Times New Roman" w:cs="Times New Roman"/>
          <w:b/>
          <w:bCs/>
          <w:sz w:val="26"/>
          <w:szCs w:val="26"/>
          <w:lang w:val="en-GB"/>
        </w:rPr>
      </w:pPr>
    </w:p>
    <w:p w14:paraId="76B2E4DA" w14:textId="77777777" w:rsidR="004F5D9D" w:rsidRPr="005F1B2C" w:rsidRDefault="00534E43" w:rsidP="005F1B2C">
      <w:pPr>
        <w:widowControl w:val="0"/>
        <w:autoSpaceDE w:val="0"/>
        <w:autoSpaceDN w:val="0"/>
        <w:adjustRightInd w:val="0"/>
        <w:snapToGrid w:val="0"/>
        <w:spacing w:after="0" w:line="300" w:lineRule="auto"/>
        <w:jc w:val="both"/>
        <w:rPr>
          <w:rFonts w:ascii="Times New Roman" w:hAnsi="Times New Roman" w:cs="Times New Roman"/>
          <w:b/>
          <w:bCs/>
          <w:sz w:val="26"/>
          <w:szCs w:val="26"/>
          <w:lang w:val="en-GB"/>
        </w:rPr>
      </w:pPr>
      <w:r>
        <w:rPr>
          <w:rFonts w:ascii="Times New Roman" w:hAnsi="Times New Roman" w:cs="Times New Roman"/>
          <w:b/>
          <w:bCs/>
          <w:sz w:val="26"/>
          <w:szCs w:val="26"/>
          <w:lang w:val="en-GB"/>
        </w:rPr>
        <w:t>Unique Contribution of The Study</w:t>
      </w:r>
    </w:p>
    <w:p w14:paraId="480278BB" w14:textId="77777777" w:rsidR="004F5D9D" w:rsidRPr="005F1B2C" w:rsidRDefault="00534E43" w:rsidP="0050632A">
      <w:pPr>
        <w:autoSpaceDE w:val="0"/>
        <w:autoSpaceDN w:val="0"/>
        <w:adjustRightInd w:val="0"/>
        <w:spacing w:after="0" w:line="300" w:lineRule="auto"/>
        <w:ind w:firstLineChars="200" w:firstLine="520"/>
        <w:jc w:val="both"/>
        <w:rPr>
          <w:rFonts w:ascii="Times New Roman" w:hAnsi="Times New Roman" w:cs="Times New Roman"/>
          <w:sz w:val="26"/>
          <w:szCs w:val="26"/>
          <w:lang w:val="en-GB"/>
        </w:rPr>
      </w:pPr>
      <w:r>
        <w:rPr>
          <w:rFonts w:ascii="Times New Roman" w:hAnsi="Times New Roman" w:cs="Times New Roman"/>
          <w:sz w:val="26"/>
          <w:szCs w:val="26"/>
          <w:lang w:val="en-GB"/>
        </w:rPr>
        <w:t>The findings offer several theoretical contributions by demonstrating that brand avoidance operates as a formative, multi-dimensional construct rather than a unidimensional reaction. By empirically consolidating five antecedents into a validated second-order structure, this study strengthens the conceptual foundations of negative consumer–brand relationships.</w:t>
      </w:r>
    </w:p>
    <w:p w14:paraId="21DE6963" w14:textId="77777777" w:rsidR="004F5D9D" w:rsidRPr="005F1B2C" w:rsidRDefault="00534E43" w:rsidP="0050632A">
      <w:pPr>
        <w:autoSpaceDE w:val="0"/>
        <w:autoSpaceDN w:val="0"/>
        <w:adjustRightInd w:val="0"/>
        <w:spacing w:after="0" w:line="300" w:lineRule="auto"/>
        <w:ind w:firstLineChars="200" w:firstLine="520"/>
        <w:jc w:val="both"/>
        <w:rPr>
          <w:rFonts w:ascii="Times New Roman" w:hAnsi="Times New Roman" w:cs="Times New Roman"/>
          <w:sz w:val="26"/>
          <w:szCs w:val="26"/>
          <w:lang w:val="en-GB"/>
        </w:rPr>
      </w:pPr>
      <w:r>
        <w:rPr>
          <w:rFonts w:ascii="Times New Roman" w:hAnsi="Times New Roman" w:cs="Times New Roman"/>
          <w:sz w:val="26"/>
          <w:szCs w:val="26"/>
          <w:lang w:val="en-GB"/>
        </w:rPr>
        <w:t>Responding to the call to investigate brand avoidance in the extant qualitative literature, this study offers a new perspective on negative consumer-brand relationships by revealing the operational mechanism of brand avoidance through a quantitative research approach. Other quantitative approaches in this domain have adopted unidimensional frameworks to study brand avoidance, believing the brand is a unidimensional construct. Due to the lack of a practical and parsimonious scale, brand avoidance has yet to be empirically tested using a consolidated/multi-dimensional approach. This study sought to develop a brand avoidance scale and empirically examine its operational mechanism, an area that has been explored only qualitatively to date, with few fragmented empirical studies.</w:t>
      </w:r>
    </w:p>
    <w:p w14:paraId="6C7DD16E" w14:textId="77777777" w:rsidR="004F5D9D" w:rsidRPr="005F1B2C" w:rsidRDefault="00534E43" w:rsidP="0050632A">
      <w:pPr>
        <w:autoSpaceDE w:val="0"/>
        <w:autoSpaceDN w:val="0"/>
        <w:adjustRightInd w:val="0"/>
        <w:spacing w:after="0" w:line="300" w:lineRule="auto"/>
        <w:ind w:firstLineChars="200" w:firstLine="520"/>
        <w:jc w:val="both"/>
        <w:rPr>
          <w:rFonts w:ascii="Times New Roman" w:hAnsi="Times New Roman" w:cs="Times New Roman"/>
          <w:sz w:val="26"/>
          <w:szCs w:val="26"/>
          <w:lang w:val="en-GB"/>
        </w:rPr>
      </w:pPr>
      <w:r>
        <w:rPr>
          <w:rFonts w:ascii="Times New Roman" w:hAnsi="Times New Roman" w:cs="Times New Roman"/>
          <w:sz w:val="26"/>
          <w:szCs w:val="26"/>
          <w:lang w:val="en-GB"/>
        </w:rPr>
        <w:t xml:space="preserve">This brand avoidance scale was developed parsimoniously to reduce the risk of </w:t>
      </w:r>
      <w:r w:rsidR="000D24FF">
        <w:rPr>
          <w:rFonts w:ascii="Times New Roman" w:hAnsi="Times New Roman" w:cs="Times New Roman"/>
          <w:sz w:val="26"/>
          <w:szCs w:val="26"/>
          <w:lang w:val="en-GB"/>
        </w:rPr>
        <w:t xml:space="preserve">using </w:t>
      </w:r>
      <w:r>
        <w:rPr>
          <w:rFonts w:ascii="Times New Roman" w:hAnsi="Times New Roman" w:cs="Times New Roman"/>
          <w:sz w:val="26"/>
          <w:szCs w:val="26"/>
          <w:lang w:val="en-GB"/>
        </w:rPr>
        <w:t xml:space="preserve">inappropriate measures, thereby minimizing estimation </w:t>
      </w:r>
      <w:r w:rsidR="000D24FF">
        <w:rPr>
          <w:rFonts w:ascii="Times New Roman" w:hAnsi="Times New Roman" w:cs="Times New Roman"/>
          <w:sz w:val="26"/>
          <w:szCs w:val="26"/>
          <w:lang w:val="en-GB"/>
        </w:rPr>
        <w:t xml:space="preserve">problems </w:t>
      </w:r>
      <w:r>
        <w:rPr>
          <w:rFonts w:ascii="Times New Roman" w:hAnsi="Times New Roman" w:cs="Times New Roman"/>
          <w:sz w:val="26"/>
          <w:szCs w:val="26"/>
          <w:lang w:val="en-GB"/>
        </w:rPr>
        <w:t xml:space="preserve">that </w:t>
      </w:r>
      <w:r w:rsidR="000D24FF">
        <w:rPr>
          <w:rFonts w:ascii="Times New Roman" w:hAnsi="Times New Roman" w:cs="Times New Roman"/>
          <w:sz w:val="26"/>
          <w:szCs w:val="26"/>
          <w:lang w:val="en-GB"/>
        </w:rPr>
        <w:t>could</w:t>
      </w:r>
      <w:r>
        <w:rPr>
          <w:rFonts w:ascii="Times New Roman" w:hAnsi="Times New Roman" w:cs="Times New Roman"/>
          <w:sz w:val="26"/>
          <w:szCs w:val="26"/>
          <w:lang w:val="en-GB"/>
        </w:rPr>
        <w:t xml:space="preserve"> hamper hypothesis-testing inferences (MacCallum &amp; Browne, 1993) and, consequently, lead to incorrect management decisions. </w:t>
      </w:r>
      <w:r>
        <w:rPr>
          <w:rFonts w:ascii="Times New Roman" w:hAnsi="Times New Roman" w:cs="Times New Roman"/>
          <w:kern w:val="2"/>
          <w:sz w:val="26"/>
          <w:szCs w:val="26"/>
          <w14:ligatures w14:val="standardContextual"/>
        </w:rPr>
        <w:t>Furthermore</w:t>
      </w:r>
      <w:r>
        <w:rPr>
          <w:rFonts w:ascii="Times New Roman" w:hAnsi="Times New Roman" w:cs="Times New Roman"/>
          <w:sz w:val="26"/>
          <w:szCs w:val="26"/>
          <w:lang w:val="en-GB"/>
        </w:rPr>
        <w:t xml:space="preserve">, as noted by Rossiter (2002), the arbitrary nature of reflective constructs diminishes accuracy, an issue that has been addressed by using a formative method to develop the brand avoidance scale. </w:t>
      </w:r>
    </w:p>
    <w:p w14:paraId="31D85A54" w14:textId="77777777" w:rsidR="004F5D9D" w:rsidRPr="005F1B2C" w:rsidRDefault="00534E43" w:rsidP="0050632A">
      <w:pPr>
        <w:autoSpaceDE w:val="0"/>
        <w:autoSpaceDN w:val="0"/>
        <w:adjustRightInd w:val="0"/>
        <w:spacing w:after="0" w:line="300" w:lineRule="auto"/>
        <w:ind w:firstLineChars="200" w:firstLine="520"/>
        <w:jc w:val="both"/>
        <w:rPr>
          <w:rFonts w:ascii="Times New Roman" w:hAnsi="Times New Roman" w:cs="Times New Roman"/>
          <w:sz w:val="26"/>
          <w:szCs w:val="26"/>
          <w:lang w:val="en-GB"/>
        </w:rPr>
      </w:pPr>
      <w:r>
        <w:rPr>
          <w:rFonts w:ascii="Times New Roman" w:hAnsi="Times New Roman" w:cs="Times New Roman"/>
          <w:sz w:val="26"/>
          <w:szCs w:val="26"/>
          <w:lang w:val="en-GB"/>
        </w:rPr>
        <w:t>Furthermore, although earlier studies examined brand avoidance as a reaction to brand hate, they relied on reflective, affect-heavy measures that do not align with the formative structure of avoidance. The present study advances the literature by addressing the misfit between existing scales and the conceptual nature of brand avoidance. By integrating five theoretically grounded antecedents into a unified formative index, the study offers a psychometrically sound instrument that overcomes the limitations of prior hate-based or unidimensional measures.</w:t>
      </w:r>
    </w:p>
    <w:p w14:paraId="540E1B9C" w14:textId="77777777" w:rsidR="004F5D9D" w:rsidRPr="005F1B2C" w:rsidRDefault="00534E43" w:rsidP="0050632A">
      <w:pPr>
        <w:autoSpaceDE w:val="0"/>
        <w:autoSpaceDN w:val="0"/>
        <w:adjustRightInd w:val="0"/>
        <w:spacing w:after="0" w:line="300" w:lineRule="auto"/>
        <w:ind w:firstLineChars="200" w:firstLine="520"/>
        <w:jc w:val="both"/>
        <w:rPr>
          <w:rFonts w:ascii="Times New Roman" w:hAnsi="Times New Roman" w:cs="Times New Roman"/>
          <w:sz w:val="26"/>
          <w:szCs w:val="26"/>
          <w:lang w:val="en-GB"/>
        </w:rPr>
      </w:pPr>
      <w:r>
        <w:rPr>
          <w:rFonts w:ascii="Times New Roman" w:hAnsi="Times New Roman" w:cs="Times New Roman"/>
          <w:sz w:val="26"/>
          <w:szCs w:val="26"/>
          <w:lang w:val="en-GB"/>
        </w:rPr>
        <w:t xml:space="preserve">This study </w:t>
      </w:r>
      <w:r w:rsidR="00FB0285">
        <w:rPr>
          <w:rFonts w:ascii="Times New Roman" w:hAnsi="Times New Roman" w:cs="Times New Roman"/>
          <w:sz w:val="26"/>
          <w:szCs w:val="26"/>
          <w:lang w:val="en-GB"/>
        </w:rPr>
        <w:t xml:space="preserve">further </w:t>
      </w:r>
      <w:r>
        <w:rPr>
          <w:rFonts w:ascii="Times New Roman" w:hAnsi="Times New Roman" w:cs="Times New Roman"/>
          <w:sz w:val="26"/>
          <w:szCs w:val="26"/>
          <w:lang w:val="en-GB"/>
        </w:rPr>
        <w:t xml:space="preserve">distinguishes itself from </w:t>
      </w:r>
      <w:r w:rsidR="00FB0285">
        <w:rPr>
          <w:rFonts w:ascii="Times New Roman" w:hAnsi="Times New Roman" w:cs="Times New Roman"/>
          <w:sz w:val="26"/>
          <w:szCs w:val="26"/>
          <w:lang w:val="en-GB"/>
        </w:rPr>
        <w:t xml:space="preserve">prior </w:t>
      </w:r>
      <w:r>
        <w:rPr>
          <w:rFonts w:ascii="Times New Roman" w:hAnsi="Times New Roman" w:cs="Times New Roman"/>
          <w:sz w:val="26"/>
          <w:szCs w:val="26"/>
          <w:lang w:val="en-GB"/>
        </w:rPr>
        <w:t>research by quantitatively</w:t>
      </w:r>
      <w:r w:rsidR="00FB0285">
        <w:rPr>
          <w:rFonts w:ascii="Times New Roman" w:hAnsi="Times New Roman" w:cs="Times New Roman"/>
          <w:sz w:val="26"/>
          <w:szCs w:val="26"/>
          <w:lang w:val="en-GB"/>
        </w:rPr>
        <w:t xml:space="preserve"> examin</w:t>
      </w:r>
      <w:r>
        <w:rPr>
          <w:rFonts w:ascii="Times New Roman" w:hAnsi="Times New Roman" w:cs="Times New Roman"/>
          <w:sz w:val="26"/>
          <w:szCs w:val="26"/>
          <w:lang w:val="en-GB"/>
        </w:rPr>
        <w:t xml:space="preserve">ing the </w:t>
      </w:r>
      <w:r w:rsidR="00FB0285">
        <w:rPr>
          <w:rFonts w:ascii="Times New Roman" w:hAnsi="Times New Roman" w:cs="Times New Roman"/>
          <w:sz w:val="26"/>
          <w:szCs w:val="26"/>
          <w:lang w:val="en-GB"/>
        </w:rPr>
        <w:t xml:space="preserve">relationship between the </w:t>
      </w:r>
      <w:r>
        <w:rPr>
          <w:rFonts w:ascii="Times New Roman" w:hAnsi="Times New Roman" w:cs="Times New Roman"/>
          <w:sz w:val="26"/>
          <w:szCs w:val="26"/>
          <w:lang w:val="en-GB"/>
        </w:rPr>
        <w:t xml:space="preserve">brand avoidance scale </w:t>
      </w:r>
      <w:r w:rsidR="00FB0285">
        <w:rPr>
          <w:rFonts w:ascii="Times New Roman" w:hAnsi="Times New Roman" w:cs="Times New Roman"/>
          <w:sz w:val="26"/>
          <w:szCs w:val="26"/>
          <w:lang w:val="en-GB"/>
        </w:rPr>
        <w:t xml:space="preserve">and </w:t>
      </w:r>
      <w:r>
        <w:rPr>
          <w:rFonts w:ascii="Times New Roman" w:hAnsi="Times New Roman" w:cs="Times New Roman"/>
          <w:sz w:val="26"/>
          <w:szCs w:val="26"/>
          <w:lang w:val="en-GB"/>
        </w:rPr>
        <w:t xml:space="preserve">millennials' non-buying intention towards smartphones, thereby </w:t>
      </w:r>
      <w:r w:rsidR="00FB0285">
        <w:rPr>
          <w:rFonts w:ascii="Times New Roman" w:hAnsi="Times New Roman" w:cs="Times New Roman"/>
          <w:sz w:val="26"/>
          <w:szCs w:val="26"/>
          <w:lang w:val="en-GB"/>
        </w:rPr>
        <w:t xml:space="preserve">providing </w:t>
      </w:r>
      <w:r>
        <w:rPr>
          <w:rFonts w:ascii="Times New Roman" w:hAnsi="Times New Roman" w:cs="Times New Roman"/>
          <w:sz w:val="26"/>
          <w:szCs w:val="26"/>
          <w:lang w:val="en-GB"/>
        </w:rPr>
        <w:t>nomological validati</w:t>
      </w:r>
      <w:r w:rsidR="00FB0285">
        <w:rPr>
          <w:rFonts w:ascii="Times New Roman" w:hAnsi="Times New Roman" w:cs="Times New Roman"/>
          <w:sz w:val="26"/>
          <w:szCs w:val="26"/>
          <w:lang w:val="en-GB"/>
        </w:rPr>
        <w:t>on</w:t>
      </w:r>
      <w:r>
        <w:rPr>
          <w:rFonts w:ascii="Times New Roman" w:hAnsi="Times New Roman" w:cs="Times New Roman"/>
          <w:sz w:val="26"/>
          <w:szCs w:val="26"/>
          <w:lang w:val="en-GB"/>
        </w:rPr>
        <w:t xml:space="preserve"> </w:t>
      </w:r>
      <w:r w:rsidR="00FB0285">
        <w:rPr>
          <w:rFonts w:ascii="Times New Roman" w:hAnsi="Times New Roman" w:cs="Times New Roman"/>
          <w:sz w:val="26"/>
          <w:szCs w:val="26"/>
          <w:lang w:val="en-GB"/>
        </w:rPr>
        <w:t xml:space="preserve">of this </w:t>
      </w:r>
      <w:r>
        <w:rPr>
          <w:rFonts w:ascii="Times New Roman" w:hAnsi="Times New Roman" w:cs="Times New Roman"/>
          <w:sz w:val="26"/>
          <w:szCs w:val="26"/>
          <w:lang w:val="en-GB"/>
        </w:rPr>
        <w:t>positive relationship. This systematic investigation of negative consumer-brand relationships in developing South Asian economies has been ignored in the mainstream literature. Furthermore, cross-validation of the brand avoidance scale sanctions its applicability in other studies. The empirical evaluation in this study was conducted on millennials from two developing economies in South Asia. Given the heterogeneous consumer base and fundamentally different marketplace dynamics from those of Western and European counterparts, this study aims to highlight the peculiarities of the branding literature across regions worldwide (Sheth, 2011).</w:t>
      </w:r>
    </w:p>
    <w:p w14:paraId="3C461A5F" w14:textId="77777777" w:rsidR="004F5D9D" w:rsidRPr="005F1B2C" w:rsidRDefault="004F5D9D">
      <w:pPr>
        <w:widowControl w:val="0"/>
        <w:autoSpaceDE w:val="0"/>
        <w:autoSpaceDN w:val="0"/>
        <w:adjustRightInd w:val="0"/>
        <w:spacing w:after="0" w:line="360" w:lineRule="atLeast"/>
        <w:jc w:val="both"/>
        <w:rPr>
          <w:rFonts w:ascii="Times New Roman" w:hAnsi="Times New Roman" w:cs="Times New Roman"/>
          <w:b/>
          <w:bCs/>
          <w:sz w:val="26"/>
          <w:szCs w:val="26"/>
          <w:lang w:val="en-GB"/>
        </w:rPr>
      </w:pPr>
    </w:p>
    <w:p w14:paraId="686E7B29" w14:textId="77777777" w:rsidR="004F5D9D" w:rsidRPr="005F1B2C" w:rsidRDefault="00534E43" w:rsidP="003D115F">
      <w:pPr>
        <w:widowControl w:val="0"/>
        <w:autoSpaceDE w:val="0"/>
        <w:autoSpaceDN w:val="0"/>
        <w:adjustRightInd w:val="0"/>
        <w:snapToGrid w:val="0"/>
        <w:spacing w:after="0" w:line="300" w:lineRule="auto"/>
        <w:jc w:val="both"/>
        <w:rPr>
          <w:rFonts w:ascii="Times New Roman" w:hAnsi="Times New Roman" w:cs="Times New Roman"/>
          <w:b/>
          <w:bCs/>
          <w:sz w:val="26"/>
          <w:szCs w:val="26"/>
          <w:lang w:val="en-GB"/>
        </w:rPr>
      </w:pPr>
      <w:r>
        <w:rPr>
          <w:rFonts w:ascii="Times New Roman" w:hAnsi="Times New Roman" w:cs="Times New Roman"/>
          <w:b/>
          <w:bCs/>
          <w:sz w:val="26"/>
          <w:szCs w:val="26"/>
          <w:lang w:val="en-GB"/>
        </w:rPr>
        <w:t>Implications of The Study</w:t>
      </w:r>
    </w:p>
    <w:p w14:paraId="7177CD20" w14:textId="77777777" w:rsidR="004F5D9D" w:rsidRPr="005F1B2C" w:rsidRDefault="00534E43" w:rsidP="0050632A">
      <w:pPr>
        <w:autoSpaceDE w:val="0"/>
        <w:autoSpaceDN w:val="0"/>
        <w:adjustRightInd w:val="0"/>
        <w:spacing w:after="0" w:line="300" w:lineRule="auto"/>
        <w:ind w:firstLineChars="200" w:firstLine="520"/>
        <w:jc w:val="both"/>
        <w:rPr>
          <w:rFonts w:ascii="Times New Roman" w:hAnsi="Times New Roman" w:cs="Times New Roman"/>
          <w:sz w:val="26"/>
          <w:szCs w:val="26"/>
          <w:lang w:val="en-IN"/>
        </w:rPr>
      </w:pPr>
      <w:r>
        <w:rPr>
          <w:rFonts w:ascii="Times New Roman" w:hAnsi="Times New Roman" w:cs="Times New Roman"/>
          <w:sz w:val="26"/>
          <w:szCs w:val="26"/>
          <w:lang w:val="en-IN"/>
        </w:rPr>
        <w:t xml:space="preserve">This study will enable brand </w:t>
      </w:r>
      <w:r>
        <w:rPr>
          <w:rFonts w:ascii="Times New Roman" w:hAnsi="Times New Roman" w:cs="Times New Roman"/>
          <w:kern w:val="2"/>
          <w:sz w:val="26"/>
          <w:szCs w:val="26"/>
          <w14:ligatures w14:val="standardContextual"/>
        </w:rPr>
        <w:t>managers</w:t>
      </w:r>
      <w:r>
        <w:rPr>
          <w:rFonts w:ascii="Times New Roman" w:hAnsi="Times New Roman" w:cs="Times New Roman"/>
          <w:sz w:val="26"/>
          <w:szCs w:val="26"/>
          <w:lang w:val="en-IN"/>
        </w:rPr>
        <w:t xml:space="preserve"> to understand the reasons for negative brand evaluations and their unfavorable outcomes. It can help brand practitioners in three ways. </w:t>
      </w:r>
    </w:p>
    <w:p w14:paraId="1C0540C9" w14:textId="77777777" w:rsidR="004F5D9D" w:rsidRPr="005F1B2C" w:rsidRDefault="00534E43">
      <w:pPr>
        <w:widowControl w:val="0"/>
        <w:autoSpaceDE w:val="0"/>
        <w:autoSpaceDN w:val="0"/>
        <w:adjustRightInd w:val="0"/>
        <w:spacing w:after="0" w:line="360" w:lineRule="atLeast"/>
        <w:ind w:firstLine="360"/>
        <w:jc w:val="both"/>
        <w:rPr>
          <w:rFonts w:ascii="Times New Roman" w:hAnsi="Times New Roman" w:cs="Times New Roman"/>
          <w:sz w:val="26"/>
          <w:szCs w:val="26"/>
          <w:lang w:val="en-IN"/>
        </w:rPr>
      </w:pPr>
      <w:r>
        <w:rPr>
          <w:rFonts w:ascii="Times New Roman" w:hAnsi="Times New Roman" w:cs="Times New Roman"/>
          <w:b/>
          <w:bCs/>
          <w:sz w:val="26"/>
          <w:szCs w:val="26"/>
          <w:lang w:val="en-IN"/>
        </w:rPr>
        <w:t>Identify</w:t>
      </w:r>
      <w:r>
        <w:rPr>
          <w:rFonts w:ascii="Times New Roman" w:hAnsi="Times New Roman" w:cs="Times New Roman"/>
          <w:sz w:val="26"/>
          <w:szCs w:val="26"/>
          <w:lang w:val="en-IN"/>
        </w:rPr>
        <w:t xml:space="preserve">: The lack of academic literature on brand avoidance, a domain that has traditionally focused on brand love and attachment, creates a significant information gap. Traditional brand management research needs to offer more strategies for addressing brand avoidance behaviors and attitudes from a managerial perspective (Thompson et al., 2006). This is partly due to the need for a clear understanding of the antecedents of brand avoidance. However, by identifying and empirically validating the antecedents of brand avoidance, this study can provide practical insights for brand managers, empowering them to understand and potentially mitigate its triggers. Moral and experiential avoidance were found to have the highest explanatory power in brand avoidance. In contrast, oppositional brand loyalty had the lowest level, providing brand practitioners with a clear understanding of the antecedents most likely to predict brand-avoidance behaviors. </w:t>
      </w:r>
    </w:p>
    <w:p w14:paraId="109311C0" w14:textId="77777777" w:rsidR="004F5D9D" w:rsidRPr="005F1B2C" w:rsidRDefault="00534E43">
      <w:pPr>
        <w:widowControl w:val="0"/>
        <w:autoSpaceDE w:val="0"/>
        <w:autoSpaceDN w:val="0"/>
        <w:adjustRightInd w:val="0"/>
        <w:spacing w:after="0" w:line="360" w:lineRule="atLeast"/>
        <w:ind w:firstLine="360"/>
        <w:jc w:val="both"/>
        <w:rPr>
          <w:rFonts w:ascii="Times New Roman" w:hAnsi="Times New Roman" w:cs="Times New Roman"/>
          <w:sz w:val="26"/>
          <w:szCs w:val="26"/>
          <w:lang w:val="en-IN"/>
        </w:rPr>
      </w:pPr>
      <w:r>
        <w:rPr>
          <w:rFonts w:ascii="Times New Roman" w:hAnsi="Times New Roman" w:cs="Times New Roman"/>
          <w:b/>
          <w:bCs/>
          <w:sz w:val="26"/>
          <w:szCs w:val="26"/>
          <w:lang w:val="en-IN"/>
        </w:rPr>
        <w:t>Implement</w:t>
      </w:r>
      <w:r>
        <w:rPr>
          <w:rFonts w:ascii="Times New Roman" w:hAnsi="Times New Roman" w:cs="Times New Roman"/>
          <w:sz w:val="26"/>
          <w:szCs w:val="26"/>
          <w:lang w:val="en-IN"/>
        </w:rPr>
        <w:t>: Awareness of what leads to brand avoidance can help devise appropriate brand strategies to turn negative consumer-brand relationships into a pleasant one. As previously discussed, consumers can transition from brand love to indifference, then to avoidance, and ultimately back. Experiential avoidance can be addressed by providing high-quality products and superior service. Identity avoidance can be mitigated by associating the brand with positive associations that reflect a positive self-concept and align with social norms. Value deficiency can be addressed by fostering familiarity, attractive packaging, and encouraging customers to believe they are getting the best bargain in terms of benefit-to-cost ratio. Moral avoidance can be addressed by raising awareness of ethical brand practices. Oppositional brand avoidance can be achieved not by having a head-on collision with most-loved brands, but by identifying points of difference (PODs) and positioning the brand around them. Identifying and improving these areas can help brand managers prevent consumers from moving towards the negative side of the consumer-brand relationship, from love to indifference, and from indifference to avoidance. This can also facilitate the movement from avoidance to indifference and then to love.</w:t>
      </w:r>
    </w:p>
    <w:p w14:paraId="751CA519" w14:textId="77777777" w:rsidR="004F5D9D" w:rsidRPr="005F1B2C" w:rsidRDefault="00534E43">
      <w:pPr>
        <w:widowControl w:val="0"/>
        <w:autoSpaceDE w:val="0"/>
        <w:autoSpaceDN w:val="0"/>
        <w:adjustRightInd w:val="0"/>
        <w:spacing w:after="0" w:line="360" w:lineRule="atLeast"/>
        <w:ind w:firstLine="360"/>
        <w:jc w:val="both"/>
        <w:rPr>
          <w:rFonts w:ascii="Times New Roman" w:hAnsi="Times New Roman" w:cs="Times New Roman"/>
          <w:sz w:val="26"/>
          <w:szCs w:val="26"/>
          <w:lang w:val="en-IN"/>
        </w:rPr>
      </w:pPr>
      <w:r>
        <w:rPr>
          <w:rFonts w:ascii="Times New Roman" w:hAnsi="Times New Roman" w:cs="Times New Roman"/>
          <w:b/>
          <w:bCs/>
          <w:sz w:val="26"/>
          <w:szCs w:val="26"/>
          <w:lang w:val="en-IN"/>
        </w:rPr>
        <w:t>Communicate</w:t>
      </w:r>
      <w:r>
        <w:rPr>
          <w:rFonts w:ascii="Times New Roman" w:hAnsi="Times New Roman" w:cs="Times New Roman"/>
          <w:sz w:val="26"/>
          <w:szCs w:val="26"/>
          <w:lang w:val="en-IN"/>
        </w:rPr>
        <w:t>: Brand managers must identify the causes of brand avoidance. This understanding can be used to design effective brand communication strategies that address specific antecedents of brand avoidance, thereby improving brand positioning in consumers' minds. By taking the lead in addressing these areas and communicating these improvements to consumers through effective advertising strategies, brand managers play a pivotal role in facilitating consumers' movement toward positive consumer-brand relationships. Taken together, these implications provide a structured pathway for managers to diagnose the specific form of avoidance driving rejection and to design targeted interventions grounded in empirical evidence. The study, therefore, links theoretical clarity with actionable managerial guidance.</w:t>
      </w:r>
    </w:p>
    <w:p w14:paraId="66F6B2AE" w14:textId="77777777" w:rsidR="004F5D9D" w:rsidRPr="005F1B2C" w:rsidRDefault="004F5D9D">
      <w:pPr>
        <w:widowControl w:val="0"/>
        <w:autoSpaceDE w:val="0"/>
        <w:autoSpaceDN w:val="0"/>
        <w:adjustRightInd w:val="0"/>
        <w:spacing w:after="0" w:line="360" w:lineRule="atLeast"/>
        <w:ind w:firstLine="360"/>
        <w:jc w:val="both"/>
        <w:rPr>
          <w:rFonts w:ascii="Times New Roman" w:hAnsi="Times New Roman" w:cs="Times New Roman"/>
          <w:sz w:val="26"/>
          <w:szCs w:val="26"/>
          <w:lang w:val="en-IN"/>
        </w:rPr>
      </w:pPr>
    </w:p>
    <w:p w14:paraId="2131AE21" w14:textId="77777777" w:rsidR="004F5D9D" w:rsidRPr="005F1B2C" w:rsidRDefault="00534E43" w:rsidP="00177659">
      <w:pPr>
        <w:widowControl w:val="0"/>
        <w:autoSpaceDE w:val="0"/>
        <w:autoSpaceDN w:val="0"/>
        <w:adjustRightInd w:val="0"/>
        <w:snapToGrid w:val="0"/>
        <w:spacing w:after="0" w:line="300" w:lineRule="auto"/>
        <w:jc w:val="both"/>
        <w:rPr>
          <w:rFonts w:ascii="Times New Roman" w:hAnsi="Times New Roman" w:cs="Times New Roman"/>
          <w:b/>
          <w:bCs/>
          <w:sz w:val="26"/>
          <w:szCs w:val="26"/>
          <w:lang w:val="en-GB"/>
        </w:rPr>
      </w:pPr>
      <w:r>
        <w:rPr>
          <w:rFonts w:ascii="Times New Roman" w:hAnsi="Times New Roman" w:cs="Times New Roman"/>
          <w:b/>
          <w:bCs/>
          <w:sz w:val="26"/>
          <w:szCs w:val="26"/>
          <w:lang w:val="en-GB"/>
        </w:rPr>
        <w:t>Limitations and Scope for Future Research</w:t>
      </w:r>
    </w:p>
    <w:p w14:paraId="09F1F791" w14:textId="211B6F19" w:rsidR="004F5D9D" w:rsidRPr="005F1B2C" w:rsidRDefault="00534E43" w:rsidP="00177659">
      <w:pPr>
        <w:autoSpaceDE w:val="0"/>
        <w:autoSpaceDN w:val="0"/>
        <w:adjustRightInd w:val="0"/>
        <w:snapToGrid w:val="0"/>
        <w:spacing w:after="0" w:line="300" w:lineRule="auto"/>
        <w:ind w:firstLineChars="200" w:firstLine="520"/>
        <w:jc w:val="both"/>
        <w:rPr>
          <w:rFonts w:ascii="Times New Roman" w:hAnsi="Times New Roman" w:cs="Times New Roman"/>
          <w:sz w:val="26"/>
          <w:szCs w:val="26"/>
          <w:lang w:val="en-IN"/>
        </w:rPr>
      </w:pPr>
      <w:r>
        <w:rPr>
          <w:rFonts w:ascii="Times New Roman" w:hAnsi="Times New Roman" w:cs="Times New Roman"/>
          <w:sz w:val="26"/>
          <w:szCs w:val="26"/>
          <w:lang w:val="en-IN"/>
        </w:rPr>
        <w:t xml:space="preserve">First, this study was limited to a few South Asian countries. Future research may test the scale across multiple constructs in various cultures and contexts. This is because selected countries in the South Asian region may not fully explain the negative consumer-brand relationship across a diverse </w:t>
      </w:r>
      <w:r>
        <w:rPr>
          <w:rFonts w:ascii="Times New Roman" w:hAnsi="Times New Roman" w:cs="Times New Roman"/>
          <w:kern w:val="2"/>
          <w:sz w:val="26"/>
          <w:szCs w:val="26"/>
          <w14:ligatures w14:val="standardContextual"/>
        </w:rPr>
        <w:t>global</w:t>
      </w:r>
      <w:r>
        <w:rPr>
          <w:rFonts w:ascii="Times New Roman" w:hAnsi="Times New Roman" w:cs="Times New Roman"/>
          <w:sz w:val="26"/>
          <w:szCs w:val="26"/>
          <w:lang w:val="en-IN"/>
        </w:rPr>
        <w:t xml:space="preserve"> consumer base. A better understanding of negative consumer–brand relationships could be developed by adopting this scale to empirically test the mechanism of brand avoidance across related and unrelated product and service categories. Furthermore, as a limitation, this study should be viewed as an attempt to empirically test brand avoidance. It must not be confused with other related constructs such as brand hate, brand dislike, and brand boycotts. While a few studies have explored the impact of advertising and negative electronic word of mouth on brand avoidance, this study uses only five determinants of brand avoidance. Future studies could integrate these antecedents into a more parsimonious scale.</w:t>
      </w:r>
    </w:p>
    <w:bookmarkEnd w:id="0"/>
    <w:bookmarkEnd w:id="2"/>
    <w:p w14:paraId="22B32568" w14:textId="77777777" w:rsidR="004F5D9D" w:rsidRPr="005F1B2C" w:rsidRDefault="004F5D9D" w:rsidP="0050632A">
      <w:pPr>
        <w:widowControl w:val="0"/>
        <w:autoSpaceDE w:val="0"/>
        <w:autoSpaceDN w:val="0"/>
        <w:adjustRightInd w:val="0"/>
        <w:spacing w:after="0" w:line="360" w:lineRule="exact"/>
        <w:ind w:left="520" w:hangingChars="200" w:hanging="520"/>
        <w:rPr>
          <w:rFonts w:ascii="Times New Roman" w:hAnsi="Times New Roman" w:cs="Times New Roman"/>
          <w:sz w:val="26"/>
          <w:szCs w:val="26"/>
        </w:rPr>
      </w:pPr>
    </w:p>
    <w:bookmarkEnd w:id="1"/>
    <w:p w14:paraId="4DAED54E" w14:textId="77777777" w:rsidR="004F5D9D" w:rsidRPr="005F1B2C" w:rsidRDefault="00534E43" w:rsidP="00233498">
      <w:pPr>
        <w:autoSpaceDE w:val="0"/>
        <w:autoSpaceDN w:val="0"/>
        <w:adjustRightInd w:val="0"/>
        <w:spacing w:after="0" w:line="360" w:lineRule="exact"/>
        <w:jc w:val="center"/>
        <w:rPr>
          <w:rFonts w:ascii="Times New Roman" w:hAnsi="Times New Roman" w:cs="Times New Roman"/>
          <w:b/>
          <w:bCs/>
          <w:sz w:val="24"/>
          <w:szCs w:val="24"/>
        </w:rPr>
      </w:pPr>
      <w:r>
        <w:rPr>
          <w:rFonts w:ascii="Times New Roman" w:hAnsi="Times New Roman" w:cs="Times New Roman"/>
          <w:b/>
          <w:bCs/>
          <w:sz w:val="24"/>
          <w:szCs w:val="24"/>
        </w:rPr>
        <w:t>REFERENCES</w:t>
      </w:r>
      <w:bookmarkStart w:id="5" w:name="_Hlk161445631"/>
      <w:r w:rsidR="007401F3">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sidR="007401F3">
        <w:rPr>
          <w:rFonts w:ascii="Times New Roman" w:hAnsi="Times New Roman" w:cs="Times New Roman"/>
          <w:sz w:val="24"/>
          <w:szCs w:val="24"/>
        </w:rPr>
        <w:fldChar w:fldCharType="separate"/>
      </w:r>
    </w:p>
    <w:p w14:paraId="4739F8F6" w14:textId="06F5778C" w:rsidR="003239F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sidRPr="004F7FC9">
        <w:rPr>
          <w:rFonts w:ascii="Times New Roman" w:hAnsi="Times New Roman" w:cs="Times New Roman"/>
          <w:sz w:val="24"/>
          <w:szCs w:val="24"/>
        </w:rPr>
        <w:t>Aaker, D. A. (1991). Managing brand equity: Capitalizing on the value of a brand name.</w:t>
      </w:r>
      <w:r>
        <w:rPr>
          <w:rFonts w:ascii="Times New Roman" w:hAnsi="Times New Roman" w:cs="Times New Roman"/>
          <w:sz w:val="24"/>
          <w:szCs w:val="24"/>
        </w:rPr>
        <w:t xml:space="preserve"> </w:t>
      </w:r>
      <w:r w:rsidRPr="004F7FC9">
        <w:rPr>
          <w:rFonts w:ascii="Times New Roman" w:hAnsi="Times New Roman" w:cs="Times New Roman"/>
          <w:i/>
          <w:iCs/>
          <w:sz w:val="24"/>
          <w:szCs w:val="24"/>
        </w:rPr>
        <w:t>Free Press</w:t>
      </w:r>
      <w:r>
        <w:rPr>
          <w:rFonts w:ascii="Times New Roman" w:hAnsi="Times New Roman" w:cs="Times New Roman"/>
          <w:sz w:val="24"/>
          <w:szCs w:val="24"/>
        </w:rPr>
        <w:t xml:space="preserve">, </w:t>
      </w:r>
      <w:r w:rsidRPr="004F7FC9">
        <w:rPr>
          <w:rFonts w:ascii="Times New Roman" w:hAnsi="Times New Roman" w:cs="Times New Roman"/>
          <w:i/>
          <w:iCs/>
          <w:sz w:val="24"/>
          <w:szCs w:val="24"/>
        </w:rPr>
        <w:t>2</w:t>
      </w:r>
      <w:r w:rsidRPr="004F7FC9">
        <w:rPr>
          <w:rFonts w:ascii="Times New Roman" w:hAnsi="Times New Roman" w:cs="Times New Roman"/>
          <w:sz w:val="24"/>
          <w:szCs w:val="24"/>
        </w:rPr>
        <w:t>, 102–120.</w:t>
      </w:r>
      <w:r>
        <w:rPr>
          <w:rFonts w:ascii="Times New Roman" w:hAnsi="Times New Roman" w:cs="Times New Roman"/>
          <w:sz w:val="24"/>
          <w:szCs w:val="24"/>
        </w:rPr>
        <w:t xml:space="preserve"> </w:t>
      </w:r>
    </w:p>
    <w:p w14:paraId="1610D73A"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Aaker, J. L. (1997). Dimensions of brand personality. </w:t>
      </w:r>
      <w:r>
        <w:rPr>
          <w:rFonts w:ascii="Times New Roman" w:hAnsi="Times New Roman" w:cs="Times New Roman"/>
          <w:i/>
          <w:iCs/>
          <w:sz w:val="24"/>
          <w:szCs w:val="24"/>
        </w:rPr>
        <w:t>Journal of Marketing Research</w:t>
      </w:r>
      <w:r>
        <w:rPr>
          <w:rFonts w:ascii="Times New Roman" w:hAnsi="Times New Roman" w:cs="Times New Roman"/>
          <w:sz w:val="24"/>
          <w:szCs w:val="24"/>
        </w:rPr>
        <w:t xml:space="preserve">, </w:t>
      </w:r>
      <w:r>
        <w:rPr>
          <w:rFonts w:ascii="Times New Roman" w:hAnsi="Times New Roman" w:cs="Times New Roman"/>
          <w:i/>
          <w:iCs/>
          <w:sz w:val="24"/>
          <w:szCs w:val="24"/>
        </w:rPr>
        <w:t>34</w:t>
      </w:r>
      <w:r>
        <w:rPr>
          <w:rFonts w:ascii="Times New Roman" w:hAnsi="Times New Roman" w:cs="Times New Roman"/>
          <w:sz w:val="24"/>
          <w:szCs w:val="24"/>
        </w:rPr>
        <w:t xml:space="preserve">(3), 347. </w:t>
      </w:r>
      <w:hyperlink r:id="rId12" w:history="1">
        <w:r>
          <w:rPr>
            <w:rStyle w:val="af"/>
            <w:rFonts w:ascii="Times New Roman" w:hAnsi="Times New Roman" w:cs="Times New Roman"/>
            <w:color w:val="auto"/>
            <w:sz w:val="24"/>
            <w:szCs w:val="24"/>
          </w:rPr>
          <w:t>https://doi.org/10.2307/3151897</w:t>
        </w:r>
      </w:hyperlink>
    </w:p>
    <w:p w14:paraId="1F1D8817"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Albert, N., &amp; Thomson, M. (2018). A synthesis of the consumer-brand relationship domain: Using text mining to track research streams, describe their emotional associations, and identify future research priorities. </w:t>
      </w:r>
      <w:r>
        <w:rPr>
          <w:rFonts w:ascii="Times New Roman" w:hAnsi="Times New Roman" w:cs="Times New Roman"/>
          <w:i/>
          <w:iCs/>
          <w:sz w:val="24"/>
          <w:szCs w:val="24"/>
        </w:rPr>
        <w:t>Journal of the Association for Consumer Research</w:t>
      </w:r>
      <w:r>
        <w:rPr>
          <w:rFonts w:ascii="Times New Roman" w:hAnsi="Times New Roman" w:cs="Times New Roman"/>
          <w:sz w:val="24"/>
          <w:szCs w:val="24"/>
        </w:rPr>
        <w:t xml:space="preserve">, </w:t>
      </w:r>
      <w:r>
        <w:rPr>
          <w:rFonts w:ascii="Times New Roman" w:hAnsi="Times New Roman" w:cs="Times New Roman"/>
          <w:i/>
          <w:iCs/>
          <w:sz w:val="24"/>
          <w:szCs w:val="24"/>
        </w:rPr>
        <w:t>3</w:t>
      </w:r>
      <w:r>
        <w:rPr>
          <w:rFonts w:ascii="Times New Roman" w:hAnsi="Times New Roman" w:cs="Times New Roman"/>
          <w:sz w:val="24"/>
          <w:szCs w:val="24"/>
        </w:rPr>
        <w:t xml:space="preserve">(2), 130–146. </w:t>
      </w:r>
      <w:hyperlink r:id="rId13" w:history="1">
        <w:r>
          <w:rPr>
            <w:rStyle w:val="af"/>
            <w:rFonts w:ascii="Times New Roman" w:hAnsi="Times New Roman" w:cs="Times New Roman"/>
            <w:color w:val="auto"/>
            <w:sz w:val="24"/>
            <w:szCs w:val="24"/>
          </w:rPr>
          <w:t>https://doi.org/10.1086/696825</w:t>
        </w:r>
      </w:hyperlink>
    </w:p>
    <w:p w14:paraId="4AFAA0CA" w14:textId="77777777" w:rsidR="004F5D9D" w:rsidRPr="005F1B2C" w:rsidRDefault="00534E43" w:rsidP="0050632A">
      <w:pPr>
        <w:widowControl w:val="0"/>
        <w:autoSpaceDE w:val="0"/>
        <w:autoSpaceDN w:val="0"/>
        <w:adjustRightInd w:val="0"/>
        <w:spacing w:after="0" w:line="360" w:lineRule="exact"/>
        <w:ind w:left="480" w:hangingChars="200" w:hanging="480"/>
        <w:rPr>
          <w:rStyle w:val="af"/>
          <w:rFonts w:ascii="Times New Roman" w:hAnsi="Times New Roman" w:cs="Times New Roman"/>
          <w:color w:val="auto"/>
          <w:sz w:val="24"/>
          <w:szCs w:val="24"/>
        </w:rPr>
      </w:pPr>
      <w:r>
        <w:rPr>
          <w:rFonts w:ascii="Times New Roman" w:hAnsi="Times New Roman" w:cs="Times New Roman"/>
          <w:sz w:val="24"/>
          <w:szCs w:val="24"/>
        </w:rPr>
        <w:t xml:space="preserve">Albrecht, C., Campbell, C., Heinrich, D., &amp; Lammel, M. (2013). Exploring why consumers engage in boycotts: Toward a unified model. </w:t>
      </w:r>
      <w:r>
        <w:rPr>
          <w:rFonts w:ascii="Times New Roman" w:hAnsi="Times New Roman" w:cs="Times New Roman"/>
          <w:i/>
          <w:iCs/>
          <w:sz w:val="24"/>
          <w:szCs w:val="24"/>
        </w:rPr>
        <w:t>Journal of Public Affairs</w:t>
      </w:r>
      <w:r>
        <w:rPr>
          <w:rFonts w:ascii="Times New Roman" w:hAnsi="Times New Roman" w:cs="Times New Roman"/>
          <w:sz w:val="24"/>
          <w:szCs w:val="24"/>
        </w:rPr>
        <w:t xml:space="preserve">, </w:t>
      </w:r>
      <w:r>
        <w:rPr>
          <w:rFonts w:ascii="Times New Roman" w:hAnsi="Times New Roman" w:cs="Times New Roman"/>
          <w:i/>
          <w:iCs/>
          <w:sz w:val="24"/>
          <w:szCs w:val="24"/>
        </w:rPr>
        <w:t>13</w:t>
      </w:r>
      <w:r>
        <w:rPr>
          <w:rFonts w:ascii="Times New Roman" w:hAnsi="Times New Roman" w:cs="Times New Roman"/>
          <w:sz w:val="24"/>
          <w:szCs w:val="24"/>
        </w:rPr>
        <w:t xml:space="preserve">(2), 180–189. </w:t>
      </w:r>
      <w:hyperlink r:id="rId14" w:history="1">
        <w:r>
          <w:rPr>
            <w:rStyle w:val="af"/>
            <w:rFonts w:ascii="Times New Roman" w:hAnsi="Times New Roman" w:cs="Times New Roman"/>
            <w:color w:val="auto"/>
            <w:sz w:val="24"/>
            <w:szCs w:val="24"/>
          </w:rPr>
          <w:t>https://doi.org/10.1002/pa.1473</w:t>
        </w:r>
      </w:hyperlink>
    </w:p>
    <w:p w14:paraId="0BF73556"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eastAsia="SimSun" w:hAnsi="Times New Roman" w:cs="Times New Roman"/>
          <w:sz w:val="24"/>
          <w:szCs w:val="24"/>
          <w:shd w:val="clear" w:color="auto" w:fill="FFFFFF"/>
        </w:rPr>
      </w:pPr>
      <w:r>
        <w:rPr>
          <w:rFonts w:ascii="Times New Roman" w:eastAsia="SimSun" w:hAnsi="Times New Roman" w:cs="Times New Roman"/>
          <w:sz w:val="24"/>
          <w:szCs w:val="24"/>
          <w:shd w:val="clear" w:color="auto" w:fill="FFFFFF"/>
        </w:rPr>
        <w:t>Alvarez, C., David, M. E., &amp; George, M. (2023). Types of consumer-brand relationships: A systematic review and future research agenda.</w:t>
      </w:r>
      <w:r w:rsidR="003239FC">
        <w:rPr>
          <w:rFonts w:ascii="Times New Roman" w:eastAsia="SimSun" w:hAnsi="Times New Roman" w:cs="Times New Roman"/>
          <w:sz w:val="24"/>
          <w:szCs w:val="24"/>
          <w:shd w:val="clear" w:color="auto" w:fill="FFFFFF"/>
        </w:rPr>
        <w:t xml:space="preserve"> </w:t>
      </w:r>
      <w:r>
        <w:rPr>
          <w:rStyle w:val="aa"/>
          <w:rFonts w:ascii="Times New Roman" w:eastAsia="SimSun" w:hAnsi="Times New Roman" w:cs="Times New Roman"/>
          <w:sz w:val="24"/>
          <w:szCs w:val="24"/>
          <w:shd w:val="clear" w:color="auto" w:fill="FFFFFF"/>
        </w:rPr>
        <w:t>Journal of Business Research</w:t>
      </w:r>
      <w:r>
        <w:rPr>
          <w:rFonts w:ascii="Times New Roman" w:eastAsia="SimSun" w:hAnsi="Times New Roman" w:cs="Times New Roman"/>
          <w:sz w:val="24"/>
          <w:szCs w:val="24"/>
          <w:shd w:val="clear" w:color="auto" w:fill="FFFFFF"/>
        </w:rPr>
        <w:t>,</w:t>
      </w:r>
      <w:r w:rsidR="00481459">
        <w:rPr>
          <w:rFonts w:ascii="Times New Roman" w:eastAsia="SimSun" w:hAnsi="Times New Roman" w:cs="Times New Roman"/>
          <w:sz w:val="24"/>
          <w:szCs w:val="24"/>
          <w:shd w:val="clear" w:color="auto" w:fill="FFFFFF"/>
        </w:rPr>
        <w:t xml:space="preserve"> </w:t>
      </w:r>
      <w:r>
        <w:rPr>
          <w:rStyle w:val="aa"/>
          <w:rFonts w:ascii="Times New Roman" w:eastAsia="SimSun" w:hAnsi="Times New Roman" w:cs="Times New Roman"/>
          <w:sz w:val="24"/>
          <w:szCs w:val="24"/>
          <w:shd w:val="clear" w:color="auto" w:fill="FFFFFF"/>
        </w:rPr>
        <w:t>160</w:t>
      </w:r>
      <w:r>
        <w:rPr>
          <w:rFonts w:ascii="Times New Roman" w:eastAsia="SimSun" w:hAnsi="Times New Roman" w:cs="Times New Roman"/>
          <w:sz w:val="24"/>
          <w:szCs w:val="24"/>
          <w:shd w:val="clear" w:color="auto" w:fill="FFFFFF"/>
        </w:rPr>
        <w:t>, 113753.</w:t>
      </w:r>
      <w:r w:rsidR="00481459">
        <w:rPr>
          <w:rFonts w:ascii="Times New Roman" w:eastAsia="SimSun" w:hAnsi="Times New Roman" w:cs="Times New Roman"/>
          <w:sz w:val="24"/>
          <w:szCs w:val="24"/>
          <w:shd w:val="clear" w:color="auto" w:fill="FFFFFF"/>
        </w:rPr>
        <w:t xml:space="preserve"> </w:t>
      </w:r>
      <w:r w:rsidRPr="00C11E86">
        <w:rPr>
          <w:rStyle w:val="af"/>
          <w:rFonts w:ascii="Times New Roman" w:hAnsi="Times New Roman" w:cs="Times New Roman"/>
          <w:color w:val="auto"/>
          <w:sz w:val="24"/>
          <w:szCs w:val="24"/>
        </w:rPr>
        <w:t>https://doi.org/10.1016/j.jbusres.2023.113753</w:t>
      </w:r>
    </w:p>
    <w:p w14:paraId="25C5D074"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Aquino, J. (2012, February). Gen Y: The next generation of spenders. </w:t>
      </w:r>
      <w:r>
        <w:rPr>
          <w:rFonts w:ascii="Times New Roman" w:hAnsi="Times New Roman" w:cs="Times New Roman"/>
          <w:i/>
          <w:iCs/>
          <w:sz w:val="24"/>
          <w:szCs w:val="24"/>
        </w:rPr>
        <w:t>Customer Relationship Management</w:t>
      </w:r>
      <w:r>
        <w:rPr>
          <w:rFonts w:ascii="Times New Roman" w:hAnsi="Times New Roman" w:cs="Times New Roman"/>
          <w:sz w:val="24"/>
          <w:szCs w:val="24"/>
        </w:rPr>
        <w:t xml:space="preserve">, 20–23. </w:t>
      </w:r>
      <w:hyperlink r:id="rId15" w:history="1">
        <w:r>
          <w:rPr>
            <w:rStyle w:val="af"/>
            <w:rFonts w:ascii="Times New Roman" w:hAnsi="Times New Roman" w:cs="Times New Roman"/>
            <w:color w:val="auto"/>
            <w:sz w:val="24"/>
            <w:szCs w:val="24"/>
          </w:rPr>
          <w:t>https://www.destinationcrm.com/Articles/ReadArticle.aspx?ArticleID=79884</w:t>
        </w:r>
      </w:hyperlink>
    </w:p>
    <w:p w14:paraId="30DAAC10"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Bakewell, C., &amp; Mitchell, V. (2003). Generation Y female consumer decision‐making styles. </w:t>
      </w:r>
      <w:r>
        <w:rPr>
          <w:rFonts w:ascii="Times New Roman" w:hAnsi="Times New Roman" w:cs="Times New Roman"/>
          <w:i/>
          <w:iCs/>
          <w:sz w:val="24"/>
          <w:szCs w:val="24"/>
        </w:rPr>
        <w:t>International Journal of Retail &amp; Distribution Management</w:t>
      </w:r>
      <w:r>
        <w:rPr>
          <w:rFonts w:ascii="Times New Roman" w:hAnsi="Times New Roman" w:cs="Times New Roman"/>
          <w:sz w:val="24"/>
          <w:szCs w:val="24"/>
        </w:rPr>
        <w:t xml:space="preserve">, </w:t>
      </w:r>
      <w:r>
        <w:rPr>
          <w:rFonts w:ascii="Times New Roman" w:hAnsi="Times New Roman" w:cs="Times New Roman"/>
          <w:i/>
          <w:iCs/>
          <w:sz w:val="24"/>
          <w:szCs w:val="24"/>
        </w:rPr>
        <w:t>31</w:t>
      </w:r>
      <w:r>
        <w:rPr>
          <w:rFonts w:ascii="Times New Roman" w:hAnsi="Times New Roman" w:cs="Times New Roman"/>
          <w:sz w:val="24"/>
          <w:szCs w:val="24"/>
        </w:rPr>
        <w:t xml:space="preserve">(2), 95–106. </w:t>
      </w:r>
      <w:hyperlink r:id="rId16" w:history="1">
        <w:r>
          <w:rPr>
            <w:rStyle w:val="af"/>
            <w:rFonts w:ascii="Times New Roman" w:hAnsi="Times New Roman" w:cs="Times New Roman"/>
            <w:color w:val="auto"/>
            <w:sz w:val="24"/>
            <w:szCs w:val="24"/>
          </w:rPr>
          <w:t>https://doi.org/10.1108/09590550310461994</w:t>
        </w:r>
      </w:hyperlink>
    </w:p>
    <w:p w14:paraId="5007A4F3"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Bartels, A., &amp; Zeki, S. (2000). The neural basis of romantic love. </w:t>
      </w:r>
      <w:r>
        <w:rPr>
          <w:rFonts w:ascii="Times New Roman" w:hAnsi="Times New Roman" w:cs="Times New Roman"/>
          <w:i/>
          <w:iCs/>
          <w:sz w:val="24"/>
          <w:szCs w:val="24"/>
        </w:rPr>
        <w:t>NeuroReport</w:t>
      </w:r>
      <w:r>
        <w:rPr>
          <w:rFonts w:ascii="Times New Roman" w:hAnsi="Times New Roman" w:cs="Times New Roman"/>
          <w:sz w:val="24"/>
          <w:szCs w:val="24"/>
        </w:rPr>
        <w:t xml:space="preserve">, </w:t>
      </w:r>
      <w:r>
        <w:rPr>
          <w:rFonts w:ascii="Times New Roman" w:hAnsi="Times New Roman" w:cs="Times New Roman"/>
          <w:i/>
          <w:iCs/>
          <w:sz w:val="24"/>
          <w:szCs w:val="24"/>
        </w:rPr>
        <w:t>11</w:t>
      </w:r>
      <w:r>
        <w:rPr>
          <w:rFonts w:ascii="Times New Roman" w:hAnsi="Times New Roman" w:cs="Times New Roman"/>
          <w:sz w:val="24"/>
          <w:szCs w:val="24"/>
        </w:rPr>
        <w:t xml:space="preserve">(17), 3829–3834. </w:t>
      </w:r>
      <w:hyperlink r:id="rId17" w:history="1">
        <w:r>
          <w:rPr>
            <w:rStyle w:val="af"/>
            <w:rFonts w:ascii="Times New Roman" w:hAnsi="Times New Roman" w:cs="Times New Roman"/>
            <w:color w:val="auto"/>
            <w:sz w:val="24"/>
            <w:szCs w:val="24"/>
          </w:rPr>
          <w:t>https://doi.org/10.1097/00001756-200011270-00046</w:t>
        </w:r>
      </w:hyperlink>
    </w:p>
    <w:p w14:paraId="504FCE86"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Baxter, R. (2009). Reflective and formative metrics of relationship value: A commentary essay. </w:t>
      </w:r>
      <w:r>
        <w:rPr>
          <w:rFonts w:ascii="Times New Roman" w:hAnsi="Times New Roman" w:cs="Times New Roman"/>
          <w:i/>
          <w:iCs/>
          <w:sz w:val="24"/>
          <w:szCs w:val="24"/>
        </w:rPr>
        <w:t>Journal of Business Research</w:t>
      </w:r>
      <w:r>
        <w:rPr>
          <w:rFonts w:ascii="Times New Roman" w:hAnsi="Times New Roman" w:cs="Times New Roman"/>
          <w:sz w:val="24"/>
          <w:szCs w:val="24"/>
        </w:rPr>
        <w:t xml:space="preserve">, </w:t>
      </w:r>
      <w:r>
        <w:rPr>
          <w:rFonts w:ascii="Times New Roman" w:hAnsi="Times New Roman" w:cs="Times New Roman"/>
          <w:i/>
          <w:iCs/>
          <w:sz w:val="24"/>
          <w:szCs w:val="24"/>
        </w:rPr>
        <w:t>62</w:t>
      </w:r>
      <w:r>
        <w:rPr>
          <w:rFonts w:ascii="Times New Roman" w:hAnsi="Times New Roman" w:cs="Times New Roman"/>
          <w:sz w:val="24"/>
          <w:szCs w:val="24"/>
        </w:rPr>
        <w:t xml:space="preserve">(12), 1370–1377. </w:t>
      </w:r>
      <w:hyperlink r:id="rId18" w:history="1">
        <w:r>
          <w:rPr>
            <w:rStyle w:val="af"/>
            <w:rFonts w:ascii="Times New Roman" w:hAnsi="Times New Roman" w:cs="Times New Roman"/>
            <w:color w:val="auto"/>
            <w:sz w:val="24"/>
            <w:szCs w:val="24"/>
          </w:rPr>
          <w:t>https://doi.org/10.1016/j.jbusres.2008.12.004</w:t>
        </w:r>
      </w:hyperlink>
    </w:p>
    <w:p w14:paraId="20B2D920"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Bearden, W. O., &amp; Netemeyer, R. G. (1999). </w:t>
      </w:r>
      <w:r>
        <w:rPr>
          <w:rFonts w:ascii="Times New Roman" w:hAnsi="Times New Roman" w:cs="Times New Roman"/>
          <w:i/>
          <w:iCs/>
          <w:sz w:val="24"/>
          <w:szCs w:val="24"/>
        </w:rPr>
        <w:t>Handbook of marketing scales: Multi-item measures for marketing and consumer behavior research</w:t>
      </w:r>
      <w:r>
        <w:rPr>
          <w:rFonts w:ascii="Times New Roman" w:hAnsi="Times New Roman" w:cs="Times New Roman"/>
          <w:sz w:val="24"/>
          <w:szCs w:val="24"/>
        </w:rPr>
        <w:t xml:space="preserve">. SAGE. </w:t>
      </w:r>
    </w:p>
    <w:p w14:paraId="0840706D"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Belk, R., &amp; Costa, J. (1998). The mountain man myth: A contemporary consuming fantasy. </w:t>
      </w:r>
      <w:r>
        <w:rPr>
          <w:rFonts w:ascii="Times New Roman" w:hAnsi="Times New Roman" w:cs="Times New Roman"/>
          <w:i/>
          <w:iCs/>
          <w:sz w:val="24"/>
          <w:szCs w:val="24"/>
        </w:rPr>
        <w:t>Journal of Consumer Research</w:t>
      </w:r>
      <w:r>
        <w:rPr>
          <w:rFonts w:ascii="Times New Roman" w:hAnsi="Times New Roman" w:cs="Times New Roman"/>
          <w:sz w:val="24"/>
          <w:szCs w:val="24"/>
        </w:rPr>
        <w:t xml:space="preserve">, </w:t>
      </w:r>
      <w:r>
        <w:rPr>
          <w:rFonts w:ascii="Times New Roman" w:hAnsi="Times New Roman" w:cs="Times New Roman"/>
          <w:i/>
          <w:iCs/>
          <w:sz w:val="24"/>
          <w:szCs w:val="24"/>
        </w:rPr>
        <w:t>25</w:t>
      </w:r>
      <w:r>
        <w:rPr>
          <w:rFonts w:ascii="Times New Roman" w:hAnsi="Times New Roman" w:cs="Times New Roman"/>
          <w:sz w:val="24"/>
          <w:szCs w:val="24"/>
        </w:rPr>
        <w:t xml:space="preserve">(3), 218–240. </w:t>
      </w:r>
      <w:hyperlink r:id="rId19" w:history="1">
        <w:r>
          <w:rPr>
            <w:rStyle w:val="af"/>
            <w:rFonts w:ascii="Times New Roman" w:hAnsi="Times New Roman" w:cs="Times New Roman"/>
            <w:color w:val="auto"/>
            <w:sz w:val="24"/>
            <w:szCs w:val="24"/>
          </w:rPr>
          <w:t>https://doi.org/10.1086/209536</w:t>
        </w:r>
      </w:hyperlink>
    </w:p>
    <w:p w14:paraId="2B25CA3C"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Ben-Ze'ev, A. (2000). </w:t>
      </w:r>
      <w:r>
        <w:rPr>
          <w:rFonts w:ascii="Times New Roman" w:hAnsi="Times New Roman" w:cs="Times New Roman"/>
          <w:i/>
          <w:iCs/>
          <w:sz w:val="24"/>
          <w:szCs w:val="24"/>
        </w:rPr>
        <w:t>The subtlety of emotions</w:t>
      </w:r>
      <w:r>
        <w:rPr>
          <w:rFonts w:ascii="Times New Roman" w:hAnsi="Times New Roman" w:cs="Times New Roman"/>
          <w:sz w:val="24"/>
          <w:szCs w:val="24"/>
        </w:rPr>
        <w:t xml:space="preserve">. MIT Press. </w:t>
      </w:r>
    </w:p>
    <w:p w14:paraId="63CC21F5"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Beverland, M. B. (2005). Crafting brand authenticity: The case of luxury wines*. </w:t>
      </w:r>
      <w:r>
        <w:rPr>
          <w:rFonts w:ascii="Times New Roman" w:hAnsi="Times New Roman" w:cs="Times New Roman"/>
          <w:i/>
          <w:iCs/>
          <w:sz w:val="24"/>
          <w:szCs w:val="24"/>
        </w:rPr>
        <w:t>Journal of Management Studies</w:t>
      </w:r>
      <w:r>
        <w:rPr>
          <w:rFonts w:ascii="Times New Roman" w:hAnsi="Times New Roman" w:cs="Times New Roman"/>
          <w:sz w:val="24"/>
          <w:szCs w:val="24"/>
        </w:rPr>
        <w:t xml:space="preserve">, </w:t>
      </w:r>
      <w:r>
        <w:rPr>
          <w:rFonts w:ascii="Times New Roman" w:hAnsi="Times New Roman" w:cs="Times New Roman"/>
          <w:i/>
          <w:iCs/>
          <w:sz w:val="24"/>
          <w:szCs w:val="24"/>
        </w:rPr>
        <w:t>42</w:t>
      </w:r>
      <w:r>
        <w:rPr>
          <w:rFonts w:ascii="Times New Roman" w:hAnsi="Times New Roman" w:cs="Times New Roman"/>
          <w:sz w:val="24"/>
          <w:szCs w:val="24"/>
        </w:rPr>
        <w:t xml:space="preserve">(5), 1003–1029. </w:t>
      </w:r>
      <w:hyperlink r:id="rId20" w:history="1">
        <w:r>
          <w:rPr>
            <w:rStyle w:val="af"/>
            <w:rFonts w:ascii="Times New Roman" w:hAnsi="Times New Roman" w:cs="Times New Roman"/>
            <w:color w:val="auto"/>
            <w:sz w:val="24"/>
            <w:szCs w:val="24"/>
          </w:rPr>
          <w:t>https://doi.org/10.1111/j.1467-6486.2005.00530.x</w:t>
        </w:r>
      </w:hyperlink>
    </w:p>
    <w:p w14:paraId="293F9CC1" w14:textId="77777777" w:rsidR="00F80333" w:rsidRDefault="00534E43">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Blackston, M. (1995). The qualitative dimension of brand equity. </w:t>
      </w:r>
      <w:r>
        <w:rPr>
          <w:rFonts w:ascii="Times New Roman" w:hAnsi="Times New Roman" w:cs="Times New Roman"/>
          <w:i/>
          <w:iCs/>
          <w:sz w:val="24"/>
          <w:szCs w:val="24"/>
        </w:rPr>
        <w:t>Journal of Advertising Research</w:t>
      </w:r>
      <w:r>
        <w:rPr>
          <w:rFonts w:ascii="Times New Roman" w:hAnsi="Times New Roman" w:cs="Times New Roman"/>
          <w:sz w:val="24"/>
          <w:szCs w:val="24"/>
        </w:rPr>
        <w:t xml:space="preserve">, </w:t>
      </w:r>
      <w:r>
        <w:rPr>
          <w:rFonts w:ascii="Times New Roman" w:hAnsi="Times New Roman" w:cs="Times New Roman"/>
          <w:i/>
          <w:iCs/>
          <w:sz w:val="24"/>
          <w:szCs w:val="24"/>
        </w:rPr>
        <w:t>35</w:t>
      </w:r>
      <w:r>
        <w:rPr>
          <w:rFonts w:ascii="Times New Roman" w:hAnsi="Times New Roman" w:cs="Times New Roman"/>
          <w:sz w:val="24"/>
          <w:szCs w:val="24"/>
        </w:rPr>
        <w:t>(4), RC2–RC7.</w:t>
      </w:r>
    </w:p>
    <w:p w14:paraId="086D6F69"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Bollen, K., &amp; Lennox, R. (1991). Conventional wisdom on measurement: A structural equation perspective. </w:t>
      </w:r>
      <w:r>
        <w:rPr>
          <w:rFonts w:ascii="Times New Roman" w:hAnsi="Times New Roman" w:cs="Times New Roman"/>
          <w:i/>
          <w:iCs/>
          <w:sz w:val="24"/>
          <w:szCs w:val="24"/>
        </w:rPr>
        <w:t>Psychological Bulletin</w:t>
      </w:r>
      <w:r>
        <w:rPr>
          <w:rFonts w:ascii="Times New Roman" w:hAnsi="Times New Roman" w:cs="Times New Roman"/>
          <w:sz w:val="24"/>
          <w:szCs w:val="24"/>
        </w:rPr>
        <w:t xml:space="preserve">, </w:t>
      </w:r>
      <w:r>
        <w:rPr>
          <w:rFonts w:ascii="Times New Roman" w:hAnsi="Times New Roman" w:cs="Times New Roman"/>
          <w:i/>
          <w:iCs/>
          <w:sz w:val="24"/>
          <w:szCs w:val="24"/>
        </w:rPr>
        <w:t>110</w:t>
      </w:r>
      <w:r>
        <w:rPr>
          <w:rFonts w:ascii="Times New Roman" w:hAnsi="Times New Roman" w:cs="Times New Roman"/>
          <w:sz w:val="24"/>
          <w:szCs w:val="24"/>
        </w:rPr>
        <w:t xml:space="preserve">(2), 305–314. </w:t>
      </w:r>
      <w:hyperlink r:id="rId21" w:history="1">
        <w:r>
          <w:rPr>
            <w:rStyle w:val="af"/>
            <w:rFonts w:ascii="Times New Roman" w:hAnsi="Times New Roman" w:cs="Times New Roman"/>
            <w:color w:val="auto"/>
            <w:sz w:val="24"/>
            <w:szCs w:val="24"/>
          </w:rPr>
          <w:t>https://doi.org/10.1037//0033-2909.110.2.305</w:t>
        </w:r>
      </w:hyperlink>
    </w:p>
    <w:p w14:paraId="6957B3B5"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Boyle, D. (2003). </w:t>
      </w:r>
      <w:r>
        <w:rPr>
          <w:rFonts w:ascii="Times New Roman" w:hAnsi="Times New Roman" w:cs="Times New Roman"/>
          <w:i/>
          <w:iCs/>
          <w:sz w:val="24"/>
          <w:szCs w:val="24"/>
        </w:rPr>
        <w:t>Authenticity: Brands, fakes, spin and the lust for real life</w:t>
      </w:r>
      <w:r>
        <w:rPr>
          <w:rFonts w:ascii="Times New Roman" w:hAnsi="Times New Roman" w:cs="Times New Roman"/>
          <w:sz w:val="24"/>
          <w:szCs w:val="24"/>
        </w:rPr>
        <w:t xml:space="preserve">. Fourth Estate. </w:t>
      </w:r>
    </w:p>
    <w:p w14:paraId="6496192B"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Bryson, D., Atwal, G., &amp; Hultén, P. (2013). Towards the conceptualization of the antecedents of extreme negative affect towards luxury brands. </w:t>
      </w:r>
      <w:r>
        <w:rPr>
          <w:rFonts w:ascii="Times New Roman" w:hAnsi="Times New Roman" w:cs="Times New Roman"/>
          <w:i/>
          <w:iCs/>
          <w:sz w:val="24"/>
          <w:szCs w:val="24"/>
        </w:rPr>
        <w:t>Qualitative Market Research: An International Journal</w:t>
      </w:r>
      <w:r>
        <w:rPr>
          <w:rFonts w:ascii="Times New Roman" w:hAnsi="Times New Roman" w:cs="Times New Roman"/>
          <w:sz w:val="24"/>
          <w:szCs w:val="24"/>
        </w:rPr>
        <w:t xml:space="preserve">, </w:t>
      </w:r>
      <w:r>
        <w:rPr>
          <w:rFonts w:ascii="Times New Roman" w:hAnsi="Times New Roman" w:cs="Times New Roman"/>
          <w:i/>
          <w:iCs/>
          <w:sz w:val="24"/>
          <w:szCs w:val="24"/>
        </w:rPr>
        <w:t>16</w:t>
      </w:r>
      <w:r>
        <w:rPr>
          <w:rFonts w:ascii="Times New Roman" w:hAnsi="Times New Roman" w:cs="Times New Roman"/>
          <w:sz w:val="24"/>
          <w:szCs w:val="24"/>
        </w:rPr>
        <w:t xml:space="preserve">(4), 393–405. </w:t>
      </w:r>
      <w:hyperlink r:id="rId22" w:history="1">
        <w:r>
          <w:rPr>
            <w:rStyle w:val="af"/>
            <w:rFonts w:ascii="Times New Roman" w:hAnsi="Times New Roman" w:cs="Times New Roman"/>
            <w:color w:val="auto"/>
            <w:sz w:val="24"/>
            <w:szCs w:val="24"/>
          </w:rPr>
          <w:t>https://doi.org/10.1108/qmr-06-2013-0043</w:t>
        </w:r>
      </w:hyperlink>
    </w:p>
    <w:p w14:paraId="6D506E78"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Carroll, B. A., &amp; Ahuvia, A. C. (2006). Some antecedents and outcomes of brand love. </w:t>
      </w:r>
      <w:r>
        <w:rPr>
          <w:rFonts w:ascii="Times New Roman" w:hAnsi="Times New Roman" w:cs="Times New Roman"/>
          <w:i/>
          <w:iCs/>
          <w:sz w:val="24"/>
          <w:szCs w:val="24"/>
        </w:rPr>
        <w:t>Marketing Letters</w:t>
      </w:r>
      <w:r>
        <w:rPr>
          <w:rFonts w:ascii="Times New Roman" w:hAnsi="Times New Roman" w:cs="Times New Roman"/>
          <w:sz w:val="24"/>
          <w:szCs w:val="24"/>
        </w:rPr>
        <w:t xml:space="preserve">, </w:t>
      </w:r>
      <w:r>
        <w:rPr>
          <w:rFonts w:ascii="Times New Roman" w:hAnsi="Times New Roman" w:cs="Times New Roman"/>
          <w:i/>
          <w:iCs/>
          <w:sz w:val="24"/>
          <w:szCs w:val="24"/>
        </w:rPr>
        <w:t>17</w:t>
      </w:r>
      <w:r>
        <w:rPr>
          <w:rFonts w:ascii="Times New Roman" w:hAnsi="Times New Roman" w:cs="Times New Roman"/>
          <w:sz w:val="24"/>
          <w:szCs w:val="24"/>
        </w:rPr>
        <w:t xml:space="preserve">(2), 79–89. </w:t>
      </w:r>
      <w:hyperlink r:id="rId23" w:history="1">
        <w:r>
          <w:rPr>
            <w:rStyle w:val="af"/>
            <w:rFonts w:ascii="Times New Roman" w:hAnsi="Times New Roman" w:cs="Times New Roman"/>
            <w:color w:val="auto"/>
            <w:sz w:val="24"/>
            <w:szCs w:val="24"/>
          </w:rPr>
          <w:t>https://doi.org/10.1007/s11002-006-4219-2</w:t>
        </w:r>
      </w:hyperlink>
    </w:p>
    <w:p w14:paraId="41AAE85B" w14:textId="77777777" w:rsidR="004F5D9D" w:rsidRPr="005F1B2C" w:rsidRDefault="00822E2C" w:rsidP="0050632A">
      <w:pPr>
        <w:widowControl w:val="0"/>
        <w:autoSpaceDE w:val="0"/>
        <w:autoSpaceDN w:val="0"/>
        <w:adjustRightInd w:val="0"/>
        <w:spacing w:after="0" w:line="360" w:lineRule="exact"/>
        <w:ind w:left="440" w:hangingChars="200" w:hanging="440"/>
        <w:rPr>
          <w:rFonts w:ascii="Times New Roman" w:hAnsi="Times New Roman" w:cs="Times New Roman"/>
          <w:sz w:val="24"/>
          <w:szCs w:val="24"/>
        </w:rPr>
      </w:pPr>
      <w:hyperlink r:id="rId24" w:history="1"/>
      <w:r w:rsidR="007401F3">
        <w:rPr>
          <w:rFonts w:ascii="Times New Roman" w:hAnsi="Times New Roman" w:cs="Times New Roman"/>
          <w:sz w:val="24"/>
          <w:szCs w:val="24"/>
        </w:rPr>
        <w:t>Chandel, A. S., &amp; Mishra, P. (2022). A study on exploring the determinants of country-of-origin effect‐based brand avoidance.</w:t>
      </w:r>
      <w:r w:rsidR="007401F3">
        <w:rPr>
          <w:rFonts w:ascii="Times New Roman" w:hAnsi="Times New Roman" w:cs="Times New Roman"/>
          <w:i/>
          <w:iCs/>
          <w:sz w:val="24"/>
          <w:szCs w:val="24"/>
        </w:rPr>
        <w:t xml:space="preserve"> International Journal of Sustainable Society, 14</w:t>
      </w:r>
      <w:r w:rsidR="007401F3">
        <w:rPr>
          <w:rFonts w:ascii="Times New Roman" w:hAnsi="Times New Roman" w:cs="Times New Roman"/>
          <w:sz w:val="24"/>
          <w:szCs w:val="24"/>
        </w:rPr>
        <w:t xml:space="preserve">(4), 335–347. </w:t>
      </w:r>
      <w:r w:rsidR="007401F3" w:rsidRPr="005D5C32">
        <w:rPr>
          <w:rStyle w:val="af"/>
          <w:rFonts w:ascii="Times New Roman" w:hAnsi="Times New Roman" w:cs="Times New Roman"/>
          <w:color w:val="auto"/>
          <w:sz w:val="24"/>
          <w:szCs w:val="24"/>
        </w:rPr>
        <w:t>https://doi.org/10.1504/IJSSOC.2022.127984</w:t>
      </w:r>
    </w:p>
    <w:p w14:paraId="54A0C126"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Chitty, B., Chitty, W., Luck, E., Barker, N., Sassenberg, A., Shimp, T. A., &amp; Andrews, J. C. (2017). </w:t>
      </w:r>
      <w:r>
        <w:rPr>
          <w:rFonts w:ascii="Times New Roman" w:hAnsi="Times New Roman" w:cs="Times New Roman"/>
          <w:i/>
          <w:iCs/>
          <w:sz w:val="24"/>
          <w:szCs w:val="24"/>
        </w:rPr>
        <w:t>Integrated marketing communications with online study tools for 12 months</w:t>
      </w:r>
      <w:r>
        <w:rPr>
          <w:rFonts w:ascii="Times New Roman" w:hAnsi="Times New Roman" w:cs="Times New Roman"/>
          <w:sz w:val="24"/>
          <w:szCs w:val="24"/>
        </w:rPr>
        <w:t xml:space="preserve">. Cengage AU. </w:t>
      </w:r>
    </w:p>
    <w:p w14:paraId="361EC3B2"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Churchill, G. A.</w:t>
      </w:r>
      <w:r w:rsidR="003239FC">
        <w:rPr>
          <w:rFonts w:ascii="Times New Roman" w:hAnsi="Times New Roman" w:cs="Times New Roman"/>
          <w:sz w:val="24"/>
          <w:szCs w:val="24"/>
        </w:rPr>
        <w:t>,</w:t>
      </w:r>
      <w:r>
        <w:rPr>
          <w:rFonts w:ascii="Times New Roman" w:hAnsi="Times New Roman" w:cs="Times New Roman"/>
          <w:sz w:val="24"/>
          <w:szCs w:val="24"/>
        </w:rPr>
        <w:t xml:space="preserve"> Jr</w:t>
      </w:r>
      <w:r>
        <w:rPr>
          <w:rFonts w:ascii="Times New Roman" w:hAnsi="Times New Roman" w:cs="Times New Roman" w:hint="eastAsia"/>
          <w:sz w:val="24"/>
          <w:szCs w:val="24"/>
          <w:lang w:eastAsia="zh-TW"/>
        </w:rPr>
        <w:t xml:space="preserve">. </w:t>
      </w:r>
      <w:r>
        <w:rPr>
          <w:rFonts w:ascii="Times New Roman" w:hAnsi="Times New Roman" w:cs="Times New Roman"/>
          <w:sz w:val="24"/>
          <w:szCs w:val="24"/>
        </w:rPr>
        <w:t>(1979). A</w:t>
      </w:r>
      <w:r w:rsidR="00481459">
        <w:rPr>
          <w:rFonts w:ascii="Times New Roman" w:hAnsi="Times New Roman" w:cs="Times New Roman"/>
          <w:sz w:val="24"/>
          <w:szCs w:val="24"/>
        </w:rPr>
        <w:t xml:space="preserve"> paradigm for developing better measures of marketing constructs</w:t>
      </w:r>
      <w:r>
        <w:rPr>
          <w:rFonts w:ascii="Times New Roman" w:hAnsi="Times New Roman" w:cs="Times New Roman"/>
          <w:sz w:val="24"/>
          <w:szCs w:val="24"/>
        </w:rPr>
        <w:t xml:space="preserve">. </w:t>
      </w:r>
      <w:r>
        <w:rPr>
          <w:rFonts w:ascii="Times New Roman" w:hAnsi="Times New Roman" w:cs="Times New Roman"/>
          <w:i/>
          <w:iCs/>
          <w:sz w:val="24"/>
          <w:szCs w:val="24"/>
        </w:rPr>
        <w:t>Journal of Marketing Research (JMR), 16</w:t>
      </w:r>
      <w:r>
        <w:rPr>
          <w:rFonts w:ascii="Times New Roman" w:hAnsi="Times New Roman" w:cs="Times New Roman"/>
          <w:sz w:val="24"/>
          <w:szCs w:val="24"/>
        </w:rPr>
        <w:t xml:space="preserve">(1), 64–73. https://doi.org/10.2307/3150876 </w:t>
      </w:r>
    </w:p>
    <w:p w14:paraId="554644ED" w14:textId="61417E65"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Dall'Olmo Riley, F., &amp; De Chernatony, L. (2000). The service brand as a relationship builder. </w:t>
      </w:r>
      <w:r>
        <w:rPr>
          <w:rFonts w:ascii="Times New Roman" w:hAnsi="Times New Roman" w:cs="Times New Roman"/>
          <w:i/>
          <w:iCs/>
          <w:sz w:val="24"/>
          <w:szCs w:val="24"/>
        </w:rPr>
        <w:t>British Journal of Management</w:t>
      </w:r>
      <w:r>
        <w:rPr>
          <w:rFonts w:ascii="Times New Roman" w:hAnsi="Times New Roman" w:cs="Times New Roman"/>
          <w:sz w:val="24"/>
          <w:szCs w:val="24"/>
        </w:rPr>
        <w:t xml:space="preserve">, </w:t>
      </w:r>
      <w:r>
        <w:rPr>
          <w:rFonts w:ascii="Times New Roman" w:hAnsi="Times New Roman" w:cs="Times New Roman"/>
          <w:i/>
          <w:iCs/>
          <w:sz w:val="24"/>
          <w:szCs w:val="24"/>
        </w:rPr>
        <w:t>11</w:t>
      </w:r>
      <w:r>
        <w:rPr>
          <w:rFonts w:ascii="Times New Roman" w:hAnsi="Times New Roman" w:cs="Times New Roman"/>
          <w:sz w:val="24"/>
          <w:szCs w:val="24"/>
        </w:rPr>
        <w:t>(2), 137–150.</w:t>
      </w:r>
      <w:r w:rsidR="00B6799E">
        <w:rPr>
          <w:rFonts w:ascii="Times New Roman" w:hAnsi="Times New Roman" w:cs="Times New Roman"/>
          <w:sz w:val="24"/>
          <w:szCs w:val="24"/>
        </w:rPr>
        <w:t xml:space="preserve"> </w:t>
      </w:r>
      <w:hyperlink r:id="rId25" w:history="1">
        <w:r w:rsidR="00B6799E" w:rsidRPr="00B6799E">
          <w:rPr>
            <w:rStyle w:val="af"/>
            <w:rFonts w:ascii="Times New Roman" w:hAnsi="Times New Roman" w:cs="Times New Roman"/>
            <w:sz w:val="24"/>
            <w:szCs w:val="24"/>
          </w:rPr>
          <w:t>https://doi.org/10.1111/1467-8551.t01-1-00156</w:t>
        </w:r>
      </w:hyperlink>
      <w:r w:rsidR="00B6799E" w:rsidRPr="00B6799E">
        <w:rPr>
          <w:rFonts w:ascii="Times New Roman" w:hAnsi="Times New Roman" w:cs="Times New Roman"/>
          <w:sz w:val="24"/>
          <w:szCs w:val="24"/>
        </w:rPr>
        <w:t xml:space="preserve"> </w:t>
      </w:r>
    </w:p>
    <w:p w14:paraId="03CF19F5"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Demirbag-Kaplan, M., Yildirim, C., Gulden, S., &amp; Aktan, D. (2015). I love to hate you: Loyalty for disliked brands and the role of nostalgia. </w:t>
      </w:r>
      <w:r>
        <w:rPr>
          <w:rFonts w:ascii="Times New Roman" w:hAnsi="Times New Roman" w:cs="Times New Roman"/>
          <w:i/>
          <w:iCs/>
          <w:sz w:val="24"/>
          <w:szCs w:val="24"/>
        </w:rPr>
        <w:t>Journal of Brand Management</w:t>
      </w:r>
      <w:r>
        <w:rPr>
          <w:rFonts w:ascii="Times New Roman" w:hAnsi="Times New Roman" w:cs="Times New Roman"/>
          <w:sz w:val="24"/>
          <w:szCs w:val="24"/>
        </w:rPr>
        <w:t xml:space="preserve">, </w:t>
      </w:r>
      <w:r>
        <w:rPr>
          <w:rFonts w:ascii="Times New Roman" w:hAnsi="Times New Roman" w:cs="Times New Roman"/>
          <w:i/>
          <w:iCs/>
          <w:sz w:val="24"/>
          <w:szCs w:val="24"/>
        </w:rPr>
        <w:t>22</w:t>
      </w:r>
      <w:r>
        <w:rPr>
          <w:rFonts w:ascii="Times New Roman" w:hAnsi="Times New Roman" w:cs="Times New Roman"/>
          <w:sz w:val="24"/>
          <w:szCs w:val="24"/>
        </w:rPr>
        <w:t xml:space="preserve">(2), 136–153. </w:t>
      </w:r>
      <w:hyperlink r:id="rId26" w:history="1">
        <w:r>
          <w:rPr>
            <w:rStyle w:val="af"/>
            <w:rFonts w:ascii="Times New Roman" w:hAnsi="Times New Roman" w:cs="Times New Roman"/>
            <w:color w:val="auto"/>
            <w:sz w:val="24"/>
            <w:szCs w:val="24"/>
          </w:rPr>
          <w:t>https://doi.org/10.1057/bm.2015.10</w:t>
        </w:r>
      </w:hyperlink>
    </w:p>
    <w:p w14:paraId="3B238806"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DeVellis, R.</w:t>
      </w:r>
      <w:r>
        <w:rPr>
          <w:rFonts w:ascii="Times New Roman" w:hAnsi="Times New Roman" w:cs="Times New Roman" w:hint="eastAsia"/>
          <w:sz w:val="24"/>
          <w:szCs w:val="24"/>
          <w:lang w:eastAsia="zh-TW"/>
        </w:rPr>
        <w:t xml:space="preserve"> </w:t>
      </w:r>
      <w:r>
        <w:rPr>
          <w:rFonts w:ascii="Times New Roman" w:hAnsi="Times New Roman" w:cs="Times New Roman"/>
          <w:sz w:val="24"/>
          <w:szCs w:val="24"/>
        </w:rPr>
        <w:t xml:space="preserve">F. (1991). </w:t>
      </w:r>
      <w:r w:rsidRPr="00C11E86">
        <w:rPr>
          <w:rFonts w:ascii="Times New Roman" w:hAnsi="Times New Roman" w:cs="Times New Roman"/>
          <w:i/>
          <w:iCs/>
          <w:sz w:val="24"/>
          <w:szCs w:val="24"/>
        </w:rPr>
        <w:t xml:space="preserve">Scale </w:t>
      </w:r>
      <w:r w:rsidR="00481459" w:rsidRPr="00C11E86">
        <w:rPr>
          <w:rFonts w:ascii="Times New Roman" w:hAnsi="Times New Roman" w:cs="Times New Roman"/>
          <w:i/>
          <w:iCs/>
          <w:sz w:val="24"/>
          <w:szCs w:val="24"/>
        </w:rPr>
        <w:t>development: theory and applications</w:t>
      </w:r>
      <w:r w:rsidR="00481459">
        <w:rPr>
          <w:rFonts w:ascii="Times New Roman" w:hAnsi="Times New Roman" w:cs="Times New Roman"/>
          <w:sz w:val="24"/>
          <w:szCs w:val="24"/>
        </w:rPr>
        <w:t>.</w:t>
      </w:r>
      <w:r>
        <w:rPr>
          <w:rFonts w:ascii="Times New Roman" w:hAnsi="Times New Roman" w:cs="Times New Roman"/>
          <w:sz w:val="24"/>
          <w:szCs w:val="24"/>
        </w:rPr>
        <w:t xml:space="preserve"> Sage, Newbury Park, CA.</w:t>
      </w:r>
    </w:p>
    <w:p w14:paraId="18F19AFD" w14:textId="77777777" w:rsidR="004F5D9D" w:rsidRPr="005F1B2C" w:rsidRDefault="00822E2C" w:rsidP="0050632A">
      <w:pPr>
        <w:widowControl w:val="0"/>
        <w:autoSpaceDE w:val="0"/>
        <w:autoSpaceDN w:val="0"/>
        <w:adjustRightInd w:val="0"/>
        <w:spacing w:after="0" w:line="360" w:lineRule="exact"/>
        <w:ind w:left="440" w:hangingChars="200" w:hanging="440"/>
        <w:rPr>
          <w:rFonts w:ascii="Times New Roman" w:hAnsi="Times New Roman" w:cs="Times New Roman"/>
          <w:sz w:val="24"/>
          <w:szCs w:val="24"/>
        </w:rPr>
      </w:pPr>
      <w:hyperlink r:id="rId27" w:history="1"/>
      <w:r w:rsidR="007401F3">
        <w:rPr>
          <w:rFonts w:ascii="Times New Roman" w:hAnsi="Times New Roman" w:cs="Times New Roman"/>
          <w:sz w:val="24"/>
          <w:szCs w:val="24"/>
        </w:rPr>
        <w:t xml:space="preserve">Diamantopoulos, A., Riefler, P., &amp; Roth, K. P. (2008). Advancing formative measurement models. </w:t>
      </w:r>
      <w:r w:rsidR="007401F3">
        <w:rPr>
          <w:rFonts w:ascii="Times New Roman" w:hAnsi="Times New Roman" w:cs="Times New Roman"/>
          <w:i/>
          <w:iCs/>
          <w:sz w:val="24"/>
          <w:szCs w:val="24"/>
        </w:rPr>
        <w:t>Journal of Business Research</w:t>
      </w:r>
      <w:r w:rsidR="007401F3">
        <w:rPr>
          <w:rFonts w:ascii="Times New Roman" w:hAnsi="Times New Roman" w:cs="Times New Roman"/>
          <w:sz w:val="24"/>
          <w:szCs w:val="24"/>
        </w:rPr>
        <w:t xml:space="preserve">, </w:t>
      </w:r>
      <w:r w:rsidR="007401F3">
        <w:rPr>
          <w:rFonts w:ascii="Times New Roman" w:hAnsi="Times New Roman" w:cs="Times New Roman"/>
          <w:i/>
          <w:iCs/>
          <w:sz w:val="24"/>
          <w:szCs w:val="24"/>
        </w:rPr>
        <w:t>61</w:t>
      </w:r>
      <w:r w:rsidR="007401F3">
        <w:rPr>
          <w:rFonts w:ascii="Times New Roman" w:hAnsi="Times New Roman" w:cs="Times New Roman"/>
          <w:sz w:val="24"/>
          <w:szCs w:val="24"/>
        </w:rPr>
        <w:t xml:space="preserve">(12), 1203–1218. </w:t>
      </w:r>
      <w:hyperlink r:id="rId28" w:history="1">
        <w:r w:rsidR="007401F3">
          <w:rPr>
            <w:rStyle w:val="af"/>
            <w:rFonts w:ascii="Times New Roman" w:hAnsi="Times New Roman" w:cs="Times New Roman"/>
            <w:color w:val="auto"/>
            <w:sz w:val="24"/>
            <w:szCs w:val="24"/>
          </w:rPr>
          <w:t>https://doi.org/10.1016/j.jbusres.2008.01.009</w:t>
        </w:r>
      </w:hyperlink>
    </w:p>
    <w:p w14:paraId="2B6E6D9B" w14:textId="77777777" w:rsidR="00421011" w:rsidRPr="005F1B2C" w:rsidRDefault="00421011" w:rsidP="00421011">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Diamantopoulos, A., &amp; Siguaw, J. A. (2006). Formative versus reflective indicators in organisational measure development: A comparison and empirical illustration. </w:t>
      </w:r>
      <w:r>
        <w:rPr>
          <w:rFonts w:ascii="Times New Roman" w:hAnsi="Times New Roman" w:cs="Times New Roman"/>
          <w:i/>
          <w:iCs/>
          <w:sz w:val="24"/>
          <w:szCs w:val="24"/>
        </w:rPr>
        <w:t>British Journal of Management</w:t>
      </w:r>
      <w:r>
        <w:rPr>
          <w:rFonts w:ascii="Times New Roman" w:hAnsi="Times New Roman" w:cs="Times New Roman"/>
          <w:sz w:val="24"/>
          <w:szCs w:val="24"/>
        </w:rPr>
        <w:t xml:space="preserve">, </w:t>
      </w:r>
      <w:r>
        <w:rPr>
          <w:rFonts w:ascii="Times New Roman" w:hAnsi="Times New Roman" w:cs="Times New Roman"/>
          <w:i/>
          <w:iCs/>
          <w:sz w:val="24"/>
          <w:szCs w:val="24"/>
        </w:rPr>
        <w:t>17</w:t>
      </w:r>
      <w:r>
        <w:rPr>
          <w:rFonts w:ascii="Times New Roman" w:hAnsi="Times New Roman" w:cs="Times New Roman"/>
          <w:sz w:val="24"/>
          <w:szCs w:val="24"/>
        </w:rPr>
        <w:t xml:space="preserve">(4), 263–282. </w:t>
      </w:r>
      <w:hyperlink r:id="rId29" w:history="1">
        <w:r>
          <w:rPr>
            <w:rStyle w:val="af"/>
            <w:rFonts w:ascii="Times New Roman" w:hAnsi="Times New Roman" w:cs="Times New Roman"/>
            <w:color w:val="auto"/>
            <w:sz w:val="24"/>
            <w:szCs w:val="24"/>
          </w:rPr>
          <w:t>https://doi.org/10.1111/j.1467-8551.2006.00500.x</w:t>
        </w:r>
      </w:hyperlink>
    </w:p>
    <w:p w14:paraId="07D3881F" w14:textId="5108B244"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Dyson, P., Farr, A., &amp; Hollis, N. S. (1996). Understanding, measuring, and using brand equity. </w:t>
      </w:r>
      <w:r w:rsidRPr="00C11E86">
        <w:rPr>
          <w:rFonts w:ascii="Times New Roman" w:hAnsi="Times New Roman" w:cs="Times New Roman"/>
          <w:i/>
          <w:iCs/>
          <w:sz w:val="24"/>
          <w:szCs w:val="24"/>
        </w:rPr>
        <w:t>Journal of Advertising Research, 36</w:t>
      </w:r>
      <w:r>
        <w:rPr>
          <w:rFonts w:ascii="Times New Roman" w:hAnsi="Times New Roman" w:cs="Times New Roman"/>
          <w:sz w:val="24"/>
          <w:szCs w:val="24"/>
        </w:rPr>
        <w:t>(6), 9–22.</w:t>
      </w:r>
      <w:r w:rsidR="00B6799E">
        <w:rPr>
          <w:rFonts w:ascii="Times New Roman" w:hAnsi="Times New Roman" w:cs="Times New Roman"/>
          <w:sz w:val="24"/>
          <w:szCs w:val="24"/>
        </w:rPr>
        <w:t xml:space="preserve"> </w:t>
      </w:r>
      <w:r w:rsidR="00B6799E" w:rsidRPr="00B6799E">
        <w:rPr>
          <w:rFonts w:ascii="Times New Roman" w:hAnsi="Times New Roman" w:cs="Times New Roman"/>
          <w:sz w:val="24"/>
          <w:szCs w:val="24"/>
        </w:rPr>
        <w:t xml:space="preserve"> </w:t>
      </w:r>
      <w:hyperlink r:id="rId30" w:history="1">
        <w:r w:rsidR="00B6799E" w:rsidRPr="00B6799E">
          <w:rPr>
            <w:rStyle w:val="af"/>
            <w:rFonts w:ascii="Times New Roman" w:hAnsi="Times New Roman" w:cs="Times New Roman"/>
            <w:sz w:val="24"/>
            <w:szCs w:val="24"/>
          </w:rPr>
          <w:t>https://doi.org/10.1080/00218499.1996.12466633</w:t>
        </w:r>
      </w:hyperlink>
      <w:r w:rsidR="00B6799E" w:rsidRPr="00B6799E">
        <w:rPr>
          <w:rFonts w:ascii="Times New Roman" w:hAnsi="Times New Roman" w:cs="Times New Roman"/>
          <w:sz w:val="24"/>
          <w:szCs w:val="24"/>
        </w:rPr>
        <w:t xml:space="preserve"> </w:t>
      </w:r>
    </w:p>
    <w:p w14:paraId="5919C72E"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Edwards, J. R., &amp; Bagozzi, R. P. (2000). On the nature and direction of relationships between constructs and measures. </w:t>
      </w:r>
      <w:r>
        <w:rPr>
          <w:rFonts w:ascii="Times New Roman" w:hAnsi="Times New Roman" w:cs="Times New Roman"/>
          <w:i/>
          <w:iCs/>
          <w:sz w:val="24"/>
          <w:szCs w:val="24"/>
        </w:rPr>
        <w:t>Psychological Methods</w:t>
      </w:r>
      <w:r>
        <w:rPr>
          <w:rFonts w:ascii="Times New Roman" w:hAnsi="Times New Roman" w:cs="Times New Roman"/>
          <w:sz w:val="24"/>
          <w:szCs w:val="24"/>
        </w:rPr>
        <w:t xml:space="preserve">, </w:t>
      </w:r>
      <w:r>
        <w:rPr>
          <w:rFonts w:ascii="Times New Roman" w:hAnsi="Times New Roman" w:cs="Times New Roman"/>
          <w:i/>
          <w:iCs/>
          <w:sz w:val="24"/>
          <w:szCs w:val="24"/>
        </w:rPr>
        <w:t>5</w:t>
      </w:r>
      <w:r>
        <w:rPr>
          <w:rFonts w:ascii="Times New Roman" w:hAnsi="Times New Roman" w:cs="Times New Roman"/>
          <w:sz w:val="24"/>
          <w:szCs w:val="24"/>
        </w:rPr>
        <w:t xml:space="preserve">(2), 155–174. </w:t>
      </w:r>
      <w:hyperlink r:id="rId31" w:history="1">
        <w:r>
          <w:rPr>
            <w:rStyle w:val="af"/>
            <w:rFonts w:ascii="Times New Roman" w:hAnsi="Times New Roman" w:cs="Times New Roman"/>
            <w:color w:val="auto"/>
            <w:sz w:val="24"/>
            <w:szCs w:val="24"/>
          </w:rPr>
          <w:t>https://doi.org/10.1037//1082-989x.5.2.155</w:t>
        </w:r>
      </w:hyperlink>
    </w:p>
    <w:p w14:paraId="4CFB1936" w14:textId="77777777" w:rsidR="00F80333" w:rsidRPr="005D5C32" w:rsidRDefault="00534E43">
      <w:pPr>
        <w:widowControl w:val="0"/>
        <w:autoSpaceDE w:val="0"/>
        <w:autoSpaceDN w:val="0"/>
        <w:adjustRightInd w:val="0"/>
        <w:spacing w:after="0" w:line="360" w:lineRule="exact"/>
        <w:ind w:left="480" w:hangingChars="200" w:hanging="480"/>
        <w:rPr>
          <w:rStyle w:val="af"/>
          <w:rFonts w:ascii="Times New Roman" w:hAnsi="Times New Roman" w:cs="Times New Roman"/>
          <w:color w:val="auto"/>
          <w:sz w:val="24"/>
          <w:szCs w:val="24"/>
        </w:rPr>
      </w:pPr>
      <w:r>
        <w:rPr>
          <w:rFonts w:ascii="Times New Roman" w:hAnsi="Times New Roman" w:cs="Times New Roman"/>
          <w:sz w:val="24"/>
          <w:szCs w:val="24"/>
        </w:rPr>
        <w:t xml:space="preserve">Efendi, P. A. R., &amp; Alfansi, L. (2025). Why do they avoid it? Factors behind brand avoidance related to the Boycott, Divestment, and Sanctions (BDS) movement. </w:t>
      </w:r>
      <w:r>
        <w:rPr>
          <w:rFonts w:ascii="Times New Roman" w:hAnsi="Times New Roman" w:cs="Times New Roman"/>
          <w:i/>
          <w:iCs/>
          <w:sz w:val="24"/>
          <w:szCs w:val="24"/>
        </w:rPr>
        <w:t>Journal of Islamic Economics Lariba</w:t>
      </w:r>
      <w:r>
        <w:rPr>
          <w:rFonts w:ascii="Times New Roman" w:hAnsi="Times New Roman" w:cs="Times New Roman"/>
          <w:sz w:val="24"/>
          <w:szCs w:val="24"/>
        </w:rPr>
        <w:t xml:space="preserve">, </w:t>
      </w:r>
      <w:r>
        <w:rPr>
          <w:rFonts w:ascii="Times New Roman" w:hAnsi="Times New Roman" w:cs="Times New Roman"/>
          <w:i/>
          <w:iCs/>
          <w:sz w:val="24"/>
          <w:szCs w:val="24"/>
        </w:rPr>
        <w:t>11</w:t>
      </w:r>
      <w:r>
        <w:rPr>
          <w:rFonts w:ascii="Times New Roman" w:hAnsi="Times New Roman" w:cs="Times New Roman"/>
          <w:sz w:val="24"/>
          <w:szCs w:val="24"/>
        </w:rPr>
        <w:t xml:space="preserve">(2), 791–814. </w:t>
      </w:r>
      <w:r w:rsidRPr="005D5C32">
        <w:rPr>
          <w:rStyle w:val="af"/>
          <w:rFonts w:ascii="Times New Roman" w:hAnsi="Times New Roman" w:cs="Times New Roman"/>
          <w:color w:val="auto"/>
          <w:sz w:val="24"/>
          <w:szCs w:val="24"/>
        </w:rPr>
        <w:t>https://doi.org/10.20885/jielariba.vol11.iss2.art6</w:t>
      </w:r>
    </w:p>
    <w:p w14:paraId="5802FCDD"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Elliot, A. J. (1999). Approach and avoidance motivation and achievement goals. </w:t>
      </w:r>
      <w:r>
        <w:rPr>
          <w:rFonts w:ascii="Times New Roman" w:hAnsi="Times New Roman" w:cs="Times New Roman"/>
          <w:i/>
          <w:iCs/>
          <w:sz w:val="24"/>
          <w:szCs w:val="24"/>
        </w:rPr>
        <w:t>Educational Psychologist</w:t>
      </w:r>
      <w:r>
        <w:rPr>
          <w:rFonts w:ascii="Times New Roman" w:hAnsi="Times New Roman" w:cs="Times New Roman"/>
          <w:sz w:val="24"/>
          <w:szCs w:val="24"/>
        </w:rPr>
        <w:t xml:space="preserve">, </w:t>
      </w:r>
      <w:r>
        <w:rPr>
          <w:rFonts w:ascii="Times New Roman" w:hAnsi="Times New Roman" w:cs="Times New Roman"/>
          <w:i/>
          <w:iCs/>
          <w:sz w:val="24"/>
          <w:szCs w:val="24"/>
        </w:rPr>
        <w:t>34</w:t>
      </w:r>
      <w:r>
        <w:rPr>
          <w:rFonts w:ascii="Times New Roman" w:hAnsi="Times New Roman" w:cs="Times New Roman"/>
          <w:sz w:val="24"/>
          <w:szCs w:val="24"/>
        </w:rPr>
        <w:t xml:space="preserve">(3), 169–189. </w:t>
      </w:r>
      <w:hyperlink r:id="rId32" w:history="1">
        <w:r>
          <w:rPr>
            <w:rStyle w:val="af"/>
            <w:rFonts w:ascii="Times New Roman" w:hAnsi="Times New Roman" w:cs="Times New Roman"/>
            <w:color w:val="auto"/>
            <w:sz w:val="24"/>
            <w:szCs w:val="24"/>
          </w:rPr>
          <w:t>https://doi.org/10.1207/s15326985ep3403_3</w:t>
        </w:r>
      </w:hyperlink>
    </w:p>
    <w:p w14:paraId="05AB98BC"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Elsbach, K. D., &amp; Bhattacharya, C. B. (2001). Defining who you are by what you are not: Organisational </w:t>
      </w:r>
      <w:r w:rsidR="00481459">
        <w:rPr>
          <w:rFonts w:ascii="Times New Roman" w:hAnsi="Times New Roman" w:cs="Times New Roman"/>
          <w:sz w:val="24"/>
          <w:szCs w:val="24"/>
        </w:rPr>
        <w:t xml:space="preserve">disidentification and the </w:t>
      </w:r>
      <w:r w:rsidR="006D364E">
        <w:rPr>
          <w:rFonts w:ascii="Times New Roman" w:hAnsi="Times New Roman" w:cs="Times New Roman"/>
          <w:sz w:val="24"/>
          <w:szCs w:val="24"/>
        </w:rPr>
        <w:t>National</w:t>
      </w:r>
      <w:r w:rsidR="003C4C6C">
        <w:rPr>
          <w:rFonts w:ascii="Times New Roman" w:hAnsi="Times New Roman" w:cs="Times New Roman"/>
          <w:sz w:val="24"/>
          <w:szCs w:val="24"/>
        </w:rPr>
        <w:t xml:space="preserve"> Rifle Association</w:t>
      </w:r>
      <w:r>
        <w:rPr>
          <w:rFonts w:ascii="Times New Roman" w:hAnsi="Times New Roman" w:cs="Times New Roman"/>
          <w:sz w:val="24"/>
          <w:szCs w:val="24"/>
        </w:rPr>
        <w:t xml:space="preserve">. </w:t>
      </w:r>
      <w:r>
        <w:rPr>
          <w:rFonts w:ascii="Times New Roman" w:hAnsi="Times New Roman" w:cs="Times New Roman"/>
          <w:i/>
          <w:iCs/>
          <w:sz w:val="24"/>
          <w:szCs w:val="24"/>
        </w:rPr>
        <w:t>Organization Science</w:t>
      </w:r>
      <w:r>
        <w:rPr>
          <w:rFonts w:ascii="Times New Roman" w:hAnsi="Times New Roman" w:cs="Times New Roman"/>
          <w:sz w:val="24"/>
          <w:szCs w:val="24"/>
        </w:rPr>
        <w:t xml:space="preserve">, </w:t>
      </w:r>
      <w:r>
        <w:rPr>
          <w:rFonts w:ascii="Times New Roman" w:hAnsi="Times New Roman" w:cs="Times New Roman"/>
          <w:i/>
          <w:iCs/>
          <w:sz w:val="24"/>
          <w:szCs w:val="24"/>
        </w:rPr>
        <w:t>12</w:t>
      </w:r>
      <w:r>
        <w:rPr>
          <w:rFonts w:ascii="Times New Roman" w:hAnsi="Times New Roman" w:cs="Times New Roman"/>
          <w:sz w:val="24"/>
          <w:szCs w:val="24"/>
        </w:rPr>
        <w:t xml:space="preserve">(4), 393–413. </w:t>
      </w:r>
      <w:hyperlink r:id="rId33" w:history="1">
        <w:r>
          <w:rPr>
            <w:rStyle w:val="af"/>
            <w:rFonts w:ascii="Times New Roman" w:hAnsi="Times New Roman" w:cs="Times New Roman"/>
            <w:color w:val="auto"/>
            <w:sz w:val="24"/>
            <w:szCs w:val="24"/>
          </w:rPr>
          <w:t>https://doi.org/10.1287/orsc.12.4.393.10638</w:t>
        </w:r>
      </w:hyperlink>
    </w:p>
    <w:p w14:paraId="230F0DBC" w14:textId="515A6025"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Englis, B. G., &amp; Solomon, M. R. (1997). </w:t>
      </w:r>
      <w:r w:rsidRPr="00B6799E">
        <w:rPr>
          <w:rFonts w:ascii="Times New Roman" w:hAnsi="Times New Roman" w:cs="Times New Roman"/>
          <w:sz w:val="24"/>
          <w:szCs w:val="24"/>
        </w:rPr>
        <w:t>Where perception meets reality: The social construction of lifestyles</w:t>
      </w:r>
      <w:r>
        <w:rPr>
          <w:rFonts w:ascii="Times New Roman" w:hAnsi="Times New Roman" w:cs="Times New Roman"/>
          <w:sz w:val="24"/>
          <w:szCs w:val="24"/>
        </w:rPr>
        <w:t xml:space="preserve">. </w:t>
      </w:r>
      <w:r w:rsidR="00B6799E">
        <w:rPr>
          <w:rFonts w:ascii="Times New Roman" w:hAnsi="Times New Roman" w:cs="Times New Roman"/>
          <w:sz w:val="24"/>
          <w:szCs w:val="24"/>
        </w:rPr>
        <w:t xml:space="preserve">In </w:t>
      </w:r>
      <w:r w:rsidR="008E0706">
        <w:rPr>
          <w:rFonts w:ascii="Times New Roman" w:hAnsi="Times New Roman" w:cs="Times New Roman"/>
          <w:sz w:val="24"/>
          <w:szCs w:val="24"/>
        </w:rPr>
        <w:t>(1</w:t>
      </w:r>
      <w:r w:rsidR="008E0706">
        <w:rPr>
          <w:rFonts w:ascii="Times New Roman" w:hAnsi="Times New Roman" w:cs="Times New Roman"/>
          <w:sz w:val="24"/>
          <w:szCs w:val="24"/>
          <w:vertAlign w:val="superscript"/>
        </w:rPr>
        <w:t>st</w:t>
      </w:r>
      <w:r w:rsidR="008E0706">
        <w:rPr>
          <w:rFonts w:ascii="Times New Roman" w:hAnsi="Times New Roman" w:cs="Times New Roman"/>
          <w:sz w:val="24"/>
          <w:szCs w:val="24"/>
        </w:rPr>
        <w:t xml:space="preserve"> Ed.), </w:t>
      </w:r>
      <w:r w:rsidRPr="00B6799E">
        <w:rPr>
          <w:rFonts w:ascii="Times New Roman" w:hAnsi="Times New Roman" w:cs="Times New Roman"/>
          <w:i/>
          <w:iCs/>
          <w:sz w:val="24"/>
          <w:szCs w:val="24"/>
        </w:rPr>
        <w:t xml:space="preserve">Values, </w:t>
      </w:r>
      <w:r w:rsidR="008E0706" w:rsidRPr="00B6799E">
        <w:rPr>
          <w:rFonts w:ascii="Times New Roman" w:hAnsi="Times New Roman" w:cs="Times New Roman"/>
          <w:i/>
          <w:iCs/>
          <w:sz w:val="24"/>
          <w:szCs w:val="24"/>
        </w:rPr>
        <w:t>lifestyles and psychographics</w:t>
      </w:r>
      <w:r w:rsidR="008E0706">
        <w:rPr>
          <w:rFonts w:ascii="Times New Roman" w:hAnsi="Times New Roman" w:cs="Times New Roman"/>
          <w:i/>
          <w:iCs/>
          <w:sz w:val="24"/>
          <w:szCs w:val="24"/>
        </w:rPr>
        <w:t xml:space="preserve"> </w:t>
      </w:r>
      <w:r w:rsidR="008E0706" w:rsidRPr="008E0706">
        <w:rPr>
          <w:rFonts w:ascii="Times New Roman" w:hAnsi="Times New Roman" w:cs="Times New Roman"/>
          <w:sz w:val="24"/>
          <w:szCs w:val="24"/>
        </w:rPr>
        <w:t>(pp.</w:t>
      </w:r>
      <w:r w:rsidR="008E0706">
        <w:rPr>
          <w:rFonts w:ascii="Times New Roman" w:hAnsi="Times New Roman" w:cs="Times New Roman"/>
          <w:sz w:val="24"/>
          <w:szCs w:val="24"/>
        </w:rPr>
        <w:t>25-44</w:t>
      </w:r>
      <w:r w:rsidR="008E0706">
        <w:rPr>
          <w:rFonts w:ascii="Times New Roman" w:hAnsi="Times New Roman" w:cs="Times New Roman" w:hint="eastAsia"/>
          <w:sz w:val="24"/>
          <w:szCs w:val="24"/>
          <w:lang w:eastAsia="zh-TW"/>
        </w:rPr>
        <w:t>).</w:t>
      </w:r>
      <w:r>
        <w:rPr>
          <w:rFonts w:ascii="Times New Roman" w:hAnsi="Times New Roman" w:cs="Times New Roman"/>
          <w:sz w:val="24"/>
          <w:szCs w:val="24"/>
        </w:rPr>
        <w:t xml:space="preserve"> </w:t>
      </w:r>
      <w:r w:rsidR="00B6799E" w:rsidRPr="00B6799E">
        <w:rPr>
          <w:rFonts w:ascii="Times New Roman" w:hAnsi="Times New Roman" w:cs="Times New Roman"/>
          <w:sz w:val="24"/>
          <w:szCs w:val="24"/>
        </w:rPr>
        <w:t>Psychology Press.</w:t>
      </w:r>
      <w:r w:rsidR="00B6799E">
        <w:rPr>
          <w:rFonts w:ascii="Times New Roman" w:hAnsi="Times New Roman" w:cs="Times New Roman"/>
          <w:sz w:val="24"/>
          <w:szCs w:val="24"/>
        </w:rPr>
        <w:t xml:space="preserve"> </w:t>
      </w:r>
      <w:hyperlink r:id="rId34" w:history="1">
        <w:r w:rsidR="00B6799E" w:rsidRPr="00B6799E">
          <w:rPr>
            <w:rStyle w:val="af"/>
            <w:rFonts w:ascii="Times New Roman" w:hAnsi="Times New Roman" w:cs="Times New Roman"/>
            <w:sz w:val="24"/>
            <w:szCs w:val="24"/>
          </w:rPr>
          <w:t>https://doi.org/10.4324/9781315806532</w:t>
        </w:r>
      </w:hyperlink>
    </w:p>
    <w:p w14:paraId="138EA9EF" w14:textId="77777777" w:rsidR="004F5D9D" w:rsidRPr="005F1B2C" w:rsidRDefault="00822E2C" w:rsidP="0050632A">
      <w:pPr>
        <w:widowControl w:val="0"/>
        <w:autoSpaceDE w:val="0"/>
        <w:autoSpaceDN w:val="0"/>
        <w:adjustRightInd w:val="0"/>
        <w:spacing w:after="0" w:line="360" w:lineRule="exact"/>
        <w:ind w:left="440" w:hangingChars="200" w:hanging="440"/>
        <w:rPr>
          <w:rFonts w:ascii="Times New Roman" w:hAnsi="Times New Roman" w:cs="Times New Roman"/>
          <w:sz w:val="24"/>
          <w:szCs w:val="24"/>
        </w:rPr>
      </w:pPr>
      <w:hyperlink r:id="rId35" w:history="1"/>
      <w:hyperlink r:id="rId36" w:history="1"/>
      <w:proofErr w:type="spellStart"/>
      <w:r w:rsidR="007401F3">
        <w:rPr>
          <w:rFonts w:ascii="Times New Roman" w:hAnsi="Times New Roman" w:cs="Times New Roman"/>
          <w:sz w:val="24"/>
          <w:szCs w:val="24"/>
        </w:rPr>
        <w:t>Foroudi</w:t>
      </w:r>
      <w:proofErr w:type="spellEnd"/>
      <w:r w:rsidR="007401F3">
        <w:rPr>
          <w:rFonts w:ascii="Times New Roman" w:hAnsi="Times New Roman" w:cs="Times New Roman"/>
          <w:sz w:val="24"/>
          <w:szCs w:val="24"/>
        </w:rPr>
        <w:t xml:space="preserve">, P., Melewar, T., &amp; Gupta, S. (2014). Linking corporate logo, corporate image, and reputation: An examination of consumer perceptions in the financial setting. </w:t>
      </w:r>
      <w:r w:rsidR="007401F3">
        <w:rPr>
          <w:rFonts w:ascii="Times New Roman" w:hAnsi="Times New Roman" w:cs="Times New Roman"/>
          <w:i/>
          <w:iCs/>
          <w:sz w:val="24"/>
          <w:szCs w:val="24"/>
        </w:rPr>
        <w:t>Journal of Business Research</w:t>
      </w:r>
      <w:r w:rsidR="007401F3">
        <w:rPr>
          <w:rFonts w:ascii="Times New Roman" w:hAnsi="Times New Roman" w:cs="Times New Roman"/>
          <w:sz w:val="24"/>
          <w:szCs w:val="24"/>
        </w:rPr>
        <w:t xml:space="preserve">, </w:t>
      </w:r>
      <w:r w:rsidR="007401F3">
        <w:rPr>
          <w:rFonts w:ascii="Times New Roman" w:hAnsi="Times New Roman" w:cs="Times New Roman"/>
          <w:i/>
          <w:iCs/>
          <w:sz w:val="24"/>
          <w:szCs w:val="24"/>
        </w:rPr>
        <w:t>67</w:t>
      </w:r>
      <w:r w:rsidR="007401F3">
        <w:rPr>
          <w:rFonts w:ascii="Times New Roman" w:hAnsi="Times New Roman" w:cs="Times New Roman"/>
          <w:sz w:val="24"/>
          <w:szCs w:val="24"/>
        </w:rPr>
        <w:t xml:space="preserve">(11), 2269–2281. </w:t>
      </w:r>
      <w:hyperlink r:id="rId37" w:history="1">
        <w:r w:rsidR="007401F3">
          <w:rPr>
            <w:rStyle w:val="af"/>
            <w:rFonts w:ascii="Times New Roman" w:hAnsi="Times New Roman" w:cs="Times New Roman"/>
            <w:color w:val="auto"/>
            <w:sz w:val="24"/>
            <w:szCs w:val="24"/>
          </w:rPr>
          <w:t>https://doi.org/10.1016/j.jbusres.2014.06.015</w:t>
        </w:r>
      </w:hyperlink>
    </w:p>
    <w:p w14:paraId="6319F7FC" w14:textId="77777777" w:rsidR="00F80333" w:rsidRDefault="00534E43">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Freud, S. (1915). Instincts and their vicissitudes. In J. Strachey (Ed.), </w:t>
      </w:r>
      <w:r>
        <w:rPr>
          <w:rFonts w:ascii="Times New Roman" w:hAnsi="Times New Roman" w:cs="Times New Roman"/>
          <w:i/>
          <w:iCs/>
          <w:sz w:val="24"/>
          <w:szCs w:val="24"/>
        </w:rPr>
        <w:t>The standard edition of the complete psychological works of Sigmund Freud</w:t>
      </w:r>
      <w:r>
        <w:rPr>
          <w:rFonts w:ascii="Times New Roman" w:hAnsi="Times New Roman" w:cs="Times New Roman"/>
          <w:sz w:val="24"/>
          <w:szCs w:val="24"/>
        </w:rPr>
        <w:t xml:space="preserve"> (Vol. 14, pp. 109–140). Hogarth Press.</w:t>
      </w:r>
    </w:p>
    <w:p w14:paraId="764B674B"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Fromkin, H. L., &amp; Snyder, C. R. (1980). The search for uniqueness and the valuation of scarcity. </w:t>
      </w:r>
      <w:r>
        <w:rPr>
          <w:rFonts w:ascii="Times New Roman" w:hAnsi="Times New Roman" w:cs="Times New Roman"/>
          <w:i/>
          <w:iCs/>
          <w:sz w:val="24"/>
          <w:szCs w:val="24"/>
        </w:rPr>
        <w:t>Social Exchange</w:t>
      </w:r>
      <w:r>
        <w:rPr>
          <w:rFonts w:ascii="Times New Roman" w:hAnsi="Times New Roman" w:cs="Times New Roman"/>
          <w:sz w:val="24"/>
          <w:szCs w:val="24"/>
        </w:rPr>
        <w:t xml:space="preserve">, 57–75. </w:t>
      </w:r>
      <w:hyperlink r:id="rId38" w:history="1">
        <w:r>
          <w:rPr>
            <w:rStyle w:val="af"/>
            <w:rFonts w:ascii="Times New Roman" w:hAnsi="Times New Roman" w:cs="Times New Roman"/>
            <w:color w:val="auto"/>
            <w:sz w:val="24"/>
            <w:szCs w:val="24"/>
          </w:rPr>
          <w:t>https://doi.org/10.1007/978-1-4613-3087-5_3</w:t>
        </w:r>
      </w:hyperlink>
    </w:p>
    <w:p w14:paraId="45C6A5E7"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Fullerton, G. (2005). How commitment both enables and undermines marketing relationships. </w:t>
      </w:r>
      <w:r>
        <w:rPr>
          <w:rFonts w:ascii="Times New Roman" w:hAnsi="Times New Roman" w:cs="Times New Roman"/>
          <w:i/>
          <w:iCs/>
          <w:sz w:val="24"/>
          <w:szCs w:val="24"/>
        </w:rPr>
        <w:t>European Journal of Marketing</w:t>
      </w:r>
      <w:r>
        <w:rPr>
          <w:rFonts w:ascii="Times New Roman" w:hAnsi="Times New Roman" w:cs="Times New Roman"/>
          <w:sz w:val="24"/>
          <w:szCs w:val="24"/>
        </w:rPr>
        <w:t xml:space="preserve">, </w:t>
      </w:r>
      <w:r>
        <w:rPr>
          <w:rFonts w:ascii="Times New Roman" w:hAnsi="Times New Roman" w:cs="Times New Roman"/>
          <w:i/>
          <w:iCs/>
          <w:sz w:val="24"/>
          <w:szCs w:val="24"/>
        </w:rPr>
        <w:t>39</w:t>
      </w:r>
      <w:r>
        <w:rPr>
          <w:rFonts w:ascii="Times New Roman" w:hAnsi="Times New Roman" w:cs="Times New Roman"/>
          <w:sz w:val="24"/>
          <w:szCs w:val="24"/>
        </w:rPr>
        <w:t xml:space="preserve">(11/12), 1372–1388. </w:t>
      </w:r>
      <w:hyperlink r:id="rId39" w:history="1">
        <w:r>
          <w:rPr>
            <w:rStyle w:val="af"/>
            <w:rFonts w:ascii="Times New Roman" w:hAnsi="Times New Roman" w:cs="Times New Roman"/>
            <w:color w:val="auto"/>
            <w:sz w:val="24"/>
            <w:szCs w:val="24"/>
          </w:rPr>
          <w:t>https://doi.org/10.1108/03090560510623307</w:t>
        </w:r>
      </w:hyperlink>
    </w:p>
    <w:p w14:paraId="70D759EB"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Geisser, S. (1974). A predictive approach to the random effect model. </w:t>
      </w:r>
      <w:r>
        <w:rPr>
          <w:rFonts w:ascii="Times New Roman" w:hAnsi="Times New Roman" w:cs="Times New Roman"/>
          <w:i/>
          <w:iCs/>
          <w:sz w:val="24"/>
          <w:szCs w:val="24"/>
        </w:rPr>
        <w:t>Biometrika</w:t>
      </w:r>
      <w:r>
        <w:rPr>
          <w:rFonts w:ascii="Times New Roman" w:hAnsi="Times New Roman" w:cs="Times New Roman"/>
          <w:sz w:val="24"/>
          <w:szCs w:val="24"/>
        </w:rPr>
        <w:t xml:space="preserve">, </w:t>
      </w:r>
      <w:r>
        <w:rPr>
          <w:rFonts w:ascii="Times New Roman" w:hAnsi="Times New Roman" w:cs="Times New Roman"/>
          <w:i/>
          <w:iCs/>
          <w:sz w:val="24"/>
          <w:szCs w:val="24"/>
        </w:rPr>
        <w:t>61</w:t>
      </w:r>
      <w:r>
        <w:rPr>
          <w:rFonts w:ascii="Times New Roman" w:hAnsi="Times New Roman" w:cs="Times New Roman"/>
          <w:sz w:val="24"/>
          <w:szCs w:val="24"/>
        </w:rPr>
        <w:t xml:space="preserve">(1), 101–107. </w:t>
      </w:r>
      <w:hyperlink r:id="rId40" w:history="1">
        <w:r>
          <w:rPr>
            <w:rStyle w:val="af"/>
            <w:rFonts w:ascii="Times New Roman" w:hAnsi="Times New Roman" w:cs="Times New Roman"/>
            <w:color w:val="auto"/>
            <w:sz w:val="24"/>
            <w:szCs w:val="24"/>
          </w:rPr>
          <w:t>https://doi.org/10.1093/biomet/61.1.101</w:t>
        </w:r>
      </w:hyperlink>
    </w:p>
    <w:p w14:paraId="10A185C2"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Gimbert, X., Bisbe, J., &amp; Mendoza, X. (2010). The role of performance measurement systems in strategy formulation processes. </w:t>
      </w:r>
      <w:r>
        <w:rPr>
          <w:rFonts w:ascii="Times New Roman" w:hAnsi="Times New Roman" w:cs="Times New Roman"/>
          <w:i/>
          <w:iCs/>
          <w:sz w:val="24"/>
          <w:szCs w:val="24"/>
        </w:rPr>
        <w:t>Long Range Planning</w:t>
      </w:r>
      <w:r>
        <w:rPr>
          <w:rFonts w:ascii="Times New Roman" w:hAnsi="Times New Roman" w:cs="Times New Roman"/>
          <w:sz w:val="24"/>
          <w:szCs w:val="24"/>
        </w:rPr>
        <w:t xml:space="preserve">, </w:t>
      </w:r>
      <w:r>
        <w:rPr>
          <w:rFonts w:ascii="Times New Roman" w:hAnsi="Times New Roman" w:cs="Times New Roman"/>
          <w:i/>
          <w:iCs/>
          <w:sz w:val="24"/>
          <w:szCs w:val="24"/>
        </w:rPr>
        <w:t>43</w:t>
      </w:r>
      <w:r>
        <w:rPr>
          <w:rFonts w:ascii="Times New Roman" w:hAnsi="Times New Roman" w:cs="Times New Roman"/>
          <w:sz w:val="24"/>
          <w:szCs w:val="24"/>
        </w:rPr>
        <w:t xml:space="preserve">(4), 477-497. </w:t>
      </w:r>
      <w:hyperlink r:id="rId41" w:history="1">
        <w:r>
          <w:rPr>
            <w:rStyle w:val="af"/>
            <w:rFonts w:ascii="Times New Roman" w:hAnsi="Times New Roman" w:cs="Times New Roman"/>
            <w:color w:val="auto"/>
            <w:sz w:val="24"/>
            <w:szCs w:val="24"/>
          </w:rPr>
          <w:t>https://doi.org/10.1016/j.lrp.2010.01.001</w:t>
        </w:r>
      </w:hyperlink>
    </w:p>
    <w:p w14:paraId="1F9520D8" w14:textId="77777777" w:rsidR="004F5D9D" w:rsidRPr="005F1B2C" w:rsidRDefault="00534E43" w:rsidP="0050632A">
      <w:pPr>
        <w:widowControl w:val="0"/>
        <w:autoSpaceDE w:val="0"/>
        <w:autoSpaceDN w:val="0"/>
        <w:adjustRightInd w:val="0"/>
        <w:spacing w:after="0" w:line="360" w:lineRule="exact"/>
        <w:ind w:left="480" w:hangingChars="200" w:hanging="480"/>
        <w:rPr>
          <w:rStyle w:val="af"/>
          <w:rFonts w:ascii="Times New Roman" w:hAnsi="Times New Roman" w:cs="Times New Roman"/>
          <w:color w:val="auto"/>
          <w:sz w:val="24"/>
          <w:szCs w:val="24"/>
        </w:rPr>
      </w:pPr>
      <w:r>
        <w:rPr>
          <w:rFonts w:ascii="Times New Roman" w:hAnsi="Times New Roman" w:cs="Times New Roman"/>
          <w:sz w:val="24"/>
          <w:szCs w:val="24"/>
        </w:rPr>
        <w:t xml:space="preserve">Grönroos, C. (2006). Adopting a service logic for marketing. </w:t>
      </w:r>
      <w:r>
        <w:rPr>
          <w:rFonts w:ascii="Times New Roman" w:hAnsi="Times New Roman" w:cs="Times New Roman"/>
          <w:i/>
          <w:iCs/>
          <w:sz w:val="24"/>
          <w:szCs w:val="24"/>
        </w:rPr>
        <w:t>Marketing Theory</w:t>
      </w:r>
      <w:r>
        <w:rPr>
          <w:rFonts w:ascii="Times New Roman" w:hAnsi="Times New Roman" w:cs="Times New Roman"/>
          <w:sz w:val="24"/>
          <w:szCs w:val="24"/>
        </w:rPr>
        <w:t xml:space="preserve">, </w:t>
      </w:r>
      <w:r>
        <w:rPr>
          <w:rFonts w:ascii="Times New Roman" w:hAnsi="Times New Roman" w:cs="Times New Roman"/>
          <w:i/>
          <w:iCs/>
          <w:sz w:val="24"/>
          <w:szCs w:val="24"/>
        </w:rPr>
        <w:t>6</w:t>
      </w:r>
      <w:r>
        <w:rPr>
          <w:rFonts w:ascii="Times New Roman" w:hAnsi="Times New Roman" w:cs="Times New Roman"/>
          <w:sz w:val="24"/>
          <w:szCs w:val="24"/>
        </w:rPr>
        <w:t xml:space="preserve">(3), 317–333. </w:t>
      </w:r>
      <w:hyperlink r:id="rId42" w:history="1">
        <w:r>
          <w:rPr>
            <w:rStyle w:val="af"/>
            <w:rFonts w:ascii="Times New Roman" w:hAnsi="Times New Roman" w:cs="Times New Roman"/>
            <w:color w:val="auto"/>
            <w:sz w:val="24"/>
            <w:szCs w:val="24"/>
          </w:rPr>
          <w:t>https://doi.org/10.1177/1470593106066794</w:t>
        </w:r>
      </w:hyperlink>
    </w:p>
    <w:p w14:paraId="3DB38596" w14:textId="77777777" w:rsidR="00421011" w:rsidRPr="005F1B2C" w:rsidRDefault="00421011" w:rsidP="00421011">
      <w:pPr>
        <w:widowControl w:val="0"/>
        <w:autoSpaceDE w:val="0"/>
        <w:autoSpaceDN w:val="0"/>
        <w:adjustRightInd w:val="0"/>
        <w:spacing w:after="0" w:line="360" w:lineRule="exact"/>
        <w:ind w:left="480" w:hangingChars="200" w:hanging="480"/>
        <w:rPr>
          <w:rStyle w:val="af"/>
          <w:rFonts w:ascii="Times New Roman" w:hAnsi="Times New Roman" w:cs="Times New Roman"/>
          <w:color w:val="auto"/>
          <w:sz w:val="24"/>
          <w:szCs w:val="24"/>
        </w:rPr>
      </w:pPr>
      <w:r>
        <w:rPr>
          <w:rFonts w:ascii="Times New Roman" w:eastAsia="SimSun" w:hAnsi="Times New Roman" w:cs="Times New Roman"/>
          <w:sz w:val="24"/>
          <w:szCs w:val="24"/>
          <w:shd w:val="clear" w:color="auto" w:fill="FFFFFF"/>
        </w:rPr>
        <w:t xml:space="preserve">Haase, J., Wiedmann, K., &amp; Labenz, F. (2022). Brand hate, rage, anger &amp; Co.: Exploring the relevance and characteristics of negative consumer emotions toward brands. </w:t>
      </w:r>
      <w:r>
        <w:rPr>
          <w:rStyle w:val="aa"/>
          <w:rFonts w:ascii="Times New Roman" w:eastAsia="SimSun" w:hAnsi="Times New Roman" w:cs="Times New Roman"/>
          <w:sz w:val="24"/>
          <w:szCs w:val="24"/>
          <w:shd w:val="clear" w:color="auto" w:fill="FFFFFF"/>
        </w:rPr>
        <w:t>Journal of Business Research</w:t>
      </w:r>
      <w:r>
        <w:rPr>
          <w:rFonts w:ascii="Times New Roman" w:eastAsia="SimSun" w:hAnsi="Times New Roman" w:cs="Times New Roman"/>
          <w:sz w:val="24"/>
          <w:szCs w:val="24"/>
          <w:shd w:val="clear" w:color="auto" w:fill="FFFFFF"/>
        </w:rPr>
        <w:t xml:space="preserve">, </w:t>
      </w:r>
      <w:r>
        <w:rPr>
          <w:rStyle w:val="aa"/>
          <w:rFonts w:ascii="Times New Roman" w:eastAsia="SimSun" w:hAnsi="Times New Roman" w:cs="Times New Roman"/>
          <w:sz w:val="24"/>
          <w:szCs w:val="24"/>
          <w:shd w:val="clear" w:color="auto" w:fill="FFFFFF"/>
        </w:rPr>
        <w:t>152</w:t>
      </w:r>
      <w:r>
        <w:rPr>
          <w:rFonts w:ascii="Times New Roman" w:eastAsia="SimSun" w:hAnsi="Times New Roman" w:cs="Times New Roman"/>
          <w:sz w:val="24"/>
          <w:szCs w:val="24"/>
          <w:shd w:val="clear" w:color="auto" w:fill="FFFFFF"/>
        </w:rPr>
        <w:t>, 1-16.</w:t>
      </w:r>
      <w:r w:rsidRPr="005D5C32">
        <w:rPr>
          <w:rStyle w:val="af"/>
          <w:color w:val="auto"/>
        </w:rPr>
        <w:t xml:space="preserve"> </w:t>
      </w:r>
      <w:r w:rsidRPr="00C11E86">
        <w:rPr>
          <w:rStyle w:val="af"/>
          <w:rFonts w:ascii="Times New Roman" w:hAnsi="Times New Roman" w:cs="Times New Roman"/>
          <w:color w:val="auto"/>
          <w:sz w:val="24"/>
          <w:szCs w:val="24"/>
        </w:rPr>
        <w:t>https://doi.org/10.1016/j.jbusres.2022.07.036</w:t>
      </w:r>
    </w:p>
    <w:p w14:paraId="3719CF3E"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Hair, J. F., Sarstedt, M., Ringle, C. M., &amp; Mena, J. A. (2012). An assessment of the use of partial least squares structural equation modeling in marketing research. </w:t>
      </w:r>
      <w:r>
        <w:rPr>
          <w:rFonts w:ascii="Times New Roman" w:hAnsi="Times New Roman" w:cs="Times New Roman"/>
          <w:i/>
          <w:iCs/>
          <w:sz w:val="24"/>
          <w:szCs w:val="24"/>
        </w:rPr>
        <w:t>Journal of the Academy of Marketing Science</w:t>
      </w:r>
      <w:r>
        <w:rPr>
          <w:rFonts w:ascii="Times New Roman" w:hAnsi="Times New Roman" w:cs="Times New Roman"/>
          <w:sz w:val="24"/>
          <w:szCs w:val="24"/>
        </w:rPr>
        <w:t xml:space="preserve">, </w:t>
      </w:r>
      <w:r>
        <w:rPr>
          <w:rFonts w:ascii="Times New Roman" w:hAnsi="Times New Roman" w:cs="Times New Roman"/>
          <w:i/>
          <w:iCs/>
          <w:sz w:val="24"/>
          <w:szCs w:val="24"/>
        </w:rPr>
        <w:t>40</w:t>
      </w:r>
      <w:r>
        <w:rPr>
          <w:rFonts w:ascii="Times New Roman" w:hAnsi="Times New Roman" w:cs="Times New Roman"/>
          <w:sz w:val="24"/>
          <w:szCs w:val="24"/>
        </w:rPr>
        <w:t xml:space="preserve">(3), 414-433. </w:t>
      </w:r>
      <w:hyperlink r:id="rId43" w:history="1">
        <w:r>
          <w:rPr>
            <w:rStyle w:val="af"/>
            <w:rFonts w:ascii="Times New Roman" w:hAnsi="Times New Roman" w:cs="Times New Roman"/>
            <w:color w:val="auto"/>
            <w:sz w:val="24"/>
            <w:szCs w:val="24"/>
          </w:rPr>
          <w:t>https://doi.org/10.1007/s11747-011-0261-6</w:t>
        </w:r>
      </w:hyperlink>
    </w:p>
    <w:p w14:paraId="74305004"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Halstead, D. (1989). Expectations and disconfirmation beliefs as predictors of consumer satisfaction, repurchase intention, and complaining behavior: an empirical study. </w:t>
      </w:r>
      <w:r>
        <w:rPr>
          <w:rFonts w:ascii="Times New Roman" w:hAnsi="Times New Roman" w:cs="Times New Roman"/>
          <w:i/>
          <w:iCs/>
          <w:sz w:val="24"/>
          <w:szCs w:val="24"/>
        </w:rPr>
        <w:t>Journal of Consumer Satisfaction, Dissatisfaction and Complaining Behavior</w:t>
      </w:r>
      <w:r>
        <w:rPr>
          <w:rFonts w:ascii="Times New Roman" w:hAnsi="Times New Roman" w:cs="Times New Roman"/>
          <w:sz w:val="24"/>
          <w:szCs w:val="24"/>
        </w:rPr>
        <w:t xml:space="preserve">, </w:t>
      </w:r>
      <w:r>
        <w:rPr>
          <w:rFonts w:ascii="Times New Roman" w:hAnsi="Times New Roman" w:cs="Times New Roman"/>
          <w:i/>
          <w:iCs/>
          <w:sz w:val="24"/>
          <w:szCs w:val="24"/>
        </w:rPr>
        <w:t>2</w:t>
      </w:r>
      <w:r>
        <w:rPr>
          <w:rFonts w:ascii="Times New Roman" w:hAnsi="Times New Roman" w:cs="Times New Roman"/>
          <w:sz w:val="24"/>
          <w:szCs w:val="24"/>
        </w:rPr>
        <w:t>(1),17–21.</w:t>
      </w:r>
    </w:p>
    <w:p w14:paraId="7C7AA921" w14:textId="77777777" w:rsidR="004F5D9D" w:rsidRPr="005F1B2C" w:rsidRDefault="00534E43" w:rsidP="0050632A">
      <w:pPr>
        <w:widowControl w:val="0"/>
        <w:autoSpaceDE w:val="0"/>
        <w:autoSpaceDN w:val="0"/>
        <w:adjustRightInd w:val="0"/>
        <w:spacing w:after="0" w:line="360" w:lineRule="exact"/>
        <w:ind w:left="480" w:hangingChars="200" w:hanging="480"/>
        <w:rPr>
          <w:rStyle w:val="af"/>
          <w:rFonts w:ascii="Times New Roman" w:hAnsi="Times New Roman" w:cs="Times New Roman"/>
          <w:color w:val="auto"/>
          <w:sz w:val="24"/>
          <w:szCs w:val="24"/>
        </w:rPr>
      </w:pPr>
      <w:r>
        <w:rPr>
          <w:rFonts w:ascii="Times New Roman" w:hAnsi="Times New Roman" w:cs="Times New Roman"/>
          <w:sz w:val="24"/>
          <w:szCs w:val="24"/>
        </w:rPr>
        <w:t xml:space="preserve">Han, C. M., &amp; Terpstra, V. (1988). Country-of-Origin effects for uni-national and Bi-national products. </w:t>
      </w:r>
      <w:r>
        <w:rPr>
          <w:rFonts w:ascii="Times New Roman" w:hAnsi="Times New Roman" w:cs="Times New Roman"/>
          <w:i/>
          <w:iCs/>
          <w:sz w:val="24"/>
          <w:szCs w:val="24"/>
        </w:rPr>
        <w:t>Journal of International Business Studies</w:t>
      </w:r>
      <w:r>
        <w:rPr>
          <w:rFonts w:ascii="Times New Roman" w:hAnsi="Times New Roman" w:cs="Times New Roman"/>
          <w:sz w:val="24"/>
          <w:szCs w:val="24"/>
        </w:rPr>
        <w:t xml:space="preserve">, </w:t>
      </w:r>
      <w:r>
        <w:rPr>
          <w:rFonts w:ascii="Times New Roman" w:hAnsi="Times New Roman" w:cs="Times New Roman"/>
          <w:i/>
          <w:iCs/>
          <w:sz w:val="24"/>
          <w:szCs w:val="24"/>
        </w:rPr>
        <w:t>19</w:t>
      </w:r>
      <w:r>
        <w:rPr>
          <w:rFonts w:ascii="Times New Roman" w:hAnsi="Times New Roman" w:cs="Times New Roman"/>
          <w:sz w:val="24"/>
          <w:szCs w:val="24"/>
        </w:rPr>
        <w:t xml:space="preserve">(2), 235–255. </w:t>
      </w:r>
      <w:hyperlink r:id="rId44" w:history="1">
        <w:r>
          <w:rPr>
            <w:rStyle w:val="af"/>
            <w:rFonts w:ascii="Times New Roman" w:hAnsi="Times New Roman" w:cs="Times New Roman"/>
            <w:color w:val="auto"/>
            <w:sz w:val="24"/>
            <w:szCs w:val="24"/>
          </w:rPr>
          <w:t>https://doi.org/10.1057/palgrave.jibs.8490379</w:t>
        </w:r>
      </w:hyperlink>
    </w:p>
    <w:p w14:paraId="79CFE49E"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Hegner, S. M., Fetscherin, M., &amp; Van Delzen, M. (2017). Determinants and outcomes of brand hate. </w:t>
      </w:r>
      <w:r>
        <w:rPr>
          <w:rFonts w:ascii="Times New Roman" w:hAnsi="Times New Roman" w:cs="Times New Roman"/>
          <w:i/>
          <w:iCs/>
          <w:sz w:val="24"/>
          <w:szCs w:val="24"/>
        </w:rPr>
        <w:t>Journal of Product &amp; Brand Management</w:t>
      </w:r>
      <w:r>
        <w:rPr>
          <w:rFonts w:ascii="Times New Roman" w:hAnsi="Times New Roman" w:cs="Times New Roman"/>
          <w:sz w:val="24"/>
          <w:szCs w:val="24"/>
        </w:rPr>
        <w:t xml:space="preserve">, </w:t>
      </w:r>
      <w:r>
        <w:rPr>
          <w:rFonts w:ascii="Times New Roman" w:hAnsi="Times New Roman" w:cs="Times New Roman"/>
          <w:i/>
          <w:iCs/>
          <w:sz w:val="24"/>
          <w:szCs w:val="24"/>
        </w:rPr>
        <w:t>26</w:t>
      </w:r>
      <w:r>
        <w:rPr>
          <w:rFonts w:ascii="Times New Roman" w:hAnsi="Times New Roman" w:cs="Times New Roman"/>
          <w:sz w:val="24"/>
          <w:szCs w:val="24"/>
        </w:rPr>
        <w:t xml:space="preserve">(1), 13–25. </w:t>
      </w:r>
      <w:hyperlink r:id="rId45" w:history="1">
        <w:r>
          <w:rPr>
            <w:rStyle w:val="af"/>
            <w:rFonts w:ascii="Times New Roman" w:hAnsi="Times New Roman" w:cs="Times New Roman"/>
            <w:color w:val="auto"/>
            <w:sz w:val="24"/>
            <w:szCs w:val="24"/>
          </w:rPr>
          <w:t>https://doi.org/10.1108/jpbm-01-2016-1070</w:t>
        </w:r>
      </w:hyperlink>
    </w:p>
    <w:p w14:paraId="37827A55" w14:textId="27A1E888"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Hempel, J. (2012). Oppositional </w:t>
      </w:r>
      <w:r w:rsidR="00051D31">
        <w:rPr>
          <w:rFonts w:ascii="Times New Roman" w:hAnsi="Times New Roman" w:cs="Times New Roman"/>
          <w:sz w:val="24"/>
          <w:szCs w:val="24"/>
        </w:rPr>
        <w:t>brand avoidance</w:t>
      </w:r>
      <w:r>
        <w:rPr>
          <w:rFonts w:ascii="Times New Roman" w:hAnsi="Times New Roman" w:cs="Times New Roman"/>
          <w:sz w:val="24"/>
          <w:szCs w:val="24"/>
        </w:rPr>
        <w:t xml:space="preserve">: A </w:t>
      </w:r>
      <w:r w:rsidR="00051D31">
        <w:rPr>
          <w:rFonts w:ascii="Times New Roman" w:hAnsi="Times New Roman" w:cs="Times New Roman"/>
          <w:sz w:val="24"/>
          <w:szCs w:val="24"/>
        </w:rPr>
        <w:t>new theoretical approach</w:t>
      </w:r>
      <w:r>
        <w:rPr>
          <w:rFonts w:ascii="Times New Roman" w:hAnsi="Times New Roman" w:cs="Times New Roman"/>
          <w:sz w:val="24"/>
          <w:szCs w:val="24"/>
        </w:rPr>
        <w:t xml:space="preserve"> </w:t>
      </w:r>
      <w:r w:rsidR="00051D31">
        <w:rPr>
          <w:rFonts w:ascii="Times New Roman" w:hAnsi="Times New Roman" w:cs="Times New Roman"/>
          <w:sz w:val="24"/>
          <w:szCs w:val="24"/>
        </w:rPr>
        <w:t>[</w:t>
      </w:r>
      <w:r w:rsidR="008E0706" w:rsidRPr="008E0706">
        <w:rPr>
          <w:rFonts w:ascii="Times New Roman" w:hAnsi="Times New Roman" w:cs="Times New Roman"/>
          <w:sz w:val="24"/>
          <w:szCs w:val="24"/>
        </w:rPr>
        <w:t xml:space="preserve">Unpublished </w:t>
      </w:r>
      <w:r w:rsidR="008E0706">
        <w:rPr>
          <w:rFonts w:ascii="Times New Roman" w:hAnsi="Times New Roman" w:cs="Times New Roman" w:hint="eastAsia"/>
          <w:sz w:val="24"/>
          <w:szCs w:val="24"/>
          <w:lang w:eastAsia="zh-TW"/>
        </w:rPr>
        <w:t>d</w:t>
      </w:r>
      <w:r>
        <w:rPr>
          <w:rFonts w:ascii="Times New Roman" w:hAnsi="Times New Roman" w:cs="Times New Roman"/>
          <w:sz w:val="24"/>
          <w:szCs w:val="24"/>
        </w:rPr>
        <w:t>octoral dissertation</w:t>
      </w:r>
      <w:r w:rsidR="008E0706">
        <w:rPr>
          <w:rFonts w:ascii="Times New Roman" w:hAnsi="Times New Roman" w:cs="Times New Roman"/>
          <w:sz w:val="24"/>
          <w:szCs w:val="24"/>
        </w:rPr>
        <w:t>].</w:t>
      </w:r>
      <w:r>
        <w:rPr>
          <w:rFonts w:ascii="Times New Roman" w:hAnsi="Times New Roman" w:cs="Times New Roman"/>
          <w:sz w:val="24"/>
          <w:szCs w:val="24"/>
        </w:rPr>
        <w:t xml:space="preserve"> University of Kassel.</w:t>
      </w:r>
    </w:p>
    <w:p w14:paraId="239BEF50"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Hogg, M. K. (1998). Anti-constellations: Exploring the impact of negation on consumption. </w:t>
      </w:r>
      <w:r>
        <w:rPr>
          <w:rFonts w:ascii="Times New Roman" w:hAnsi="Times New Roman" w:cs="Times New Roman"/>
          <w:i/>
          <w:iCs/>
          <w:sz w:val="24"/>
          <w:szCs w:val="24"/>
        </w:rPr>
        <w:t>Journal of Marketing Management</w:t>
      </w:r>
      <w:r>
        <w:rPr>
          <w:rFonts w:ascii="Times New Roman" w:hAnsi="Times New Roman" w:cs="Times New Roman"/>
          <w:sz w:val="24"/>
          <w:szCs w:val="24"/>
        </w:rPr>
        <w:t xml:space="preserve">, </w:t>
      </w:r>
      <w:r>
        <w:rPr>
          <w:rFonts w:ascii="Times New Roman" w:hAnsi="Times New Roman" w:cs="Times New Roman"/>
          <w:i/>
          <w:iCs/>
          <w:sz w:val="24"/>
          <w:szCs w:val="24"/>
        </w:rPr>
        <w:t>14</w:t>
      </w:r>
      <w:r>
        <w:rPr>
          <w:rFonts w:ascii="Times New Roman" w:hAnsi="Times New Roman" w:cs="Times New Roman"/>
          <w:sz w:val="24"/>
          <w:szCs w:val="24"/>
        </w:rPr>
        <w:t xml:space="preserve">(1-3), 133-158. </w:t>
      </w:r>
      <w:hyperlink r:id="rId46" w:history="1">
        <w:r>
          <w:rPr>
            <w:rStyle w:val="af"/>
            <w:rFonts w:ascii="Times New Roman" w:hAnsi="Times New Roman" w:cs="Times New Roman"/>
            <w:color w:val="auto"/>
            <w:sz w:val="24"/>
            <w:szCs w:val="24"/>
          </w:rPr>
          <w:t>https://doi.org/10.1362/026725798784959354</w:t>
        </w:r>
      </w:hyperlink>
    </w:p>
    <w:p w14:paraId="3038A123"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Hogg, M. K., &amp; Michell, P. C. (1997). Special session summary: Exploring anti-constellations: Content and consensus. </w:t>
      </w:r>
      <w:r w:rsidRPr="00C11E86">
        <w:rPr>
          <w:rFonts w:ascii="Times New Roman" w:hAnsi="Times New Roman" w:cs="Times New Roman"/>
          <w:i/>
          <w:iCs/>
          <w:sz w:val="24"/>
          <w:szCs w:val="24"/>
        </w:rPr>
        <w:t>Advances in Consumer Research, 24</w:t>
      </w:r>
      <w:r>
        <w:rPr>
          <w:rFonts w:ascii="Times New Roman" w:hAnsi="Times New Roman" w:cs="Times New Roman"/>
          <w:sz w:val="24"/>
          <w:szCs w:val="24"/>
        </w:rPr>
        <w:t>, 61–63.</w:t>
      </w:r>
    </w:p>
    <w:p w14:paraId="078A83BA" w14:textId="77777777" w:rsidR="004F5D9D" w:rsidRPr="005F1B2C" w:rsidRDefault="00822E2C" w:rsidP="0050632A">
      <w:pPr>
        <w:widowControl w:val="0"/>
        <w:autoSpaceDE w:val="0"/>
        <w:autoSpaceDN w:val="0"/>
        <w:adjustRightInd w:val="0"/>
        <w:spacing w:after="0" w:line="360" w:lineRule="exact"/>
        <w:ind w:left="440" w:hangingChars="200" w:hanging="440"/>
        <w:rPr>
          <w:rFonts w:ascii="Times New Roman" w:hAnsi="Times New Roman" w:cs="Times New Roman"/>
          <w:sz w:val="24"/>
          <w:szCs w:val="24"/>
        </w:rPr>
      </w:pPr>
      <w:hyperlink r:id="rId47" w:history="1"/>
      <w:proofErr w:type="spellStart"/>
      <w:r w:rsidR="007401F3">
        <w:rPr>
          <w:rFonts w:ascii="Times New Roman" w:hAnsi="Times New Roman" w:cs="Times New Roman"/>
          <w:sz w:val="24"/>
          <w:szCs w:val="24"/>
        </w:rPr>
        <w:t>Hulland</w:t>
      </w:r>
      <w:proofErr w:type="spellEnd"/>
      <w:r w:rsidR="007401F3">
        <w:rPr>
          <w:rFonts w:ascii="Times New Roman" w:hAnsi="Times New Roman" w:cs="Times New Roman"/>
          <w:sz w:val="24"/>
          <w:szCs w:val="24"/>
        </w:rPr>
        <w:t xml:space="preserve">, J. (1999). Use of partial least squares (PLS) in strategic management research: A review of four recent studies. </w:t>
      </w:r>
      <w:r w:rsidR="007401F3">
        <w:rPr>
          <w:rFonts w:ascii="Times New Roman" w:hAnsi="Times New Roman" w:cs="Times New Roman"/>
          <w:i/>
          <w:iCs/>
          <w:sz w:val="24"/>
          <w:szCs w:val="24"/>
        </w:rPr>
        <w:t>Strategic Management Journal</w:t>
      </w:r>
      <w:r w:rsidR="007401F3">
        <w:rPr>
          <w:rFonts w:ascii="Times New Roman" w:hAnsi="Times New Roman" w:cs="Times New Roman"/>
          <w:sz w:val="24"/>
          <w:szCs w:val="24"/>
        </w:rPr>
        <w:t xml:space="preserve">, </w:t>
      </w:r>
      <w:r w:rsidR="007401F3">
        <w:rPr>
          <w:rFonts w:ascii="Times New Roman" w:hAnsi="Times New Roman" w:cs="Times New Roman"/>
          <w:i/>
          <w:iCs/>
          <w:sz w:val="24"/>
          <w:szCs w:val="24"/>
        </w:rPr>
        <w:t>20</w:t>
      </w:r>
      <w:r w:rsidR="007401F3">
        <w:rPr>
          <w:rFonts w:ascii="Times New Roman" w:hAnsi="Times New Roman" w:cs="Times New Roman"/>
          <w:sz w:val="24"/>
          <w:szCs w:val="24"/>
        </w:rPr>
        <w:t xml:space="preserve">(2), 195–204. </w:t>
      </w:r>
      <w:hyperlink r:id="rId48" w:history="1">
        <w:r w:rsidR="007401F3">
          <w:rPr>
            <w:rStyle w:val="af"/>
            <w:rFonts w:ascii="Times New Roman" w:hAnsi="Times New Roman" w:cs="Times New Roman"/>
            <w:color w:val="auto"/>
            <w:sz w:val="24"/>
            <w:szCs w:val="24"/>
          </w:rPr>
          <w:t>https://doi.org/10.1002/(sici)1097-0266(199902)20:23.3.co;2-z</w:t>
        </w:r>
      </w:hyperlink>
    </w:p>
    <w:p w14:paraId="67EC1909" w14:textId="788675F0"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Jarvis, C., MacKenzie, S., &amp; Podsakoff, P. (2003). A critical review of construct indicators and measurement model </w:t>
      </w:r>
      <w:r w:rsidR="00217C7C">
        <w:rPr>
          <w:rFonts w:ascii="Times New Roman" w:hAnsi="Times New Roman" w:cs="Times New Roman"/>
          <w:sz w:val="24"/>
          <w:szCs w:val="24"/>
        </w:rPr>
        <w:t xml:space="preserve">misspecification </w:t>
      </w:r>
      <w:r>
        <w:rPr>
          <w:rFonts w:ascii="Times New Roman" w:hAnsi="Times New Roman" w:cs="Times New Roman"/>
          <w:sz w:val="24"/>
          <w:szCs w:val="24"/>
        </w:rPr>
        <w:t xml:space="preserve">in marketing and consumer research. </w:t>
      </w:r>
      <w:r>
        <w:rPr>
          <w:rFonts w:ascii="Times New Roman" w:hAnsi="Times New Roman" w:cs="Times New Roman"/>
          <w:i/>
          <w:iCs/>
          <w:sz w:val="24"/>
          <w:szCs w:val="24"/>
        </w:rPr>
        <w:t>Journal of Consumer Research</w:t>
      </w:r>
      <w:r>
        <w:rPr>
          <w:rFonts w:ascii="Times New Roman" w:hAnsi="Times New Roman" w:cs="Times New Roman"/>
          <w:sz w:val="24"/>
          <w:szCs w:val="24"/>
        </w:rPr>
        <w:t xml:space="preserve">, </w:t>
      </w:r>
      <w:r>
        <w:rPr>
          <w:rFonts w:ascii="Times New Roman" w:hAnsi="Times New Roman" w:cs="Times New Roman"/>
          <w:i/>
          <w:iCs/>
          <w:sz w:val="24"/>
          <w:szCs w:val="24"/>
        </w:rPr>
        <w:t>30</w:t>
      </w:r>
      <w:r>
        <w:rPr>
          <w:rFonts w:ascii="Times New Roman" w:hAnsi="Times New Roman" w:cs="Times New Roman"/>
          <w:sz w:val="24"/>
          <w:szCs w:val="24"/>
        </w:rPr>
        <w:t xml:space="preserve">(2), 199–218. </w:t>
      </w:r>
      <w:hyperlink r:id="rId49" w:history="1">
        <w:r>
          <w:rPr>
            <w:rStyle w:val="af"/>
            <w:rFonts w:ascii="Times New Roman" w:hAnsi="Times New Roman" w:cs="Times New Roman"/>
            <w:color w:val="auto"/>
            <w:sz w:val="24"/>
            <w:szCs w:val="24"/>
          </w:rPr>
          <w:t>https://doi.org/10.1086/376806</w:t>
        </w:r>
      </w:hyperlink>
    </w:p>
    <w:p w14:paraId="67895D63" w14:textId="441C1F3B"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Johnson, A. R., Matear, M., &amp; Thomson, M. (2011). A coal in the heart: Self-relevance as a post-exit predictor of consumer anti-brand actions. </w:t>
      </w:r>
      <w:r>
        <w:rPr>
          <w:rFonts w:ascii="Times New Roman" w:hAnsi="Times New Roman" w:cs="Times New Roman"/>
          <w:i/>
          <w:iCs/>
          <w:sz w:val="24"/>
          <w:szCs w:val="24"/>
        </w:rPr>
        <w:t>Journal of Consumer Research</w:t>
      </w:r>
      <w:r>
        <w:rPr>
          <w:rFonts w:ascii="Times New Roman" w:hAnsi="Times New Roman" w:cs="Times New Roman"/>
          <w:sz w:val="24"/>
          <w:szCs w:val="24"/>
        </w:rPr>
        <w:t xml:space="preserve">, </w:t>
      </w:r>
      <w:r>
        <w:rPr>
          <w:rFonts w:ascii="Times New Roman" w:hAnsi="Times New Roman" w:cs="Times New Roman"/>
          <w:i/>
          <w:iCs/>
          <w:sz w:val="24"/>
          <w:szCs w:val="24"/>
        </w:rPr>
        <w:t>38</w:t>
      </w:r>
      <w:r>
        <w:rPr>
          <w:rFonts w:ascii="Times New Roman" w:hAnsi="Times New Roman" w:cs="Times New Roman"/>
          <w:sz w:val="24"/>
          <w:szCs w:val="24"/>
        </w:rPr>
        <w:t xml:space="preserve">(1), 108–125. </w:t>
      </w:r>
      <w:hyperlink r:id="rId50" w:history="1">
        <w:r>
          <w:rPr>
            <w:rStyle w:val="af"/>
            <w:rFonts w:ascii="Times New Roman" w:hAnsi="Times New Roman" w:cs="Times New Roman"/>
            <w:color w:val="auto"/>
            <w:sz w:val="24"/>
            <w:szCs w:val="24"/>
          </w:rPr>
          <w:t>https://doi.org/10.1086/657924</w:t>
        </w:r>
      </w:hyperlink>
    </w:p>
    <w:p w14:paraId="1BD0871E" w14:textId="4E6FBD9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Jöreskog, K.</w:t>
      </w:r>
      <w:r>
        <w:rPr>
          <w:rFonts w:ascii="Times New Roman" w:hAnsi="Times New Roman" w:cs="Times New Roman" w:hint="eastAsia"/>
          <w:sz w:val="24"/>
          <w:szCs w:val="24"/>
          <w:lang w:eastAsia="zh-TW"/>
        </w:rPr>
        <w:t xml:space="preserve"> </w:t>
      </w:r>
      <w:r>
        <w:rPr>
          <w:rFonts w:ascii="Times New Roman" w:hAnsi="Times New Roman" w:cs="Times New Roman"/>
          <w:sz w:val="24"/>
          <w:szCs w:val="24"/>
        </w:rPr>
        <w:t>G.</w:t>
      </w:r>
      <w:r w:rsidR="00A15341">
        <w:rPr>
          <w:rFonts w:ascii="Times New Roman" w:hAnsi="Times New Roman" w:cs="Times New Roman" w:hint="eastAsia"/>
          <w:sz w:val="24"/>
          <w:szCs w:val="24"/>
          <w:lang w:eastAsia="zh-TW"/>
        </w:rPr>
        <w:t>,</w:t>
      </w:r>
      <w:r>
        <w:rPr>
          <w:rFonts w:ascii="Times New Roman" w:hAnsi="Times New Roman" w:cs="Times New Roman"/>
          <w:sz w:val="24"/>
          <w:szCs w:val="24"/>
        </w:rPr>
        <w:t xml:space="preserve"> &amp; Wold, H. (1982). The ML and PLS techniques for modeling with latent variables: </w:t>
      </w:r>
      <w:r w:rsidR="00051D31">
        <w:rPr>
          <w:rFonts w:ascii="Times New Roman" w:hAnsi="Times New Roman" w:cs="Times New Roman"/>
          <w:sz w:val="24"/>
          <w:szCs w:val="24"/>
        </w:rPr>
        <w:t xml:space="preserve">Historical </w:t>
      </w:r>
      <w:r>
        <w:rPr>
          <w:rFonts w:ascii="Times New Roman" w:hAnsi="Times New Roman" w:cs="Times New Roman"/>
          <w:sz w:val="24"/>
          <w:szCs w:val="24"/>
        </w:rPr>
        <w:t>and comparative aspects</w:t>
      </w:r>
      <w:r w:rsidR="00051D31">
        <w:rPr>
          <w:rFonts w:ascii="Times New Roman" w:hAnsi="Times New Roman" w:cs="Times New Roman"/>
          <w:sz w:val="24"/>
          <w:szCs w:val="24"/>
        </w:rPr>
        <w:t>.</w:t>
      </w:r>
      <w:r>
        <w:rPr>
          <w:rFonts w:ascii="Times New Roman" w:hAnsi="Times New Roman" w:cs="Times New Roman"/>
          <w:sz w:val="24"/>
          <w:szCs w:val="24"/>
        </w:rPr>
        <w:t xml:space="preserve"> </w:t>
      </w:r>
      <w:r w:rsidR="00051D31">
        <w:rPr>
          <w:rFonts w:ascii="Times New Roman" w:hAnsi="Times New Roman" w:cs="Times New Roman"/>
          <w:sz w:val="24"/>
          <w:szCs w:val="24"/>
        </w:rPr>
        <w:t>I</w:t>
      </w:r>
      <w:r>
        <w:rPr>
          <w:rFonts w:ascii="Times New Roman" w:hAnsi="Times New Roman" w:cs="Times New Roman"/>
          <w:sz w:val="24"/>
          <w:szCs w:val="24"/>
        </w:rPr>
        <w:t xml:space="preserve">n </w:t>
      </w:r>
      <w:r w:rsidR="00051D31">
        <w:rPr>
          <w:rFonts w:ascii="Times New Roman" w:hAnsi="Times New Roman" w:cs="Times New Roman"/>
          <w:sz w:val="24"/>
          <w:szCs w:val="24"/>
        </w:rPr>
        <w:t xml:space="preserve">K.G. </w:t>
      </w:r>
      <w:r>
        <w:rPr>
          <w:rFonts w:ascii="Times New Roman" w:hAnsi="Times New Roman" w:cs="Times New Roman"/>
          <w:sz w:val="24"/>
          <w:szCs w:val="24"/>
        </w:rPr>
        <w:t xml:space="preserve">Jöreskog </w:t>
      </w:r>
      <w:r w:rsidR="00051D31">
        <w:rPr>
          <w:rFonts w:ascii="Times New Roman" w:hAnsi="Times New Roman" w:cs="Times New Roman"/>
          <w:sz w:val="24"/>
          <w:szCs w:val="24"/>
        </w:rPr>
        <w:t xml:space="preserve">&amp; H. </w:t>
      </w:r>
      <w:r>
        <w:rPr>
          <w:rFonts w:ascii="Times New Roman" w:hAnsi="Times New Roman" w:cs="Times New Roman"/>
          <w:sz w:val="24"/>
          <w:szCs w:val="24"/>
        </w:rPr>
        <w:t>Wold (Eds</w:t>
      </w:r>
      <w:r w:rsidR="00051D31">
        <w:rPr>
          <w:rFonts w:ascii="Times New Roman" w:hAnsi="Times New Roman" w:cs="Times New Roman"/>
          <w:sz w:val="24"/>
          <w:szCs w:val="24"/>
        </w:rPr>
        <w:t>.</w:t>
      </w:r>
      <w:r>
        <w:rPr>
          <w:rFonts w:ascii="Times New Roman" w:hAnsi="Times New Roman" w:cs="Times New Roman"/>
          <w:sz w:val="24"/>
          <w:szCs w:val="24"/>
        </w:rPr>
        <w:t xml:space="preserve">), </w:t>
      </w:r>
      <w:r w:rsidRPr="00C11E86">
        <w:rPr>
          <w:rFonts w:ascii="Times New Roman" w:hAnsi="Times New Roman" w:cs="Times New Roman"/>
          <w:i/>
          <w:iCs/>
          <w:sz w:val="24"/>
          <w:szCs w:val="24"/>
        </w:rPr>
        <w:t xml:space="preserve">Systems under </w:t>
      </w:r>
      <w:r w:rsidR="00051D31" w:rsidRPr="00051D31">
        <w:rPr>
          <w:rFonts w:ascii="Times New Roman" w:hAnsi="Times New Roman" w:cs="Times New Roman"/>
          <w:i/>
          <w:iCs/>
          <w:sz w:val="24"/>
          <w:szCs w:val="24"/>
        </w:rPr>
        <w:t>indirect observati</w:t>
      </w:r>
      <w:r w:rsidRPr="00C11E86">
        <w:rPr>
          <w:rFonts w:ascii="Times New Roman" w:hAnsi="Times New Roman" w:cs="Times New Roman"/>
          <w:i/>
          <w:iCs/>
          <w:sz w:val="24"/>
          <w:szCs w:val="24"/>
        </w:rPr>
        <w:t xml:space="preserve">on: Causality, </w:t>
      </w:r>
      <w:r w:rsidR="00051D31" w:rsidRPr="00051D31">
        <w:rPr>
          <w:rFonts w:ascii="Times New Roman" w:hAnsi="Times New Roman" w:cs="Times New Roman"/>
          <w:i/>
          <w:iCs/>
          <w:sz w:val="24"/>
          <w:szCs w:val="24"/>
        </w:rPr>
        <w:t>structure, prediction</w:t>
      </w:r>
      <w:r w:rsidR="00051D31">
        <w:rPr>
          <w:rFonts w:ascii="Times New Roman" w:hAnsi="Times New Roman" w:cs="Times New Roman"/>
          <w:i/>
          <w:iCs/>
          <w:sz w:val="24"/>
          <w:szCs w:val="24"/>
        </w:rPr>
        <w:t xml:space="preserve"> </w:t>
      </w:r>
      <w:r w:rsidR="00051D31" w:rsidRPr="00C11E86">
        <w:rPr>
          <w:rFonts w:ascii="Times New Roman" w:hAnsi="Times New Roman" w:cs="Times New Roman"/>
          <w:sz w:val="24"/>
          <w:szCs w:val="24"/>
        </w:rPr>
        <w:t>(</w:t>
      </w:r>
      <w:r w:rsidR="00051D31">
        <w:rPr>
          <w:rFonts w:ascii="Times New Roman" w:hAnsi="Times New Roman" w:cs="Times New Roman"/>
          <w:sz w:val="24"/>
          <w:szCs w:val="24"/>
        </w:rPr>
        <w:t>pp. 263</w:t>
      </w:r>
      <w:r w:rsidR="00051D31">
        <w:rPr>
          <w:rFonts w:ascii="Helvetica" w:hAnsi="Helvetica"/>
          <w:color w:val="000000"/>
          <w:sz w:val="27"/>
          <w:szCs w:val="27"/>
          <w:shd w:val="clear" w:color="auto" w:fill="EDF9F9"/>
        </w:rPr>
        <w:t>–</w:t>
      </w:r>
      <w:r w:rsidR="00051D31">
        <w:rPr>
          <w:rFonts w:ascii="Times New Roman" w:hAnsi="Times New Roman" w:cs="Times New Roman"/>
          <w:sz w:val="24"/>
          <w:szCs w:val="24"/>
        </w:rPr>
        <w:t>270)</w:t>
      </w:r>
      <w:r>
        <w:rPr>
          <w:rFonts w:ascii="Times New Roman" w:hAnsi="Times New Roman" w:cs="Times New Roman"/>
          <w:sz w:val="24"/>
          <w:szCs w:val="24"/>
        </w:rPr>
        <w:t>, North-Holland, Amsterdam</w:t>
      </w:r>
      <w:r w:rsidR="00051D31">
        <w:rPr>
          <w:rFonts w:ascii="Times New Roman" w:hAnsi="Times New Roman" w:cs="Times New Roman"/>
          <w:sz w:val="24"/>
          <w:szCs w:val="24"/>
        </w:rPr>
        <w:t>.</w:t>
      </w:r>
      <w:r>
        <w:rPr>
          <w:rFonts w:ascii="Times New Roman" w:hAnsi="Times New Roman" w:cs="Times New Roman"/>
          <w:sz w:val="24"/>
          <w:szCs w:val="24"/>
        </w:rPr>
        <w:t xml:space="preserve"> </w:t>
      </w:r>
    </w:p>
    <w:p w14:paraId="29DC4FCF"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Kates, S. M. (2004). The dynamics of brand legitimacy: An interpretive study in the gay men's community: Table 1. </w:t>
      </w:r>
      <w:r>
        <w:rPr>
          <w:rFonts w:ascii="Times New Roman" w:hAnsi="Times New Roman" w:cs="Times New Roman"/>
          <w:i/>
          <w:iCs/>
          <w:sz w:val="24"/>
          <w:szCs w:val="24"/>
        </w:rPr>
        <w:t>Journal of Consumer Research</w:t>
      </w:r>
      <w:r>
        <w:rPr>
          <w:rFonts w:ascii="Times New Roman" w:hAnsi="Times New Roman" w:cs="Times New Roman"/>
          <w:sz w:val="24"/>
          <w:szCs w:val="24"/>
        </w:rPr>
        <w:t xml:space="preserve">, </w:t>
      </w:r>
      <w:r>
        <w:rPr>
          <w:rFonts w:ascii="Times New Roman" w:hAnsi="Times New Roman" w:cs="Times New Roman"/>
          <w:i/>
          <w:iCs/>
          <w:sz w:val="24"/>
          <w:szCs w:val="24"/>
        </w:rPr>
        <w:t>31</w:t>
      </w:r>
      <w:r>
        <w:rPr>
          <w:rFonts w:ascii="Times New Roman" w:hAnsi="Times New Roman" w:cs="Times New Roman"/>
          <w:sz w:val="24"/>
          <w:szCs w:val="24"/>
        </w:rPr>
        <w:t xml:space="preserve">(2), 455–464. </w:t>
      </w:r>
      <w:hyperlink r:id="rId51" w:history="1">
        <w:r>
          <w:rPr>
            <w:rStyle w:val="af"/>
            <w:rFonts w:ascii="Times New Roman" w:hAnsi="Times New Roman" w:cs="Times New Roman"/>
            <w:color w:val="auto"/>
            <w:sz w:val="24"/>
            <w:szCs w:val="24"/>
          </w:rPr>
          <w:t>https://doi.org/10.1086/422122</w:t>
        </w:r>
      </w:hyperlink>
    </w:p>
    <w:p w14:paraId="03EE7DBD" w14:textId="77777777" w:rsidR="004F5D9D" w:rsidRPr="005F1B2C" w:rsidRDefault="00822E2C" w:rsidP="0050632A">
      <w:pPr>
        <w:widowControl w:val="0"/>
        <w:autoSpaceDE w:val="0"/>
        <w:autoSpaceDN w:val="0"/>
        <w:adjustRightInd w:val="0"/>
        <w:spacing w:after="0" w:line="360" w:lineRule="exact"/>
        <w:ind w:left="440" w:hangingChars="200" w:hanging="440"/>
        <w:rPr>
          <w:rFonts w:ascii="Times New Roman" w:hAnsi="Times New Roman" w:cs="Times New Roman"/>
          <w:sz w:val="24"/>
          <w:szCs w:val="24"/>
        </w:rPr>
      </w:pPr>
      <w:hyperlink r:id="rId52" w:history="1"/>
      <w:r w:rsidR="007401F3">
        <w:rPr>
          <w:rFonts w:ascii="Times New Roman" w:hAnsi="Times New Roman" w:cs="Times New Roman"/>
          <w:sz w:val="24"/>
          <w:szCs w:val="24"/>
        </w:rPr>
        <w:t xml:space="preserve">Keller, K. L. (1993). Conceptualizing, measuring, and managing customer-based brand equity. </w:t>
      </w:r>
      <w:r w:rsidR="007401F3">
        <w:rPr>
          <w:rFonts w:ascii="Times New Roman" w:hAnsi="Times New Roman" w:cs="Times New Roman"/>
          <w:i/>
          <w:iCs/>
          <w:sz w:val="24"/>
          <w:szCs w:val="24"/>
        </w:rPr>
        <w:t>Journal of Marketing</w:t>
      </w:r>
      <w:r w:rsidR="007401F3">
        <w:rPr>
          <w:rFonts w:ascii="Times New Roman" w:hAnsi="Times New Roman" w:cs="Times New Roman"/>
          <w:sz w:val="24"/>
          <w:szCs w:val="24"/>
        </w:rPr>
        <w:t xml:space="preserve">, </w:t>
      </w:r>
      <w:r w:rsidR="007401F3">
        <w:rPr>
          <w:rFonts w:ascii="Times New Roman" w:hAnsi="Times New Roman" w:cs="Times New Roman"/>
          <w:i/>
          <w:iCs/>
          <w:sz w:val="24"/>
          <w:szCs w:val="24"/>
        </w:rPr>
        <w:t>57</w:t>
      </w:r>
      <w:r w:rsidR="007401F3">
        <w:rPr>
          <w:rFonts w:ascii="Times New Roman" w:hAnsi="Times New Roman" w:cs="Times New Roman"/>
          <w:sz w:val="24"/>
          <w:szCs w:val="24"/>
        </w:rPr>
        <w:t xml:space="preserve">(1), 1. </w:t>
      </w:r>
      <w:hyperlink r:id="rId53" w:history="1">
        <w:r w:rsidR="007401F3">
          <w:rPr>
            <w:rStyle w:val="af"/>
            <w:rFonts w:ascii="Times New Roman" w:hAnsi="Times New Roman" w:cs="Times New Roman"/>
            <w:color w:val="auto"/>
            <w:sz w:val="24"/>
            <w:szCs w:val="24"/>
          </w:rPr>
          <w:t>https://doi.org/10.2307/1252054</w:t>
        </w:r>
      </w:hyperlink>
    </w:p>
    <w:p w14:paraId="6F5A5E59"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Klein, J. G. (2002). Us versus them, or us versus everyone? Delineating consumer aversion to foreign goods. </w:t>
      </w:r>
      <w:r>
        <w:rPr>
          <w:rFonts w:ascii="Times New Roman" w:hAnsi="Times New Roman" w:cs="Times New Roman"/>
          <w:i/>
          <w:iCs/>
          <w:sz w:val="24"/>
          <w:szCs w:val="24"/>
        </w:rPr>
        <w:t>Journal of International Business Studies</w:t>
      </w:r>
      <w:r>
        <w:rPr>
          <w:rFonts w:ascii="Times New Roman" w:hAnsi="Times New Roman" w:cs="Times New Roman"/>
          <w:sz w:val="24"/>
          <w:szCs w:val="24"/>
        </w:rPr>
        <w:t xml:space="preserve">, </w:t>
      </w:r>
      <w:r>
        <w:rPr>
          <w:rFonts w:ascii="Times New Roman" w:hAnsi="Times New Roman" w:cs="Times New Roman"/>
          <w:i/>
          <w:iCs/>
          <w:sz w:val="24"/>
          <w:szCs w:val="24"/>
        </w:rPr>
        <w:t>33</w:t>
      </w:r>
      <w:r>
        <w:rPr>
          <w:rFonts w:ascii="Times New Roman" w:hAnsi="Times New Roman" w:cs="Times New Roman"/>
          <w:sz w:val="24"/>
          <w:szCs w:val="24"/>
        </w:rPr>
        <w:t xml:space="preserve">(2), 345–363. </w:t>
      </w:r>
      <w:hyperlink r:id="rId54" w:history="1">
        <w:r>
          <w:rPr>
            <w:rStyle w:val="af"/>
            <w:rFonts w:ascii="Times New Roman" w:hAnsi="Times New Roman" w:cs="Times New Roman"/>
            <w:color w:val="auto"/>
            <w:sz w:val="24"/>
            <w:szCs w:val="24"/>
          </w:rPr>
          <w:t>https://doi.org/10.1057/palgrave.jibs.8491020</w:t>
        </w:r>
      </w:hyperlink>
    </w:p>
    <w:p w14:paraId="78E2805A"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Knittel, Z., Beurer, K., &amp; Berndt, A. (2016). Brand avoidance among Generation Y consumers. </w:t>
      </w:r>
      <w:r>
        <w:rPr>
          <w:rFonts w:ascii="Times New Roman" w:hAnsi="Times New Roman" w:cs="Times New Roman"/>
          <w:i/>
          <w:iCs/>
          <w:sz w:val="24"/>
          <w:szCs w:val="24"/>
        </w:rPr>
        <w:t>Qualitative Market Research: An International Journal</w:t>
      </w:r>
      <w:r>
        <w:rPr>
          <w:rFonts w:ascii="Times New Roman" w:hAnsi="Times New Roman" w:cs="Times New Roman"/>
          <w:sz w:val="24"/>
          <w:szCs w:val="24"/>
        </w:rPr>
        <w:t xml:space="preserve">, </w:t>
      </w:r>
      <w:r>
        <w:rPr>
          <w:rFonts w:ascii="Times New Roman" w:hAnsi="Times New Roman" w:cs="Times New Roman"/>
          <w:i/>
          <w:iCs/>
          <w:sz w:val="24"/>
          <w:szCs w:val="24"/>
        </w:rPr>
        <w:t>19</w:t>
      </w:r>
      <w:r>
        <w:rPr>
          <w:rFonts w:ascii="Times New Roman" w:hAnsi="Times New Roman" w:cs="Times New Roman"/>
          <w:sz w:val="24"/>
          <w:szCs w:val="24"/>
        </w:rPr>
        <w:t xml:space="preserve">(1), 27- 43. </w:t>
      </w:r>
      <w:hyperlink r:id="rId55" w:history="1">
        <w:r>
          <w:rPr>
            <w:rStyle w:val="af"/>
            <w:rFonts w:ascii="Times New Roman" w:hAnsi="Times New Roman" w:cs="Times New Roman"/>
            <w:color w:val="auto"/>
            <w:sz w:val="24"/>
            <w:szCs w:val="24"/>
          </w:rPr>
          <w:t>https://doi.org/10.1108/qmr-03-2015-0019</w:t>
        </w:r>
      </w:hyperlink>
    </w:p>
    <w:p w14:paraId="2462FEFF" w14:textId="77777777" w:rsidR="004F5D9D" w:rsidRPr="005F1B2C" w:rsidRDefault="00534E43" w:rsidP="0050632A">
      <w:pPr>
        <w:widowControl w:val="0"/>
        <w:autoSpaceDE w:val="0"/>
        <w:autoSpaceDN w:val="0"/>
        <w:adjustRightInd w:val="0"/>
        <w:spacing w:after="0" w:line="360" w:lineRule="exact"/>
        <w:ind w:left="480" w:hangingChars="200" w:hanging="480"/>
        <w:rPr>
          <w:rStyle w:val="af"/>
          <w:rFonts w:ascii="Times New Roman" w:hAnsi="Times New Roman" w:cs="Times New Roman"/>
          <w:color w:val="auto"/>
          <w:sz w:val="24"/>
          <w:szCs w:val="24"/>
        </w:rPr>
      </w:pPr>
      <w:r>
        <w:rPr>
          <w:rFonts w:ascii="Times New Roman" w:hAnsi="Times New Roman" w:cs="Times New Roman"/>
          <w:sz w:val="24"/>
          <w:szCs w:val="24"/>
        </w:rPr>
        <w:t xml:space="preserve">Kucuk, S. U. (2007). Negative double jeopardy: The role of anti-brand sites on the internet. </w:t>
      </w:r>
      <w:r>
        <w:rPr>
          <w:rFonts w:ascii="Times New Roman" w:hAnsi="Times New Roman" w:cs="Times New Roman"/>
          <w:i/>
          <w:iCs/>
          <w:sz w:val="24"/>
          <w:szCs w:val="24"/>
        </w:rPr>
        <w:t>Journal of Brand Management</w:t>
      </w:r>
      <w:r>
        <w:rPr>
          <w:rFonts w:ascii="Times New Roman" w:hAnsi="Times New Roman" w:cs="Times New Roman"/>
          <w:sz w:val="24"/>
          <w:szCs w:val="24"/>
        </w:rPr>
        <w:t xml:space="preserve">, </w:t>
      </w:r>
      <w:r>
        <w:rPr>
          <w:rFonts w:ascii="Times New Roman" w:hAnsi="Times New Roman" w:cs="Times New Roman"/>
          <w:i/>
          <w:iCs/>
          <w:sz w:val="24"/>
          <w:szCs w:val="24"/>
        </w:rPr>
        <w:t>15</w:t>
      </w:r>
      <w:r>
        <w:rPr>
          <w:rFonts w:ascii="Times New Roman" w:hAnsi="Times New Roman" w:cs="Times New Roman"/>
          <w:sz w:val="24"/>
          <w:szCs w:val="24"/>
        </w:rPr>
        <w:t xml:space="preserve">(3), 209-222. </w:t>
      </w:r>
      <w:hyperlink r:id="rId56" w:history="1">
        <w:r>
          <w:rPr>
            <w:rStyle w:val="af"/>
            <w:rFonts w:ascii="Times New Roman" w:hAnsi="Times New Roman" w:cs="Times New Roman"/>
            <w:color w:val="auto"/>
            <w:sz w:val="24"/>
            <w:szCs w:val="24"/>
          </w:rPr>
          <w:t>https://doi.org/10.1057/palgrave.bm.2550100</w:t>
        </w:r>
      </w:hyperlink>
    </w:p>
    <w:p w14:paraId="04DD51AF" w14:textId="5A5E8808" w:rsidR="004F5D9D" w:rsidRPr="005F1B2C" w:rsidRDefault="00534E43" w:rsidP="0050632A">
      <w:pPr>
        <w:widowControl w:val="0"/>
        <w:autoSpaceDE w:val="0"/>
        <w:autoSpaceDN w:val="0"/>
        <w:adjustRightInd w:val="0"/>
        <w:spacing w:after="0" w:line="360" w:lineRule="exact"/>
        <w:ind w:left="480" w:hangingChars="200" w:hanging="480"/>
        <w:rPr>
          <w:rFonts w:ascii="Times New Roman" w:eastAsia="Segoe UI" w:hAnsi="Times New Roman" w:cs="Times New Roman"/>
          <w:sz w:val="24"/>
          <w:szCs w:val="24"/>
          <w:shd w:val="clear" w:color="auto" w:fill="FFFFFF"/>
        </w:rPr>
      </w:pPr>
      <w:r>
        <w:rPr>
          <w:rFonts w:ascii="Times New Roman" w:eastAsia="Segoe UI" w:hAnsi="Times New Roman" w:cs="Times New Roman"/>
          <w:sz w:val="24"/>
          <w:szCs w:val="24"/>
          <w:shd w:val="clear" w:color="auto" w:fill="FFFFFF"/>
        </w:rPr>
        <w:t xml:space="preserve">Kumar, S., Gupta, U., Singh, A. K., &amp; Singh, A. K. (2023). Artificial </w:t>
      </w:r>
      <w:r w:rsidR="008E0706">
        <w:rPr>
          <w:rFonts w:ascii="Times New Roman" w:eastAsia="Segoe UI" w:hAnsi="Times New Roman" w:cs="Times New Roman"/>
          <w:sz w:val="24"/>
          <w:szCs w:val="24"/>
          <w:shd w:val="clear" w:color="auto" w:fill="FFFFFF"/>
        </w:rPr>
        <w:t>intelligence</w:t>
      </w:r>
      <w:r>
        <w:rPr>
          <w:rFonts w:ascii="Times New Roman" w:eastAsia="Segoe UI" w:hAnsi="Times New Roman" w:cs="Times New Roman"/>
          <w:sz w:val="24"/>
          <w:szCs w:val="24"/>
          <w:shd w:val="clear" w:color="auto" w:fill="FFFFFF"/>
        </w:rPr>
        <w:t xml:space="preserve">: Revolutionizing </w:t>
      </w:r>
      <w:r w:rsidR="008E0706">
        <w:rPr>
          <w:rFonts w:ascii="Times New Roman" w:eastAsia="Segoe UI" w:hAnsi="Times New Roman" w:cs="Times New Roman"/>
          <w:sz w:val="24"/>
          <w:szCs w:val="24"/>
          <w:shd w:val="clear" w:color="auto" w:fill="FFFFFF"/>
        </w:rPr>
        <w:t>cyber security in the digital era</w:t>
      </w:r>
      <w:r>
        <w:rPr>
          <w:rFonts w:ascii="Times New Roman" w:eastAsia="Segoe UI" w:hAnsi="Times New Roman" w:cs="Times New Roman"/>
          <w:sz w:val="24"/>
          <w:szCs w:val="24"/>
          <w:shd w:val="clear" w:color="auto" w:fill="FFFFFF"/>
        </w:rPr>
        <w:t>.</w:t>
      </w:r>
      <w:r w:rsidR="00051D31">
        <w:rPr>
          <w:rFonts w:ascii="Times New Roman" w:eastAsia="Segoe UI" w:hAnsi="Times New Roman" w:cs="Times New Roman"/>
          <w:sz w:val="24"/>
          <w:szCs w:val="24"/>
          <w:shd w:val="clear" w:color="auto" w:fill="FFFFFF"/>
        </w:rPr>
        <w:t xml:space="preserve"> </w:t>
      </w:r>
      <w:r>
        <w:rPr>
          <w:rFonts w:ascii="Times New Roman" w:eastAsia="Segoe UI" w:hAnsi="Times New Roman" w:cs="Times New Roman"/>
          <w:i/>
          <w:iCs/>
          <w:sz w:val="24"/>
          <w:szCs w:val="24"/>
          <w:shd w:val="clear" w:color="auto" w:fill="FFFFFF"/>
        </w:rPr>
        <w:t>Journal of Computers, Mechanical and Management</w:t>
      </w:r>
      <w:r>
        <w:rPr>
          <w:rFonts w:ascii="Times New Roman" w:eastAsia="Segoe UI" w:hAnsi="Times New Roman" w:cs="Times New Roman"/>
          <w:sz w:val="24"/>
          <w:szCs w:val="24"/>
          <w:shd w:val="clear" w:color="auto" w:fill="FFFFFF"/>
        </w:rPr>
        <w:t>,</w:t>
      </w:r>
      <w:r w:rsidR="00051D31">
        <w:rPr>
          <w:rFonts w:ascii="Times New Roman" w:eastAsia="Segoe UI" w:hAnsi="Times New Roman" w:cs="Times New Roman"/>
          <w:sz w:val="24"/>
          <w:szCs w:val="24"/>
          <w:shd w:val="clear" w:color="auto" w:fill="FFFFFF"/>
        </w:rPr>
        <w:t xml:space="preserve"> </w:t>
      </w:r>
      <w:r>
        <w:rPr>
          <w:rFonts w:ascii="Times New Roman" w:eastAsia="Segoe UI" w:hAnsi="Times New Roman" w:cs="Times New Roman"/>
          <w:i/>
          <w:iCs/>
          <w:sz w:val="24"/>
          <w:szCs w:val="24"/>
          <w:shd w:val="clear" w:color="auto" w:fill="FFFFFF"/>
        </w:rPr>
        <w:t>2</w:t>
      </w:r>
      <w:r>
        <w:rPr>
          <w:rFonts w:ascii="Times New Roman" w:eastAsia="Segoe UI" w:hAnsi="Times New Roman" w:cs="Times New Roman"/>
          <w:sz w:val="24"/>
          <w:szCs w:val="24"/>
          <w:shd w:val="clear" w:color="auto" w:fill="FFFFFF"/>
        </w:rPr>
        <w:t xml:space="preserve">(3), 31–42. </w:t>
      </w:r>
      <w:r w:rsidRPr="005D5C32">
        <w:rPr>
          <w:rStyle w:val="af"/>
          <w:rFonts w:ascii="Times New Roman" w:hAnsi="Times New Roman" w:cs="Times New Roman"/>
          <w:color w:val="auto"/>
          <w:sz w:val="24"/>
          <w:szCs w:val="24"/>
        </w:rPr>
        <w:t>https://doi.org/10.57159/gadl.jcmm.2.3.23064</w:t>
      </w:r>
    </w:p>
    <w:p w14:paraId="39936045"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Lazarevic, V. (2012). Encouraging brand loyalty in fickle Generation Y consumers. </w:t>
      </w:r>
      <w:r>
        <w:rPr>
          <w:rFonts w:ascii="Times New Roman" w:hAnsi="Times New Roman" w:cs="Times New Roman"/>
          <w:i/>
          <w:iCs/>
          <w:sz w:val="24"/>
          <w:szCs w:val="24"/>
        </w:rPr>
        <w:t>Young Consumers</w:t>
      </w:r>
      <w:r>
        <w:rPr>
          <w:rFonts w:ascii="Times New Roman" w:hAnsi="Times New Roman" w:cs="Times New Roman"/>
          <w:sz w:val="24"/>
          <w:szCs w:val="24"/>
        </w:rPr>
        <w:t xml:space="preserve">, </w:t>
      </w:r>
      <w:r>
        <w:rPr>
          <w:rFonts w:ascii="Times New Roman" w:hAnsi="Times New Roman" w:cs="Times New Roman"/>
          <w:i/>
          <w:iCs/>
          <w:sz w:val="24"/>
          <w:szCs w:val="24"/>
        </w:rPr>
        <w:t>13</w:t>
      </w:r>
      <w:r>
        <w:rPr>
          <w:rFonts w:ascii="Times New Roman" w:hAnsi="Times New Roman" w:cs="Times New Roman"/>
          <w:sz w:val="24"/>
          <w:szCs w:val="24"/>
        </w:rPr>
        <w:t xml:space="preserve">(1), 45–61. </w:t>
      </w:r>
      <w:hyperlink r:id="rId57" w:history="1">
        <w:r>
          <w:rPr>
            <w:rStyle w:val="af"/>
            <w:rFonts w:ascii="Times New Roman" w:hAnsi="Times New Roman" w:cs="Times New Roman"/>
            <w:color w:val="auto"/>
            <w:sz w:val="24"/>
            <w:szCs w:val="24"/>
          </w:rPr>
          <w:t>https://doi.org/10.1108/17473611211203939</w:t>
        </w:r>
      </w:hyperlink>
    </w:p>
    <w:p w14:paraId="65E10BA9"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Lee, M. S., Motion, J., &amp; Conroy, D. (2009). Anti-consumption and brand avoidance. </w:t>
      </w:r>
      <w:r>
        <w:rPr>
          <w:rFonts w:ascii="Times New Roman" w:hAnsi="Times New Roman" w:cs="Times New Roman"/>
          <w:i/>
          <w:iCs/>
          <w:sz w:val="24"/>
          <w:szCs w:val="24"/>
        </w:rPr>
        <w:t>Journal of Business Research</w:t>
      </w:r>
      <w:r>
        <w:rPr>
          <w:rFonts w:ascii="Times New Roman" w:hAnsi="Times New Roman" w:cs="Times New Roman"/>
          <w:sz w:val="24"/>
          <w:szCs w:val="24"/>
        </w:rPr>
        <w:t xml:space="preserve">, </w:t>
      </w:r>
      <w:r>
        <w:rPr>
          <w:rFonts w:ascii="Times New Roman" w:hAnsi="Times New Roman" w:cs="Times New Roman"/>
          <w:i/>
          <w:iCs/>
          <w:sz w:val="24"/>
          <w:szCs w:val="24"/>
        </w:rPr>
        <w:t>62</w:t>
      </w:r>
      <w:r>
        <w:rPr>
          <w:rFonts w:ascii="Times New Roman" w:hAnsi="Times New Roman" w:cs="Times New Roman"/>
          <w:sz w:val="24"/>
          <w:szCs w:val="24"/>
        </w:rPr>
        <w:t xml:space="preserve">(2), 169–180. </w:t>
      </w:r>
      <w:hyperlink r:id="rId58" w:history="1">
        <w:r>
          <w:rPr>
            <w:rStyle w:val="af"/>
            <w:rFonts w:ascii="Times New Roman" w:hAnsi="Times New Roman" w:cs="Times New Roman"/>
            <w:color w:val="auto"/>
            <w:sz w:val="24"/>
            <w:szCs w:val="24"/>
          </w:rPr>
          <w:t>https://doi.org/10.1016/j.jbusres.2008.01.024</w:t>
        </w:r>
      </w:hyperlink>
    </w:p>
    <w:p w14:paraId="05892F03" w14:textId="5B901432"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Logical Harmony</w:t>
      </w:r>
      <w:r w:rsidR="003239FC">
        <w:rPr>
          <w:rFonts w:ascii="Times New Roman" w:hAnsi="Times New Roman" w:cs="Times New Roman"/>
          <w:sz w:val="24"/>
          <w:szCs w:val="24"/>
        </w:rPr>
        <w:t>.</w:t>
      </w:r>
      <w:r>
        <w:rPr>
          <w:rFonts w:ascii="Times New Roman" w:hAnsi="Times New Roman" w:cs="Times New Roman"/>
          <w:sz w:val="24"/>
          <w:szCs w:val="24"/>
        </w:rPr>
        <w:t xml:space="preserve"> (2018)</w:t>
      </w:r>
      <w:r w:rsidR="00A15341">
        <w:rPr>
          <w:rFonts w:ascii="Times New Roman" w:hAnsi="Times New Roman" w:cs="Times New Roman"/>
          <w:sz w:val="24"/>
          <w:szCs w:val="24"/>
        </w:rPr>
        <w:t xml:space="preserve">. </w:t>
      </w:r>
      <w:r>
        <w:rPr>
          <w:rFonts w:ascii="Times New Roman" w:hAnsi="Times New Roman" w:cs="Times New Roman"/>
          <w:sz w:val="24"/>
          <w:szCs w:val="24"/>
        </w:rPr>
        <w:t>Brands to avoid (brands that are not cruelty-free)</w:t>
      </w:r>
      <w:r w:rsidR="003E6676">
        <w:rPr>
          <w:rFonts w:ascii="Times New Roman" w:hAnsi="Times New Roman" w:cs="Times New Roman"/>
          <w:sz w:val="24"/>
          <w:szCs w:val="24"/>
        </w:rPr>
        <w:t xml:space="preserve">. </w:t>
      </w:r>
      <w:r w:rsidR="003E6676" w:rsidRPr="003E6676">
        <w:rPr>
          <w:rFonts w:ascii="Times New Roman" w:hAnsi="Times New Roman" w:cs="Times New Roman"/>
          <w:i/>
          <w:iCs/>
          <w:sz w:val="24"/>
          <w:szCs w:val="24"/>
        </w:rPr>
        <w:t>Logical Harmony.</w:t>
      </w:r>
      <w:r w:rsidR="003E6676">
        <w:rPr>
          <w:rFonts w:ascii="Times New Roman" w:hAnsi="Times New Roman" w:cs="Times New Roman"/>
          <w:sz w:val="24"/>
          <w:szCs w:val="24"/>
        </w:rPr>
        <w:t xml:space="preserve"> </w:t>
      </w:r>
      <w:r>
        <w:rPr>
          <w:rFonts w:ascii="Times New Roman" w:hAnsi="Times New Roman" w:cs="Times New Roman"/>
          <w:sz w:val="24"/>
          <w:szCs w:val="24"/>
        </w:rPr>
        <w:t>https://logicalharmony.net/ cruelty-free-brand-list-brands-to-avoid</w:t>
      </w:r>
    </w:p>
    <w:p w14:paraId="7ADD26AE"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MacCallum, R. C., &amp; Browne, M. W. (1993). The use of causal indicators in covariance structure models: Some practical issues. </w:t>
      </w:r>
      <w:r>
        <w:rPr>
          <w:rFonts w:ascii="Times New Roman" w:hAnsi="Times New Roman" w:cs="Times New Roman"/>
          <w:i/>
          <w:iCs/>
          <w:sz w:val="24"/>
          <w:szCs w:val="24"/>
        </w:rPr>
        <w:t>Psychological Bulletin</w:t>
      </w:r>
      <w:r>
        <w:rPr>
          <w:rFonts w:ascii="Times New Roman" w:hAnsi="Times New Roman" w:cs="Times New Roman"/>
          <w:sz w:val="24"/>
          <w:szCs w:val="24"/>
        </w:rPr>
        <w:t xml:space="preserve">, </w:t>
      </w:r>
      <w:r>
        <w:rPr>
          <w:rFonts w:ascii="Times New Roman" w:hAnsi="Times New Roman" w:cs="Times New Roman"/>
          <w:i/>
          <w:iCs/>
          <w:sz w:val="24"/>
          <w:szCs w:val="24"/>
        </w:rPr>
        <w:t>114</w:t>
      </w:r>
      <w:r>
        <w:rPr>
          <w:rFonts w:ascii="Times New Roman" w:hAnsi="Times New Roman" w:cs="Times New Roman"/>
          <w:sz w:val="24"/>
          <w:szCs w:val="24"/>
        </w:rPr>
        <w:t xml:space="preserve">(3), 533–541. </w:t>
      </w:r>
      <w:hyperlink r:id="rId59" w:history="1">
        <w:r>
          <w:rPr>
            <w:rStyle w:val="af"/>
            <w:rFonts w:ascii="Times New Roman" w:hAnsi="Times New Roman" w:cs="Times New Roman"/>
            <w:color w:val="auto"/>
            <w:sz w:val="24"/>
            <w:szCs w:val="24"/>
          </w:rPr>
          <w:t>https://doi.org/10.1037//0033-2909.114.3.533</w:t>
        </w:r>
      </w:hyperlink>
    </w:p>
    <w:p w14:paraId="1121E1F1"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MacKenzie, S. B., Podsakoff, P. M., &amp; Jarvis, C. B. (2005). The problem of measurement model Misspecification in behavioral and organizational research and some recommended solutions. </w:t>
      </w:r>
      <w:r>
        <w:rPr>
          <w:rFonts w:ascii="Times New Roman" w:hAnsi="Times New Roman" w:cs="Times New Roman"/>
          <w:i/>
          <w:iCs/>
          <w:sz w:val="24"/>
          <w:szCs w:val="24"/>
        </w:rPr>
        <w:t>Journal of Applied Psychology</w:t>
      </w:r>
      <w:r>
        <w:rPr>
          <w:rFonts w:ascii="Times New Roman" w:hAnsi="Times New Roman" w:cs="Times New Roman"/>
          <w:sz w:val="24"/>
          <w:szCs w:val="24"/>
        </w:rPr>
        <w:t xml:space="preserve">, </w:t>
      </w:r>
      <w:r>
        <w:rPr>
          <w:rFonts w:ascii="Times New Roman" w:hAnsi="Times New Roman" w:cs="Times New Roman"/>
          <w:i/>
          <w:iCs/>
          <w:sz w:val="24"/>
          <w:szCs w:val="24"/>
        </w:rPr>
        <w:t>90</w:t>
      </w:r>
      <w:r>
        <w:rPr>
          <w:rFonts w:ascii="Times New Roman" w:hAnsi="Times New Roman" w:cs="Times New Roman"/>
          <w:sz w:val="24"/>
          <w:szCs w:val="24"/>
        </w:rPr>
        <w:t xml:space="preserve">(4), 710–730. </w:t>
      </w:r>
      <w:hyperlink r:id="rId60" w:history="1">
        <w:r>
          <w:rPr>
            <w:rStyle w:val="af"/>
            <w:rFonts w:ascii="Times New Roman" w:hAnsi="Times New Roman" w:cs="Times New Roman"/>
            <w:color w:val="auto"/>
            <w:sz w:val="24"/>
            <w:szCs w:val="24"/>
          </w:rPr>
          <w:t>https://doi.org/10.1037/0021-9010.90.4.710</w:t>
        </w:r>
      </w:hyperlink>
    </w:p>
    <w:p w14:paraId="5BE5906C"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Markus, H., &amp; Nurius, P. (1986). Possible selves. American psychologist, 41(9), 954.</w:t>
      </w:r>
    </w:p>
    <w:p w14:paraId="10E27014" w14:textId="77777777" w:rsidR="00F80333" w:rsidRDefault="00534E43">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McAlexander, J. H., &amp; Schouten, J. W. (1998). Brandfests: Servicescapes for the cultivation of brand equity. In J. F. Sherry, Jr. (Ed.), </w:t>
      </w:r>
      <w:r>
        <w:rPr>
          <w:rFonts w:ascii="Times New Roman" w:hAnsi="Times New Roman" w:cs="Times New Roman"/>
          <w:i/>
          <w:iCs/>
          <w:sz w:val="24"/>
          <w:szCs w:val="24"/>
        </w:rPr>
        <w:t>Servicescapes: The concept of place in contemporary markets</w:t>
      </w:r>
      <w:r>
        <w:rPr>
          <w:rFonts w:ascii="Times New Roman" w:hAnsi="Times New Roman" w:cs="Times New Roman"/>
          <w:sz w:val="24"/>
          <w:szCs w:val="24"/>
        </w:rPr>
        <w:t xml:space="preserve"> (pp. 377–402). NTC Business Books.</w:t>
      </w:r>
    </w:p>
    <w:p w14:paraId="59F277DF"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Moscovici, S., &amp; Markov</w:t>
      </w:r>
      <w:r>
        <w:rPr>
          <w:rFonts w:ascii="Times New Roman" w:hAnsi="Times New Roman" w:cs="Times New Roman" w:hint="eastAsia"/>
          <w:sz w:val="24"/>
          <w:szCs w:val="24"/>
          <w:lang w:eastAsia="zh-TW"/>
        </w:rPr>
        <w:t>a</w:t>
      </w:r>
      <w:r>
        <w:rPr>
          <w:rFonts w:ascii="Times New Roman" w:hAnsi="Times New Roman" w:cs="Times New Roman"/>
          <w:sz w:val="24"/>
          <w:szCs w:val="24"/>
        </w:rPr>
        <w:t xml:space="preserve">, I. (1998). Presenting social representations: A conversation. </w:t>
      </w:r>
      <w:r>
        <w:rPr>
          <w:rFonts w:ascii="Times New Roman" w:hAnsi="Times New Roman" w:cs="Times New Roman"/>
          <w:i/>
          <w:iCs/>
          <w:sz w:val="24"/>
          <w:szCs w:val="24"/>
        </w:rPr>
        <w:t>Culture &amp; Psychology</w:t>
      </w:r>
      <w:r>
        <w:rPr>
          <w:rFonts w:ascii="Times New Roman" w:hAnsi="Times New Roman" w:cs="Times New Roman"/>
          <w:sz w:val="24"/>
          <w:szCs w:val="24"/>
        </w:rPr>
        <w:t xml:space="preserve">, </w:t>
      </w:r>
      <w:r>
        <w:rPr>
          <w:rFonts w:ascii="Times New Roman" w:hAnsi="Times New Roman" w:cs="Times New Roman"/>
          <w:i/>
          <w:iCs/>
          <w:sz w:val="24"/>
          <w:szCs w:val="24"/>
        </w:rPr>
        <w:t>4</w:t>
      </w:r>
      <w:r>
        <w:rPr>
          <w:rFonts w:ascii="Times New Roman" w:hAnsi="Times New Roman" w:cs="Times New Roman"/>
          <w:sz w:val="24"/>
          <w:szCs w:val="24"/>
        </w:rPr>
        <w:t xml:space="preserve">(3), 371–410. </w:t>
      </w:r>
      <w:hyperlink r:id="rId61" w:history="1">
        <w:r>
          <w:rPr>
            <w:rStyle w:val="af"/>
            <w:rFonts w:ascii="Times New Roman" w:hAnsi="Times New Roman" w:cs="Times New Roman"/>
            <w:color w:val="auto"/>
            <w:sz w:val="24"/>
            <w:szCs w:val="24"/>
          </w:rPr>
          <w:t>https://doi.org/10.1177/1354067x9800400305</w:t>
        </w:r>
      </w:hyperlink>
    </w:p>
    <w:p w14:paraId="45ED803A"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Narteh, B., Odoom, R., Braimah, M., &amp; Buame, S. (2012). Key drivers of automobile brand choice in sub-Saharan Africa: The case of Ghana. </w:t>
      </w:r>
      <w:r>
        <w:rPr>
          <w:rFonts w:ascii="Times New Roman" w:hAnsi="Times New Roman" w:cs="Times New Roman"/>
          <w:i/>
          <w:iCs/>
          <w:sz w:val="24"/>
          <w:szCs w:val="24"/>
        </w:rPr>
        <w:t>Journal of Product &amp; Brand Management</w:t>
      </w:r>
      <w:r>
        <w:rPr>
          <w:rFonts w:ascii="Times New Roman" w:hAnsi="Times New Roman" w:cs="Times New Roman"/>
          <w:sz w:val="24"/>
          <w:szCs w:val="24"/>
        </w:rPr>
        <w:t xml:space="preserve">, </w:t>
      </w:r>
      <w:r>
        <w:rPr>
          <w:rFonts w:ascii="Times New Roman" w:hAnsi="Times New Roman" w:cs="Times New Roman"/>
          <w:i/>
          <w:iCs/>
          <w:sz w:val="24"/>
          <w:szCs w:val="24"/>
        </w:rPr>
        <w:t>21</w:t>
      </w:r>
      <w:r>
        <w:rPr>
          <w:rFonts w:ascii="Times New Roman" w:hAnsi="Times New Roman" w:cs="Times New Roman"/>
          <w:sz w:val="24"/>
          <w:szCs w:val="24"/>
        </w:rPr>
        <w:t xml:space="preserve">(7), 516–528. </w:t>
      </w:r>
      <w:hyperlink r:id="rId62" w:history="1">
        <w:r>
          <w:rPr>
            <w:rStyle w:val="af"/>
            <w:rFonts w:ascii="Times New Roman" w:hAnsi="Times New Roman" w:cs="Times New Roman"/>
            <w:color w:val="auto"/>
            <w:sz w:val="24"/>
            <w:szCs w:val="24"/>
          </w:rPr>
          <w:t>https://doi.org/10.1108/10610421211276268</w:t>
        </w:r>
      </w:hyperlink>
    </w:p>
    <w:p w14:paraId="435CFF38" w14:textId="77777777" w:rsidR="004F5D9D" w:rsidRPr="005F1B2C" w:rsidRDefault="00822E2C" w:rsidP="0050632A">
      <w:pPr>
        <w:widowControl w:val="0"/>
        <w:autoSpaceDE w:val="0"/>
        <w:autoSpaceDN w:val="0"/>
        <w:adjustRightInd w:val="0"/>
        <w:spacing w:after="0" w:line="360" w:lineRule="exact"/>
        <w:ind w:left="440" w:hangingChars="200" w:hanging="440"/>
        <w:rPr>
          <w:rFonts w:ascii="Times New Roman" w:hAnsi="Times New Roman" w:cs="Times New Roman"/>
          <w:sz w:val="24"/>
          <w:szCs w:val="24"/>
        </w:rPr>
      </w:pPr>
      <w:hyperlink r:id="rId63" w:history="1"/>
      <w:proofErr w:type="spellStart"/>
      <w:r w:rsidR="007401F3">
        <w:rPr>
          <w:rFonts w:ascii="Times New Roman" w:eastAsia="SimSun" w:hAnsi="Times New Roman" w:cs="Times New Roman"/>
          <w:sz w:val="24"/>
          <w:szCs w:val="24"/>
          <w:shd w:val="clear" w:color="auto" w:fill="FFFFFF"/>
        </w:rPr>
        <w:t>Odoom</w:t>
      </w:r>
      <w:proofErr w:type="spellEnd"/>
      <w:r w:rsidR="007401F3">
        <w:rPr>
          <w:rFonts w:ascii="Times New Roman" w:eastAsia="SimSun" w:hAnsi="Times New Roman" w:cs="Times New Roman"/>
          <w:sz w:val="24"/>
          <w:szCs w:val="24"/>
          <w:shd w:val="clear" w:color="auto" w:fill="FFFFFF"/>
        </w:rPr>
        <w:t>,</w:t>
      </w:r>
      <w:r w:rsidR="00051D31">
        <w:rPr>
          <w:rFonts w:ascii="Times New Roman" w:eastAsia="SimSun" w:hAnsi="Times New Roman" w:cs="Times New Roman"/>
          <w:sz w:val="24"/>
          <w:szCs w:val="24"/>
          <w:shd w:val="clear" w:color="auto" w:fill="FFFFFF"/>
        </w:rPr>
        <w:t xml:space="preserve"> </w:t>
      </w:r>
      <w:r w:rsidR="007401F3">
        <w:rPr>
          <w:rFonts w:ascii="Times New Roman" w:eastAsia="SimSun" w:hAnsi="Times New Roman" w:cs="Times New Roman"/>
          <w:sz w:val="24"/>
          <w:szCs w:val="24"/>
          <w:shd w:val="clear" w:color="auto" w:fill="FFFFFF"/>
        </w:rPr>
        <w:t>R., Kosiba,</w:t>
      </w:r>
      <w:r w:rsidR="00051D31">
        <w:rPr>
          <w:rFonts w:ascii="Times New Roman" w:eastAsia="SimSun" w:hAnsi="Times New Roman" w:cs="Times New Roman"/>
          <w:sz w:val="24"/>
          <w:szCs w:val="24"/>
          <w:shd w:val="clear" w:color="auto" w:fill="FFFFFF"/>
        </w:rPr>
        <w:t xml:space="preserve"> </w:t>
      </w:r>
      <w:r w:rsidR="007401F3">
        <w:rPr>
          <w:rFonts w:ascii="Times New Roman" w:eastAsia="SimSun" w:hAnsi="Times New Roman" w:cs="Times New Roman"/>
          <w:sz w:val="24"/>
          <w:szCs w:val="24"/>
          <w:shd w:val="clear" w:color="auto" w:fill="FFFFFF"/>
        </w:rPr>
        <w:t>J.</w:t>
      </w:r>
      <w:r w:rsidR="00051D31">
        <w:rPr>
          <w:rFonts w:ascii="Times New Roman" w:eastAsia="SimSun" w:hAnsi="Times New Roman" w:cs="Times New Roman"/>
          <w:sz w:val="24"/>
          <w:szCs w:val="24"/>
          <w:shd w:val="clear" w:color="auto" w:fill="FFFFFF"/>
        </w:rPr>
        <w:t xml:space="preserve"> </w:t>
      </w:r>
      <w:r w:rsidR="007401F3">
        <w:rPr>
          <w:rFonts w:ascii="Times New Roman" w:eastAsia="SimSun" w:hAnsi="Times New Roman" w:cs="Times New Roman"/>
          <w:sz w:val="24"/>
          <w:szCs w:val="24"/>
          <w:shd w:val="clear" w:color="auto" w:fill="FFFFFF"/>
        </w:rPr>
        <w:t>P., Djamgbah,</w:t>
      </w:r>
      <w:r w:rsidR="00051D31">
        <w:rPr>
          <w:rFonts w:ascii="Times New Roman" w:eastAsia="SimSun" w:hAnsi="Times New Roman" w:cs="Times New Roman"/>
          <w:sz w:val="24"/>
          <w:szCs w:val="24"/>
          <w:shd w:val="clear" w:color="auto" w:fill="FFFFFF"/>
        </w:rPr>
        <w:t xml:space="preserve"> </w:t>
      </w:r>
      <w:r w:rsidR="007401F3">
        <w:rPr>
          <w:rFonts w:ascii="Times New Roman" w:eastAsia="SimSun" w:hAnsi="Times New Roman" w:cs="Times New Roman"/>
          <w:sz w:val="24"/>
          <w:szCs w:val="24"/>
          <w:shd w:val="clear" w:color="auto" w:fill="FFFFFF"/>
        </w:rPr>
        <w:t>C.</w:t>
      </w:r>
      <w:r w:rsidR="00051D31">
        <w:rPr>
          <w:rFonts w:ascii="Times New Roman" w:eastAsia="SimSun" w:hAnsi="Times New Roman" w:cs="Times New Roman"/>
          <w:sz w:val="24"/>
          <w:szCs w:val="24"/>
          <w:shd w:val="clear" w:color="auto" w:fill="FFFFFF"/>
        </w:rPr>
        <w:t xml:space="preserve"> </w:t>
      </w:r>
      <w:r w:rsidR="007401F3">
        <w:rPr>
          <w:rFonts w:ascii="Times New Roman" w:eastAsia="SimSun" w:hAnsi="Times New Roman" w:cs="Times New Roman"/>
          <w:sz w:val="24"/>
          <w:szCs w:val="24"/>
          <w:shd w:val="clear" w:color="auto" w:fill="FFFFFF"/>
        </w:rPr>
        <w:t>T., &amp; Narh,</w:t>
      </w:r>
      <w:r w:rsidR="00051D31">
        <w:rPr>
          <w:rFonts w:ascii="Times New Roman" w:eastAsia="SimSun" w:hAnsi="Times New Roman" w:cs="Times New Roman"/>
          <w:sz w:val="24"/>
          <w:szCs w:val="24"/>
          <w:shd w:val="clear" w:color="auto" w:fill="FFFFFF"/>
        </w:rPr>
        <w:t xml:space="preserve"> </w:t>
      </w:r>
      <w:r w:rsidR="007401F3">
        <w:rPr>
          <w:rFonts w:ascii="Times New Roman" w:eastAsia="SimSun" w:hAnsi="Times New Roman" w:cs="Times New Roman"/>
          <w:sz w:val="24"/>
          <w:szCs w:val="24"/>
          <w:shd w:val="clear" w:color="auto" w:fill="FFFFFF"/>
        </w:rPr>
        <w:t>L. (2019). Brand avoidance: Underlying protocols and a practical scale.</w:t>
      </w:r>
      <w:r w:rsidR="00051D31">
        <w:rPr>
          <w:rFonts w:ascii="Times New Roman" w:eastAsia="SimSun" w:hAnsi="Times New Roman" w:cs="Times New Roman"/>
          <w:sz w:val="24"/>
          <w:szCs w:val="24"/>
          <w:shd w:val="clear" w:color="auto" w:fill="FFFFFF"/>
        </w:rPr>
        <w:t xml:space="preserve"> </w:t>
      </w:r>
      <w:r w:rsidR="007401F3">
        <w:rPr>
          <w:rStyle w:val="aa"/>
          <w:rFonts w:ascii="Times New Roman" w:eastAsia="SimSun" w:hAnsi="Times New Roman" w:cs="Times New Roman"/>
          <w:sz w:val="24"/>
          <w:szCs w:val="24"/>
          <w:shd w:val="clear" w:color="auto" w:fill="FFFFFF"/>
        </w:rPr>
        <w:t>Journal of Product &amp; Brand Management</w:t>
      </w:r>
      <w:r w:rsidR="007401F3">
        <w:rPr>
          <w:rFonts w:ascii="Times New Roman" w:eastAsia="SimSun" w:hAnsi="Times New Roman" w:cs="Times New Roman"/>
          <w:sz w:val="24"/>
          <w:szCs w:val="24"/>
          <w:shd w:val="clear" w:color="auto" w:fill="FFFFFF"/>
        </w:rPr>
        <w:t>,</w:t>
      </w:r>
      <w:r w:rsidR="00051D31">
        <w:rPr>
          <w:rFonts w:ascii="Times New Roman" w:eastAsia="SimSun" w:hAnsi="Times New Roman" w:cs="Times New Roman"/>
          <w:sz w:val="24"/>
          <w:szCs w:val="24"/>
          <w:shd w:val="clear" w:color="auto" w:fill="FFFFFF"/>
        </w:rPr>
        <w:t xml:space="preserve"> </w:t>
      </w:r>
      <w:r w:rsidR="007401F3">
        <w:rPr>
          <w:rStyle w:val="aa"/>
          <w:rFonts w:ascii="Times New Roman" w:eastAsia="SimSun" w:hAnsi="Times New Roman" w:cs="Times New Roman"/>
          <w:sz w:val="24"/>
          <w:szCs w:val="24"/>
          <w:shd w:val="clear" w:color="auto" w:fill="FFFFFF"/>
        </w:rPr>
        <w:t>28</w:t>
      </w:r>
      <w:r w:rsidR="007401F3">
        <w:rPr>
          <w:rFonts w:ascii="Times New Roman" w:eastAsia="SimSun" w:hAnsi="Times New Roman" w:cs="Times New Roman"/>
          <w:sz w:val="24"/>
          <w:szCs w:val="24"/>
          <w:shd w:val="clear" w:color="auto" w:fill="FFFFFF"/>
        </w:rPr>
        <w:t xml:space="preserve">(5), 586–597. </w:t>
      </w:r>
      <w:hyperlink r:id="rId64" w:history="1">
        <w:r w:rsidR="007401F3" w:rsidRPr="005D5C32">
          <w:rPr>
            <w:rStyle w:val="af"/>
            <w:rFonts w:ascii="Times New Roman" w:hAnsi="Times New Roman" w:cs="Times New Roman"/>
            <w:color w:val="auto"/>
            <w:sz w:val="24"/>
            <w:szCs w:val="24"/>
          </w:rPr>
          <w:t>https://doi.org/10.1108/jpbm-03-2018-1777</w:t>
        </w:r>
      </w:hyperlink>
    </w:p>
    <w:p w14:paraId="61B7F27D" w14:textId="77777777" w:rsidR="00F80333" w:rsidRDefault="00534E43">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Ogilvie, D. M. (1987). The undesired self: A neglected variable in personality research. </w:t>
      </w:r>
      <w:r>
        <w:rPr>
          <w:rFonts w:ascii="Times New Roman" w:hAnsi="Times New Roman" w:cs="Times New Roman"/>
          <w:i/>
          <w:iCs/>
          <w:sz w:val="24"/>
          <w:szCs w:val="24"/>
        </w:rPr>
        <w:t>Journal of Personality and Social Psychology</w:t>
      </w:r>
      <w:r>
        <w:rPr>
          <w:rFonts w:ascii="Times New Roman" w:hAnsi="Times New Roman" w:cs="Times New Roman"/>
          <w:sz w:val="24"/>
          <w:szCs w:val="24"/>
        </w:rPr>
        <w:t xml:space="preserve">, </w:t>
      </w:r>
      <w:r>
        <w:rPr>
          <w:rFonts w:ascii="Times New Roman" w:hAnsi="Times New Roman" w:cs="Times New Roman"/>
          <w:i/>
          <w:iCs/>
          <w:sz w:val="24"/>
          <w:szCs w:val="24"/>
        </w:rPr>
        <w:t>52</w:t>
      </w:r>
      <w:r>
        <w:rPr>
          <w:rFonts w:ascii="Times New Roman" w:hAnsi="Times New Roman" w:cs="Times New Roman"/>
          <w:sz w:val="24"/>
          <w:szCs w:val="24"/>
        </w:rPr>
        <w:t xml:space="preserve">(2), 379–385. </w:t>
      </w:r>
      <w:r w:rsidRPr="005D5C32">
        <w:rPr>
          <w:rStyle w:val="af"/>
          <w:rFonts w:ascii="Times New Roman" w:hAnsi="Times New Roman" w:cs="Times New Roman"/>
          <w:color w:val="auto"/>
          <w:sz w:val="24"/>
          <w:szCs w:val="24"/>
        </w:rPr>
        <w:t>https://doi.org/10.1037/0022-3514.52.2.379</w:t>
      </w:r>
    </w:p>
    <w:p w14:paraId="68DE9BDF"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Oliva, T. A., Oliver, R. L., &amp; MacMillan, I. C. (1992). A catastrophe model for developing service satisfaction strategies. </w:t>
      </w:r>
      <w:r>
        <w:rPr>
          <w:rFonts w:ascii="Times New Roman" w:hAnsi="Times New Roman" w:cs="Times New Roman"/>
          <w:i/>
          <w:iCs/>
          <w:sz w:val="24"/>
          <w:szCs w:val="24"/>
        </w:rPr>
        <w:t>Journal of Marketing</w:t>
      </w:r>
      <w:r>
        <w:rPr>
          <w:rFonts w:ascii="Times New Roman" w:hAnsi="Times New Roman" w:cs="Times New Roman"/>
          <w:sz w:val="24"/>
          <w:szCs w:val="24"/>
        </w:rPr>
        <w:t xml:space="preserve">, </w:t>
      </w:r>
      <w:r>
        <w:rPr>
          <w:rFonts w:ascii="Times New Roman" w:hAnsi="Times New Roman" w:cs="Times New Roman"/>
          <w:i/>
          <w:iCs/>
          <w:sz w:val="24"/>
          <w:szCs w:val="24"/>
        </w:rPr>
        <w:t>56</w:t>
      </w:r>
      <w:r>
        <w:rPr>
          <w:rFonts w:ascii="Times New Roman" w:hAnsi="Times New Roman" w:cs="Times New Roman"/>
          <w:sz w:val="24"/>
          <w:szCs w:val="24"/>
        </w:rPr>
        <w:t xml:space="preserve">(3), 83. </w:t>
      </w:r>
      <w:hyperlink r:id="rId65" w:history="1">
        <w:r>
          <w:rPr>
            <w:rStyle w:val="af"/>
            <w:rFonts w:ascii="Times New Roman" w:hAnsi="Times New Roman" w:cs="Times New Roman"/>
            <w:color w:val="auto"/>
            <w:sz w:val="24"/>
            <w:szCs w:val="24"/>
          </w:rPr>
          <w:t>https://doi.org/10.2307/1252298</w:t>
        </w:r>
      </w:hyperlink>
    </w:p>
    <w:p w14:paraId="3F0E9A85" w14:textId="77777777" w:rsidR="004F5D9D" w:rsidRPr="005F1B2C" w:rsidRDefault="00822E2C" w:rsidP="0050632A">
      <w:pPr>
        <w:widowControl w:val="0"/>
        <w:autoSpaceDE w:val="0"/>
        <w:autoSpaceDN w:val="0"/>
        <w:adjustRightInd w:val="0"/>
        <w:spacing w:after="0" w:line="360" w:lineRule="exact"/>
        <w:ind w:left="440" w:hangingChars="200" w:hanging="440"/>
        <w:rPr>
          <w:rFonts w:ascii="Times New Roman" w:eastAsia="SimSun" w:hAnsi="Times New Roman" w:cs="Times New Roman"/>
          <w:sz w:val="24"/>
          <w:szCs w:val="24"/>
          <w:shd w:val="clear" w:color="auto" w:fill="FFFFFF"/>
        </w:rPr>
      </w:pPr>
      <w:hyperlink r:id="rId66" w:history="1"/>
      <w:proofErr w:type="spellStart"/>
      <w:r w:rsidR="007401F3">
        <w:rPr>
          <w:rFonts w:ascii="Times New Roman" w:eastAsia="SimSun" w:hAnsi="Times New Roman" w:cs="Times New Roman"/>
          <w:sz w:val="24"/>
          <w:szCs w:val="24"/>
          <w:shd w:val="clear" w:color="auto" w:fill="FFFFFF"/>
        </w:rPr>
        <w:t>Otoo</w:t>
      </w:r>
      <w:proofErr w:type="spellEnd"/>
      <w:r w:rsidR="007401F3">
        <w:rPr>
          <w:rFonts w:ascii="Times New Roman" w:eastAsia="SimSun" w:hAnsi="Times New Roman" w:cs="Times New Roman"/>
          <w:sz w:val="24"/>
          <w:szCs w:val="24"/>
          <w:shd w:val="clear" w:color="auto" w:fill="FFFFFF"/>
        </w:rPr>
        <w:t>,</w:t>
      </w:r>
      <w:r w:rsidR="00051D31">
        <w:rPr>
          <w:rFonts w:ascii="Times New Roman" w:eastAsia="SimSun" w:hAnsi="Times New Roman" w:cs="Times New Roman"/>
          <w:sz w:val="24"/>
          <w:szCs w:val="24"/>
          <w:shd w:val="clear" w:color="auto" w:fill="FFFFFF"/>
        </w:rPr>
        <w:t xml:space="preserve"> </w:t>
      </w:r>
      <w:r w:rsidR="007401F3">
        <w:rPr>
          <w:rFonts w:ascii="Times New Roman" w:eastAsia="SimSun" w:hAnsi="Times New Roman" w:cs="Times New Roman"/>
          <w:sz w:val="24"/>
          <w:szCs w:val="24"/>
          <w:shd w:val="clear" w:color="auto" w:fill="FFFFFF"/>
        </w:rPr>
        <w:t>D.</w:t>
      </w:r>
      <w:r w:rsidR="00051D31">
        <w:rPr>
          <w:rFonts w:ascii="Times New Roman" w:eastAsia="SimSun" w:hAnsi="Times New Roman" w:cs="Times New Roman"/>
          <w:sz w:val="24"/>
          <w:szCs w:val="24"/>
          <w:shd w:val="clear" w:color="auto" w:fill="FFFFFF"/>
        </w:rPr>
        <w:t xml:space="preserve"> </w:t>
      </w:r>
      <w:r w:rsidR="007401F3">
        <w:rPr>
          <w:rFonts w:ascii="Times New Roman" w:eastAsia="SimSun" w:hAnsi="Times New Roman" w:cs="Times New Roman"/>
          <w:sz w:val="24"/>
          <w:szCs w:val="24"/>
          <w:shd w:val="clear" w:color="auto" w:fill="FFFFFF"/>
        </w:rPr>
        <w:t>S., Odoom,</w:t>
      </w:r>
      <w:r w:rsidR="00051D31">
        <w:rPr>
          <w:rFonts w:ascii="Times New Roman" w:eastAsia="SimSun" w:hAnsi="Times New Roman" w:cs="Times New Roman"/>
          <w:sz w:val="24"/>
          <w:szCs w:val="24"/>
          <w:shd w:val="clear" w:color="auto" w:fill="FFFFFF"/>
        </w:rPr>
        <w:t xml:space="preserve"> </w:t>
      </w:r>
      <w:r w:rsidR="007401F3">
        <w:rPr>
          <w:rFonts w:ascii="Times New Roman" w:eastAsia="SimSun" w:hAnsi="Times New Roman" w:cs="Times New Roman"/>
          <w:sz w:val="24"/>
          <w:szCs w:val="24"/>
          <w:shd w:val="clear" w:color="auto" w:fill="FFFFFF"/>
        </w:rPr>
        <w:t>R., &amp; Braimah,</w:t>
      </w:r>
      <w:r w:rsidR="00051D31">
        <w:rPr>
          <w:rFonts w:ascii="Times New Roman" w:eastAsia="SimSun" w:hAnsi="Times New Roman" w:cs="Times New Roman"/>
          <w:sz w:val="24"/>
          <w:szCs w:val="24"/>
          <w:shd w:val="clear" w:color="auto" w:fill="FFFFFF"/>
        </w:rPr>
        <w:t xml:space="preserve"> </w:t>
      </w:r>
      <w:r w:rsidR="007401F3">
        <w:rPr>
          <w:rFonts w:ascii="Times New Roman" w:eastAsia="SimSun" w:hAnsi="Times New Roman" w:cs="Times New Roman"/>
          <w:sz w:val="24"/>
          <w:szCs w:val="24"/>
          <w:shd w:val="clear" w:color="auto" w:fill="FFFFFF"/>
        </w:rPr>
        <w:t>S.</w:t>
      </w:r>
      <w:r w:rsidR="00051D31">
        <w:rPr>
          <w:rFonts w:ascii="Times New Roman" w:eastAsia="SimSun" w:hAnsi="Times New Roman" w:cs="Times New Roman"/>
          <w:sz w:val="24"/>
          <w:szCs w:val="24"/>
          <w:shd w:val="clear" w:color="auto" w:fill="FFFFFF"/>
        </w:rPr>
        <w:t xml:space="preserve"> </w:t>
      </w:r>
      <w:r w:rsidR="007401F3">
        <w:rPr>
          <w:rFonts w:ascii="Times New Roman" w:eastAsia="SimSun" w:hAnsi="Times New Roman" w:cs="Times New Roman"/>
          <w:sz w:val="24"/>
          <w:szCs w:val="24"/>
          <w:shd w:val="clear" w:color="auto" w:fill="FFFFFF"/>
        </w:rPr>
        <w:t>M. (2023). Service brand avoidance in business-to-business relationships.</w:t>
      </w:r>
      <w:r w:rsidR="00051D31">
        <w:rPr>
          <w:rFonts w:ascii="Times New Roman" w:eastAsia="SimSun" w:hAnsi="Times New Roman" w:cs="Times New Roman"/>
          <w:sz w:val="24"/>
          <w:szCs w:val="24"/>
          <w:shd w:val="clear" w:color="auto" w:fill="FFFFFF"/>
        </w:rPr>
        <w:t xml:space="preserve"> </w:t>
      </w:r>
      <w:r w:rsidR="007401F3">
        <w:rPr>
          <w:rStyle w:val="aa"/>
          <w:rFonts w:ascii="Times New Roman" w:eastAsia="SimSun" w:hAnsi="Times New Roman" w:cs="Times New Roman"/>
          <w:sz w:val="24"/>
          <w:szCs w:val="24"/>
          <w:shd w:val="clear" w:color="auto" w:fill="FFFFFF"/>
        </w:rPr>
        <w:t>Journal of Product &amp; Brand Management</w:t>
      </w:r>
      <w:r w:rsidR="007401F3">
        <w:rPr>
          <w:rFonts w:ascii="Times New Roman" w:eastAsia="SimSun" w:hAnsi="Times New Roman" w:cs="Times New Roman"/>
          <w:sz w:val="24"/>
          <w:szCs w:val="24"/>
          <w:shd w:val="clear" w:color="auto" w:fill="FFFFFF"/>
        </w:rPr>
        <w:t>,</w:t>
      </w:r>
      <w:r w:rsidR="00051D31">
        <w:rPr>
          <w:rFonts w:ascii="Times New Roman" w:eastAsia="SimSun" w:hAnsi="Times New Roman" w:cs="Times New Roman"/>
          <w:sz w:val="24"/>
          <w:szCs w:val="24"/>
          <w:shd w:val="clear" w:color="auto" w:fill="FFFFFF"/>
        </w:rPr>
        <w:t xml:space="preserve"> </w:t>
      </w:r>
      <w:r w:rsidR="007401F3">
        <w:rPr>
          <w:rStyle w:val="aa"/>
          <w:rFonts w:ascii="Times New Roman" w:eastAsia="SimSun" w:hAnsi="Times New Roman" w:cs="Times New Roman"/>
          <w:sz w:val="24"/>
          <w:szCs w:val="24"/>
          <w:shd w:val="clear" w:color="auto" w:fill="FFFFFF"/>
        </w:rPr>
        <w:t>32</w:t>
      </w:r>
      <w:r w:rsidR="007401F3">
        <w:rPr>
          <w:rFonts w:ascii="Times New Roman" w:eastAsia="SimSun" w:hAnsi="Times New Roman" w:cs="Times New Roman"/>
          <w:sz w:val="24"/>
          <w:szCs w:val="24"/>
          <w:shd w:val="clear" w:color="auto" w:fill="FFFFFF"/>
        </w:rPr>
        <w:t xml:space="preserve">(1), 93–106. </w:t>
      </w:r>
      <w:hyperlink r:id="rId67" w:history="1">
        <w:r w:rsidR="007401F3" w:rsidRPr="005D5C32">
          <w:rPr>
            <w:rStyle w:val="af"/>
            <w:rFonts w:ascii="Times New Roman" w:hAnsi="Times New Roman" w:cs="Times New Roman"/>
            <w:color w:val="auto"/>
            <w:sz w:val="24"/>
            <w:szCs w:val="24"/>
          </w:rPr>
          <w:t>https://doi.org/10.1108/jpbm-10-2020-3172</w:t>
        </w:r>
      </w:hyperlink>
    </w:p>
    <w:p w14:paraId="2E4AB85C"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Park, C. W., Eisingerich, A. B., &amp; Park, J. W. (2013). From brand aversion or indifference to brand attachment: Authors' response to commentaries to Park, Eisingerich, and Park's brand attachment–aversion model. </w:t>
      </w:r>
      <w:r>
        <w:rPr>
          <w:rFonts w:ascii="Times New Roman" w:hAnsi="Times New Roman" w:cs="Times New Roman"/>
          <w:i/>
          <w:iCs/>
          <w:sz w:val="24"/>
          <w:szCs w:val="24"/>
        </w:rPr>
        <w:t>Journal of Consumer Psychology</w:t>
      </w:r>
      <w:r>
        <w:rPr>
          <w:rFonts w:ascii="Times New Roman" w:hAnsi="Times New Roman" w:cs="Times New Roman"/>
          <w:sz w:val="24"/>
          <w:szCs w:val="24"/>
        </w:rPr>
        <w:t xml:space="preserve">, </w:t>
      </w:r>
      <w:r>
        <w:rPr>
          <w:rFonts w:ascii="Times New Roman" w:hAnsi="Times New Roman" w:cs="Times New Roman"/>
          <w:i/>
          <w:iCs/>
          <w:sz w:val="24"/>
          <w:szCs w:val="24"/>
        </w:rPr>
        <w:t>23</w:t>
      </w:r>
      <w:r>
        <w:rPr>
          <w:rFonts w:ascii="Times New Roman" w:hAnsi="Times New Roman" w:cs="Times New Roman"/>
          <w:sz w:val="24"/>
          <w:szCs w:val="24"/>
        </w:rPr>
        <w:t xml:space="preserve">(2), 269–274. </w:t>
      </w:r>
      <w:hyperlink r:id="rId68" w:history="1">
        <w:r>
          <w:rPr>
            <w:rStyle w:val="af"/>
            <w:rFonts w:ascii="Times New Roman" w:hAnsi="Times New Roman" w:cs="Times New Roman"/>
            <w:color w:val="auto"/>
            <w:sz w:val="24"/>
            <w:szCs w:val="24"/>
          </w:rPr>
          <w:t>https://doi.org/10.1016/j.jcps.2013.01.006</w:t>
        </w:r>
      </w:hyperlink>
    </w:p>
    <w:p w14:paraId="038F6550"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Parker, A. K. (2009). Elementary organizational structures and young adolescents' self-concept and perceptions of the classroom environment across the transition to middle school. </w:t>
      </w:r>
      <w:r>
        <w:rPr>
          <w:rFonts w:ascii="Times New Roman" w:hAnsi="Times New Roman" w:cs="Times New Roman"/>
          <w:i/>
          <w:iCs/>
          <w:sz w:val="24"/>
          <w:szCs w:val="24"/>
        </w:rPr>
        <w:t>Journal of Research in Childhood Education</w:t>
      </w:r>
      <w:r>
        <w:rPr>
          <w:rFonts w:ascii="Times New Roman" w:hAnsi="Times New Roman" w:cs="Times New Roman"/>
          <w:sz w:val="24"/>
          <w:szCs w:val="24"/>
        </w:rPr>
        <w:t xml:space="preserve">, </w:t>
      </w:r>
      <w:r>
        <w:rPr>
          <w:rFonts w:ascii="Times New Roman" w:hAnsi="Times New Roman" w:cs="Times New Roman"/>
          <w:i/>
          <w:iCs/>
          <w:sz w:val="24"/>
          <w:szCs w:val="24"/>
        </w:rPr>
        <w:t>23</w:t>
      </w:r>
      <w:r>
        <w:rPr>
          <w:rFonts w:ascii="Times New Roman" w:hAnsi="Times New Roman" w:cs="Times New Roman"/>
          <w:sz w:val="24"/>
          <w:szCs w:val="24"/>
        </w:rPr>
        <w:t xml:space="preserve">(3), 325–339. </w:t>
      </w:r>
      <w:hyperlink r:id="rId69" w:history="1">
        <w:r>
          <w:rPr>
            <w:rStyle w:val="af"/>
            <w:rFonts w:ascii="Times New Roman" w:hAnsi="Times New Roman" w:cs="Times New Roman"/>
            <w:color w:val="auto"/>
            <w:sz w:val="24"/>
            <w:szCs w:val="24"/>
          </w:rPr>
          <w:t>https://doi.org/10.1080/02568540909594664</w:t>
        </w:r>
      </w:hyperlink>
    </w:p>
    <w:p w14:paraId="2F2E50E8"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Parment, A. (2012). The contribution of employer branding to the success of place branding: how Generation Y and young professionals make choices in a branded society. </w:t>
      </w:r>
      <w:r>
        <w:rPr>
          <w:rFonts w:ascii="Times New Roman" w:hAnsi="Times New Roman" w:cs="Times New Roman"/>
          <w:i/>
          <w:iCs/>
          <w:sz w:val="24"/>
          <w:szCs w:val="24"/>
        </w:rPr>
        <w:t>International Place Branding Conference Utrecht, 20–21,</w:t>
      </w:r>
      <w:r>
        <w:rPr>
          <w:rFonts w:ascii="Times New Roman" w:hAnsi="Times New Roman" w:cs="Times New Roman"/>
          <w:sz w:val="24"/>
          <w:szCs w:val="24"/>
        </w:rPr>
        <w:t>174-189.</w:t>
      </w:r>
    </w:p>
    <w:p w14:paraId="1EE29984"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Portwood-Stacer, L. (2012). Anti-consumption as tactical resistance: Anarchists, subculture, and activist strategy. </w:t>
      </w:r>
      <w:r>
        <w:rPr>
          <w:rFonts w:ascii="Times New Roman" w:hAnsi="Times New Roman" w:cs="Times New Roman"/>
          <w:i/>
          <w:iCs/>
          <w:sz w:val="24"/>
          <w:szCs w:val="24"/>
        </w:rPr>
        <w:t>Journal of Consumer Culture</w:t>
      </w:r>
      <w:r>
        <w:rPr>
          <w:rFonts w:ascii="Times New Roman" w:hAnsi="Times New Roman" w:cs="Times New Roman"/>
          <w:sz w:val="24"/>
          <w:szCs w:val="24"/>
        </w:rPr>
        <w:t xml:space="preserve">, </w:t>
      </w:r>
      <w:r>
        <w:rPr>
          <w:rFonts w:ascii="Times New Roman" w:hAnsi="Times New Roman" w:cs="Times New Roman"/>
          <w:i/>
          <w:iCs/>
          <w:sz w:val="24"/>
          <w:szCs w:val="24"/>
        </w:rPr>
        <w:t>12</w:t>
      </w:r>
      <w:r>
        <w:rPr>
          <w:rFonts w:ascii="Times New Roman" w:hAnsi="Times New Roman" w:cs="Times New Roman"/>
          <w:sz w:val="24"/>
          <w:szCs w:val="24"/>
        </w:rPr>
        <w:t xml:space="preserve">(1), 87–105. </w:t>
      </w:r>
      <w:hyperlink r:id="rId70" w:history="1">
        <w:r>
          <w:rPr>
            <w:rStyle w:val="af"/>
            <w:rFonts w:ascii="Times New Roman" w:hAnsi="Times New Roman" w:cs="Times New Roman"/>
            <w:color w:val="auto"/>
            <w:sz w:val="24"/>
            <w:szCs w:val="24"/>
          </w:rPr>
          <w:t>https://doi.org/10.1177/1469540512442029</w:t>
        </w:r>
      </w:hyperlink>
    </w:p>
    <w:p w14:paraId="7628307F"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Ranjan, K. R., &amp; Read, S. (2016). Value Co-creation: Concept and measurement. </w:t>
      </w:r>
      <w:r>
        <w:rPr>
          <w:rFonts w:ascii="Times New Roman" w:hAnsi="Times New Roman" w:cs="Times New Roman"/>
          <w:i/>
          <w:iCs/>
          <w:sz w:val="24"/>
          <w:szCs w:val="24"/>
        </w:rPr>
        <w:t>Journal of the Academy of Marketing Science</w:t>
      </w:r>
      <w:r>
        <w:rPr>
          <w:rFonts w:ascii="Times New Roman" w:hAnsi="Times New Roman" w:cs="Times New Roman"/>
          <w:sz w:val="24"/>
          <w:szCs w:val="24"/>
        </w:rPr>
        <w:t xml:space="preserve">, </w:t>
      </w:r>
      <w:r>
        <w:rPr>
          <w:rFonts w:ascii="Times New Roman" w:hAnsi="Times New Roman" w:cs="Times New Roman"/>
          <w:i/>
          <w:iCs/>
          <w:sz w:val="24"/>
          <w:szCs w:val="24"/>
        </w:rPr>
        <w:t>44</w:t>
      </w:r>
      <w:r>
        <w:rPr>
          <w:rFonts w:ascii="Times New Roman" w:hAnsi="Times New Roman" w:cs="Times New Roman"/>
          <w:sz w:val="24"/>
          <w:szCs w:val="24"/>
        </w:rPr>
        <w:t xml:space="preserve">(3), 290–315. </w:t>
      </w:r>
      <w:hyperlink r:id="rId71" w:history="1">
        <w:r>
          <w:rPr>
            <w:rStyle w:val="af"/>
            <w:rFonts w:ascii="Times New Roman" w:hAnsi="Times New Roman" w:cs="Times New Roman"/>
            <w:color w:val="auto"/>
            <w:sz w:val="24"/>
            <w:szCs w:val="24"/>
          </w:rPr>
          <w:t>https://doi.org/10.1007/s11747-014-0397-2</w:t>
        </w:r>
      </w:hyperlink>
    </w:p>
    <w:p w14:paraId="7ED96647" w14:textId="24BE2134"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Reber, A. S., &amp; Reber, E. (2001). </w:t>
      </w:r>
      <w:r w:rsidRPr="00C11E86">
        <w:rPr>
          <w:rFonts w:ascii="Times New Roman" w:hAnsi="Times New Roman" w:cs="Times New Roman"/>
          <w:i/>
          <w:iCs/>
          <w:sz w:val="24"/>
          <w:szCs w:val="24"/>
        </w:rPr>
        <w:t>The Penguin dictionary of psychology</w:t>
      </w:r>
      <w:r>
        <w:rPr>
          <w:rFonts w:ascii="Times New Roman" w:hAnsi="Times New Roman" w:cs="Times New Roman"/>
          <w:sz w:val="24"/>
          <w:szCs w:val="24"/>
        </w:rPr>
        <w:t xml:space="preserve"> (3</w:t>
      </w:r>
      <w:r>
        <w:rPr>
          <w:rFonts w:ascii="Times New Roman" w:hAnsi="Times New Roman" w:cs="Times New Roman"/>
          <w:sz w:val="24"/>
          <w:szCs w:val="24"/>
          <w:vertAlign w:val="superscript"/>
        </w:rPr>
        <w:t>rd</w:t>
      </w:r>
      <w:r>
        <w:rPr>
          <w:rFonts w:ascii="Times New Roman" w:hAnsi="Times New Roman" w:cs="Times New Roman"/>
          <w:sz w:val="24"/>
          <w:szCs w:val="24"/>
        </w:rPr>
        <w:t xml:space="preserve"> Ed.). New York: Penguin</w:t>
      </w:r>
      <w:r w:rsidR="003E6676">
        <w:rPr>
          <w:rFonts w:ascii="Times New Roman" w:hAnsi="Times New Roman" w:cs="Times New Roman"/>
          <w:sz w:val="24"/>
          <w:szCs w:val="24"/>
        </w:rPr>
        <w:t>.</w:t>
      </w:r>
    </w:p>
    <w:p w14:paraId="7535B297"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Rempel, J. K., &amp; Burris, C. T. (2005). Let me count the ways: An integrative theory of love and hate. </w:t>
      </w:r>
      <w:r>
        <w:rPr>
          <w:rFonts w:ascii="Times New Roman" w:hAnsi="Times New Roman" w:cs="Times New Roman"/>
          <w:i/>
          <w:iCs/>
          <w:sz w:val="24"/>
          <w:szCs w:val="24"/>
        </w:rPr>
        <w:t>Personal Relationships</w:t>
      </w:r>
      <w:r>
        <w:rPr>
          <w:rFonts w:ascii="Times New Roman" w:hAnsi="Times New Roman" w:cs="Times New Roman"/>
          <w:sz w:val="24"/>
          <w:szCs w:val="24"/>
        </w:rPr>
        <w:t xml:space="preserve">, </w:t>
      </w:r>
      <w:r>
        <w:rPr>
          <w:rFonts w:ascii="Times New Roman" w:hAnsi="Times New Roman" w:cs="Times New Roman"/>
          <w:i/>
          <w:iCs/>
          <w:sz w:val="24"/>
          <w:szCs w:val="24"/>
        </w:rPr>
        <w:t>12</w:t>
      </w:r>
      <w:r>
        <w:rPr>
          <w:rFonts w:ascii="Times New Roman" w:hAnsi="Times New Roman" w:cs="Times New Roman"/>
          <w:sz w:val="24"/>
          <w:szCs w:val="24"/>
        </w:rPr>
        <w:t xml:space="preserve">(2), 297-313. </w:t>
      </w:r>
      <w:hyperlink r:id="rId72" w:history="1">
        <w:r>
          <w:rPr>
            <w:rStyle w:val="af"/>
            <w:rFonts w:ascii="Times New Roman" w:hAnsi="Times New Roman" w:cs="Times New Roman"/>
            <w:color w:val="auto"/>
            <w:sz w:val="24"/>
            <w:szCs w:val="24"/>
          </w:rPr>
          <w:t>https://doi.org/10.1111/j.1350-4126.2005.00116.x</w:t>
        </w:r>
      </w:hyperlink>
    </w:p>
    <w:p w14:paraId="2811545A"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Richardson, P. S., Jain, A. K., &amp; Dick, A. (1996). Household store brand proneness: A framework. </w:t>
      </w:r>
      <w:r>
        <w:rPr>
          <w:rFonts w:ascii="Times New Roman" w:hAnsi="Times New Roman" w:cs="Times New Roman"/>
          <w:i/>
          <w:iCs/>
          <w:sz w:val="24"/>
          <w:szCs w:val="24"/>
        </w:rPr>
        <w:t>Journal of Retailing</w:t>
      </w:r>
      <w:r>
        <w:rPr>
          <w:rFonts w:ascii="Times New Roman" w:hAnsi="Times New Roman" w:cs="Times New Roman"/>
          <w:sz w:val="24"/>
          <w:szCs w:val="24"/>
        </w:rPr>
        <w:t xml:space="preserve">, </w:t>
      </w:r>
      <w:r>
        <w:rPr>
          <w:rFonts w:ascii="Times New Roman" w:hAnsi="Times New Roman" w:cs="Times New Roman"/>
          <w:i/>
          <w:iCs/>
          <w:sz w:val="24"/>
          <w:szCs w:val="24"/>
        </w:rPr>
        <w:t>72</w:t>
      </w:r>
      <w:r>
        <w:rPr>
          <w:rFonts w:ascii="Times New Roman" w:hAnsi="Times New Roman" w:cs="Times New Roman"/>
          <w:sz w:val="24"/>
          <w:szCs w:val="24"/>
        </w:rPr>
        <w:t xml:space="preserve">(2), 159–185. </w:t>
      </w:r>
      <w:hyperlink r:id="rId73" w:history="1">
        <w:r>
          <w:rPr>
            <w:rStyle w:val="af"/>
            <w:rFonts w:ascii="Times New Roman" w:hAnsi="Times New Roman" w:cs="Times New Roman"/>
            <w:color w:val="auto"/>
            <w:sz w:val="24"/>
            <w:szCs w:val="24"/>
          </w:rPr>
          <w:t>https://doi.org/10.1016/s0022-4359(96)90012-3</w:t>
        </w:r>
      </w:hyperlink>
    </w:p>
    <w:p w14:paraId="3BDDC029"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Romani, S., Grappi, S., Zarantonello, L., &amp; Bagozzi, R. P. (2015). The revenge of the consumer! How brand moral violations lead to consumer anti-brand activism. </w:t>
      </w:r>
      <w:r>
        <w:rPr>
          <w:rFonts w:ascii="Times New Roman" w:hAnsi="Times New Roman" w:cs="Times New Roman"/>
          <w:i/>
          <w:iCs/>
          <w:sz w:val="24"/>
          <w:szCs w:val="24"/>
        </w:rPr>
        <w:t>Journal of Brand Management</w:t>
      </w:r>
      <w:r>
        <w:rPr>
          <w:rFonts w:ascii="Times New Roman" w:hAnsi="Times New Roman" w:cs="Times New Roman"/>
          <w:sz w:val="24"/>
          <w:szCs w:val="24"/>
        </w:rPr>
        <w:t xml:space="preserve">, </w:t>
      </w:r>
      <w:r>
        <w:rPr>
          <w:rFonts w:ascii="Times New Roman" w:hAnsi="Times New Roman" w:cs="Times New Roman"/>
          <w:i/>
          <w:iCs/>
          <w:sz w:val="24"/>
          <w:szCs w:val="24"/>
        </w:rPr>
        <w:t>22</w:t>
      </w:r>
      <w:r>
        <w:rPr>
          <w:rFonts w:ascii="Times New Roman" w:hAnsi="Times New Roman" w:cs="Times New Roman"/>
          <w:sz w:val="24"/>
          <w:szCs w:val="24"/>
        </w:rPr>
        <w:t xml:space="preserve">(8), 658-672. </w:t>
      </w:r>
      <w:hyperlink r:id="rId74" w:history="1">
        <w:r>
          <w:rPr>
            <w:rStyle w:val="af"/>
            <w:rFonts w:ascii="Times New Roman" w:hAnsi="Times New Roman" w:cs="Times New Roman"/>
            <w:color w:val="auto"/>
            <w:sz w:val="24"/>
            <w:szCs w:val="24"/>
          </w:rPr>
          <w:t>https://doi.org/10.1057/bm.2015.38</w:t>
        </w:r>
      </w:hyperlink>
    </w:p>
    <w:p w14:paraId="4521B8F7"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Rossiter, J. R. (2002). The C-OAR-SE procedure for scale development in marketing. </w:t>
      </w:r>
      <w:r>
        <w:rPr>
          <w:rFonts w:ascii="Times New Roman" w:hAnsi="Times New Roman" w:cs="Times New Roman"/>
          <w:i/>
          <w:iCs/>
          <w:sz w:val="24"/>
          <w:szCs w:val="24"/>
        </w:rPr>
        <w:t>International Journal of Research in Marketing</w:t>
      </w:r>
      <w:r>
        <w:rPr>
          <w:rFonts w:ascii="Times New Roman" w:hAnsi="Times New Roman" w:cs="Times New Roman"/>
          <w:sz w:val="24"/>
          <w:szCs w:val="24"/>
        </w:rPr>
        <w:t xml:space="preserve">, </w:t>
      </w:r>
      <w:r>
        <w:rPr>
          <w:rFonts w:ascii="Times New Roman" w:hAnsi="Times New Roman" w:cs="Times New Roman"/>
          <w:i/>
          <w:iCs/>
          <w:sz w:val="24"/>
          <w:szCs w:val="24"/>
        </w:rPr>
        <w:t>19</w:t>
      </w:r>
      <w:r>
        <w:rPr>
          <w:rFonts w:ascii="Times New Roman" w:hAnsi="Times New Roman" w:cs="Times New Roman"/>
          <w:sz w:val="24"/>
          <w:szCs w:val="24"/>
        </w:rPr>
        <w:t xml:space="preserve">(4), 305–335. </w:t>
      </w:r>
      <w:hyperlink r:id="rId75" w:history="1">
        <w:r>
          <w:rPr>
            <w:rStyle w:val="af"/>
            <w:rFonts w:ascii="Times New Roman" w:hAnsi="Times New Roman" w:cs="Times New Roman"/>
            <w:color w:val="auto"/>
            <w:sz w:val="24"/>
            <w:szCs w:val="24"/>
          </w:rPr>
          <w:t>https://doi.org/10.1016/s0167-8116(02)00097-6</w:t>
        </w:r>
      </w:hyperlink>
    </w:p>
    <w:p w14:paraId="39C1ADED" w14:textId="77777777" w:rsidR="004F5D9D" w:rsidRPr="005F1B2C" w:rsidRDefault="00822E2C" w:rsidP="0050632A">
      <w:pPr>
        <w:widowControl w:val="0"/>
        <w:autoSpaceDE w:val="0"/>
        <w:autoSpaceDN w:val="0"/>
        <w:adjustRightInd w:val="0"/>
        <w:spacing w:after="0" w:line="360" w:lineRule="exact"/>
        <w:ind w:left="440" w:hangingChars="200" w:hanging="440"/>
        <w:rPr>
          <w:rFonts w:ascii="Times New Roman" w:hAnsi="Times New Roman" w:cs="Times New Roman"/>
          <w:sz w:val="24"/>
          <w:szCs w:val="24"/>
        </w:rPr>
      </w:pPr>
      <w:hyperlink r:id="rId76" w:history="1"/>
      <w:r w:rsidR="007401F3">
        <w:rPr>
          <w:rFonts w:ascii="Times New Roman" w:hAnsi="Times New Roman" w:cs="Times New Roman"/>
          <w:sz w:val="24"/>
          <w:szCs w:val="24"/>
        </w:rPr>
        <w:t xml:space="preserve">Sajid, M., Zakkariya, K. A., Suki, N. M., &amp; Islam, J. U. (2024). When going green goes wrong: The effects of greenwashing on brand avoidance and negative word-of-mouth. </w:t>
      </w:r>
      <w:r w:rsidR="007401F3">
        <w:rPr>
          <w:rFonts w:ascii="Times New Roman" w:hAnsi="Times New Roman" w:cs="Times New Roman"/>
          <w:i/>
          <w:iCs/>
          <w:sz w:val="24"/>
          <w:szCs w:val="24"/>
        </w:rPr>
        <w:t>Journal of Retailing and Consumer Services</w:t>
      </w:r>
      <w:r w:rsidR="007401F3">
        <w:rPr>
          <w:rFonts w:ascii="Times New Roman" w:hAnsi="Times New Roman" w:cs="Times New Roman"/>
          <w:sz w:val="24"/>
          <w:szCs w:val="24"/>
        </w:rPr>
        <w:t xml:space="preserve">, </w:t>
      </w:r>
      <w:r w:rsidR="007401F3">
        <w:rPr>
          <w:rFonts w:ascii="Times New Roman" w:hAnsi="Times New Roman" w:cs="Times New Roman"/>
          <w:i/>
          <w:iCs/>
          <w:sz w:val="24"/>
          <w:szCs w:val="24"/>
        </w:rPr>
        <w:t>78,</w:t>
      </w:r>
      <w:r w:rsidR="007401F3">
        <w:rPr>
          <w:rFonts w:ascii="Times New Roman" w:hAnsi="Times New Roman" w:cs="Times New Roman"/>
          <w:sz w:val="24"/>
          <w:szCs w:val="24"/>
        </w:rPr>
        <w:t xml:space="preserve"> 103773. </w:t>
      </w:r>
      <w:r w:rsidR="007401F3" w:rsidRPr="005D5C32">
        <w:rPr>
          <w:rStyle w:val="af"/>
          <w:rFonts w:ascii="Times New Roman" w:hAnsi="Times New Roman" w:cs="Times New Roman"/>
          <w:color w:val="auto"/>
          <w:sz w:val="24"/>
          <w:szCs w:val="24"/>
        </w:rPr>
        <w:t>https://doi.org/10.1016/j.jretconser.2024.103773</w:t>
      </w:r>
    </w:p>
    <w:p w14:paraId="563A40E7"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Sen, S., &amp; Bhattacharya, C. (2001). Does doing good always lead to doing better? Consumer reactions to corporate social responsibility. </w:t>
      </w:r>
      <w:r>
        <w:rPr>
          <w:rFonts w:ascii="Times New Roman" w:hAnsi="Times New Roman" w:cs="Times New Roman"/>
          <w:i/>
          <w:iCs/>
          <w:sz w:val="24"/>
          <w:szCs w:val="24"/>
        </w:rPr>
        <w:t>Journal of Marketing Research</w:t>
      </w:r>
      <w:r>
        <w:rPr>
          <w:rFonts w:ascii="Times New Roman" w:hAnsi="Times New Roman" w:cs="Times New Roman"/>
          <w:sz w:val="24"/>
          <w:szCs w:val="24"/>
        </w:rPr>
        <w:t xml:space="preserve">, </w:t>
      </w:r>
      <w:r>
        <w:rPr>
          <w:rFonts w:ascii="Times New Roman" w:hAnsi="Times New Roman" w:cs="Times New Roman"/>
          <w:i/>
          <w:iCs/>
          <w:sz w:val="24"/>
          <w:szCs w:val="24"/>
        </w:rPr>
        <w:t>38</w:t>
      </w:r>
      <w:r>
        <w:rPr>
          <w:rFonts w:ascii="Times New Roman" w:hAnsi="Times New Roman" w:cs="Times New Roman"/>
          <w:sz w:val="24"/>
          <w:szCs w:val="24"/>
        </w:rPr>
        <w:t xml:space="preserve">(2), 225–243. </w:t>
      </w:r>
      <w:hyperlink r:id="rId77" w:history="1">
        <w:r>
          <w:rPr>
            <w:rStyle w:val="af"/>
            <w:rFonts w:ascii="Times New Roman" w:hAnsi="Times New Roman" w:cs="Times New Roman"/>
            <w:color w:val="auto"/>
            <w:sz w:val="24"/>
            <w:szCs w:val="24"/>
          </w:rPr>
          <w:t>https://doi.org/10.1509/jmkr.38.2.225.18838</w:t>
        </w:r>
      </w:hyperlink>
    </w:p>
    <w:p w14:paraId="13D8B5A9"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Sharma, S., Shimp, T. A., &amp; Shin, J. (1995). Consumer ethnocentrism: A test of antecedents and moderators. </w:t>
      </w:r>
      <w:r>
        <w:rPr>
          <w:rFonts w:ascii="Times New Roman" w:hAnsi="Times New Roman" w:cs="Times New Roman"/>
          <w:i/>
          <w:iCs/>
          <w:sz w:val="24"/>
          <w:szCs w:val="24"/>
        </w:rPr>
        <w:t>Journal of the Academy of Marketing Science</w:t>
      </w:r>
      <w:r>
        <w:rPr>
          <w:rFonts w:ascii="Times New Roman" w:hAnsi="Times New Roman" w:cs="Times New Roman"/>
          <w:sz w:val="24"/>
          <w:szCs w:val="24"/>
        </w:rPr>
        <w:t xml:space="preserve">, </w:t>
      </w:r>
      <w:r>
        <w:rPr>
          <w:rFonts w:ascii="Times New Roman" w:hAnsi="Times New Roman" w:cs="Times New Roman"/>
          <w:i/>
          <w:iCs/>
          <w:sz w:val="24"/>
          <w:szCs w:val="24"/>
        </w:rPr>
        <w:t>23</w:t>
      </w:r>
      <w:r>
        <w:rPr>
          <w:rFonts w:ascii="Times New Roman" w:hAnsi="Times New Roman" w:cs="Times New Roman"/>
          <w:sz w:val="24"/>
          <w:szCs w:val="24"/>
        </w:rPr>
        <w:t xml:space="preserve">(1), 26–37. </w:t>
      </w:r>
      <w:hyperlink r:id="rId78" w:history="1">
        <w:r>
          <w:rPr>
            <w:rStyle w:val="af"/>
            <w:rFonts w:ascii="Times New Roman" w:hAnsi="Times New Roman" w:cs="Times New Roman"/>
            <w:color w:val="auto"/>
            <w:sz w:val="24"/>
            <w:szCs w:val="24"/>
          </w:rPr>
          <w:t>https://doi.org/10.1007/bf02894609</w:t>
        </w:r>
      </w:hyperlink>
    </w:p>
    <w:p w14:paraId="7BBDE2C4"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Sheth, J. N. (2011). Impact of emerging markets on marketing: Rethinking existing perspectives and practices. </w:t>
      </w:r>
      <w:r>
        <w:rPr>
          <w:rFonts w:ascii="Times New Roman" w:hAnsi="Times New Roman" w:cs="Times New Roman"/>
          <w:i/>
          <w:iCs/>
          <w:sz w:val="24"/>
          <w:szCs w:val="24"/>
        </w:rPr>
        <w:t>Journal of Marketing</w:t>
      </w:r>
      <w:r>
        <w:rPr>
          <w:rFonts w:ascii="Times New Roman" w:hAnsi="Times New Roman" w:cs="Times New Roman"/>
          <w:sz w:val="24"/>
          <w:szCs w:val="24"/>
        </w:rPr>
        <w:t xml:space="preserve">, </w:t>
      </w:r>
      <w:r>
        <w:rPr>
          <w:rFonts w:ascii="Times New Roman" w:hAnsi="Times New Roman" w:cs="Times New Roman"/>
          <w:i/>
          <w:iCs/>
          <w:sz w:val="24"/>
          <w:szCs w:val="24"/>
        </w:rPr>
        <w:t>75</w:t>
      </w:r>
      <w:r>
        <w:rPr>
          <w:rFonts w:ascii="Times New Roman" w:hAnsi="Times New Roman" w:cs="Times New Roman"/>
          <w:sz w:val="24"/>
          <w:szCs w:val="24"/>
        </w:rPr>
        <w:t xml:space="preserve">(4), 166–182. </w:t>
      </w:r>
      <w:hyperlink r:id="rId79" w:history="1">
        <w:r>
          <w:rPr>
            <w:rStyle w:val="af"/>
            <w:rFonts w:ascii="Times New Roman" w:hAnsi="Times New Roman" w:cs="Times New Roman"/>
            <w:color w:val="auto"/>
            <w:sz w:val="24"/>
            <w:szCs w:val="24"/>
          </w:rPr>
          <w:t>https://doi.org/10.1509/jmkg.75.4.166</w:t>
        </w:r>
      </w:hyperlink>
    </w:p>
    <w:p w14:paraId="3EB17942" w14:textId="77777777" w:rsidR="004F5D9D" w:rsidRPr="005F1B2C" w:rsidRDefault="00822E2C" w:rsidP="0050632A">
      <w:pPr>
        <w:widowControl w:val="0"/>
        <w:autoSpaceDE w:val="0"/>
        <w:autoSpaceDN w:val="0"/>
        <w:adjustRightInd w:val="0"/>
        <w:spacing w:after="0" w:line="360" w:lineRule="exact"/>
        <w:ind w:left="440" w:hangingChars="200" w:hanging="440"/>
        <w:rPr>
          <w:rFonts w:ascii="Times New Roman" w:hAnsi="Times New Roman" w:cs="Times New Roman"/>
          <w:sz w:val="24"/>
          <w:szCs w:val="24"/>
        </w:rPr>
      </w:pPr>
      <w:hyperlink r:id="rId80" w:history="1"/>
      <w:r w:rsidR="007401F3">
        <w:rPr>
          <w:rFonts w:ascii="Times New Roman" w:hAnsi="Times New Roman" w:cs="Times New Roman"/>
          <w:sz w:val="24"/>
          <w:szCs w:val="24"/>
        </w:rPr>
        <w:t xml:space="preserve">Stern, B. B. (2006). What does brand mean? Historical analysis method and construct definition. </w:t>
      </w:r>
      <w:r w:rsidR="007401F3">
        <w:rPr>
          <w:rFonts w:ascii="Times New Roman" w:hAnsi="Times New Roman" w:cs="Times New Roman"/>
          <w:i/>
          <w:iCs/>
          <w:sz w:val="24"/>
          <w:szCs w:val="24"/>
        </w:rPr>
        <w:t>Journal of the Academy of Marketing Science</w:t>
      </w:r>
      <w:r w:rsidR="007401F3">
        <w:rPr>
          <w:rFonts w:ascii="Times New Roman" w:hAnsi="Times New Roman" w:cs="Times New Roman"/>
          <w:sz w:val="24"/>
          <w:szCs w:val="24"/>
        </w:rPr>
        <w:t xml:space="preserve">, </w:t>
      </w:r>
      <w:r w:rsidR="007401F3">
        <w:rPr>
          <w:rFonts w:ascii="Times New Roman" w:hAnsi="Times New Roman" w:cs="Times New Roman"/>
          <w:i/>
          <w:iCs/>
          <w:sz w:val="24"/>
          <w:szCs w:val="24"/>
        </w:rPr>
        <w:t>34</w:t>
      </w:r>
      <w:r w:rsidR="007401F3">
        <w:rPr>
          <w:rFonts w:ascii="Times New Roman" w:hAnsi="Times New Roman" w:cs="Times New Roman"/>
          <w:sz w:val="24"/>
          <w:szCs w:val="24"/>
        </w:rPr>
        <w:t xml:space="preserve">(2), 216–223. </w:t>
      </w:r>
      <w:hyperlink r:id="rId81" w:history="1">
        <w:r w:rsidR="007401F3">
          <w:rPr>
            <w:rStyle w:val="af"/>
            <w:rFonts w:ascii="Times New Roman" w:hAnsi="Times New Roman" w:cs="Times New Roman"/>
            <w:color w:val="auto"/>
            <w:sz w:val="24"/>
            <w:szCs w:val="24"/>
          </w:rPr>
          <w:t>https://doi.org/10.1177/0092070305284991</w:t>
        </w:r>
      </w:hyperlink>
    </w:p>
    <w:p w14:paraId="39859CCA"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Stone, M. (1974). Cross‐validatory choice and assessment of statistical predictions. </w:t>
      </w:r>
      <w:r>
        <w:rPr>
          <w:rFonts w:ascii="Times New Roman" w:hAnsi="Times New Roman" w:cs="Times New Roman"/>
          <w:i/>
          <w:iCs/>
          <w:sz w:val="24"/>
          <w:szCs w:val="24"/>
        </w:rPr>
        <w:t>Journal of the Royal Statistical Society: Series B (Methodological)</w:t>
      </w:r>
      <w:r>
        <w:rPr>
          <w:rFonts w:ascii="Times New Roman" w:hAnsi="Times New Roman" w:cs="Times New Roman"/>
          <w:sz w:val="24"/>
          <w:szCs w:val="24"/>
        </w:rPr>
        <w:t xml:space="preserve">, </w:t>
      </w:r>
      <w:r>
        <w:rPr>
          <w:rFonts w:ascii="Times New Roman" w:hAnsi="Times New Roman" w:cs="Times New Roman"/>
          <w:i/>
          <w:iCs/>
          <w:sz w:val="24"/>
          <w:szCs w:val="24"/>
        </w:rPr>
        <w:t>36</w:t>
      </w:r>
      <w:r>
        <w:rPr>
          <w:rFonts w:ascii="Times New Roman" w:hAnsi="Times New Roman" w:cs="Times New Roman"/>
          <w:sz w:val="24"/>
          <w:szCs w:val="24"/>
        </w:rPr>
        <w:t xml:space="preserve">(2), 111–133. </w:t>
      </w:r>
      <w:hyperlink r:id="rId82" w:history="1">
        <w:r>
          <w:rPr>
            <w:rStyle w:val="af"/>
            <w:rFonts w:ascii="Times New Roman" w:hAnsi="Times New Roman" w:cs="Times New Roman"/>
            <w:color w:val="auto"/>
            <w:sz w:val="24"/>
            <w:szCs w:val="24"/>
          </w:rPr>
          <w:t>https://doi.org/10.1111/j.2517-6161.1974.tb00994.x</w:t>
        </w:r>
      </w:hyperlink>
    </w:p>
    <w:p w14:paraId="55DCB39E"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Taheri, B., Gori, K., O’Gorman, K., Hogg, G., &amp; Farrington, T. (2016). Experiential liminoid consumption: The case of nightclubbing. </w:t>
      </w:r>
      <w:r>
        <w:rPr>
          <w:rFonts w:ascii="Times New Roman" w:hAnsi="Times New Roman" w:cs="Times New Roman"/>
          <w:i/>
          <w:iCs/>
          <w:sz w:val="24"/>
          <w:szCs w:val="24"/>
        </w:rPr>
        <w:t>Journal of Marketing Management</w:t>
      </w:r>
      <w:r>
        <w:rPr>
          <w:rFonts w:ascii="Times New Roman" w:hAnsi="Times New Roman" w:cs="Times New Roman"/>
          <w:sz w:val="24"/>
          <w:szCs w:val="24"/>
        </w:rPr>
        <w:t xml:space="preserve">, </w:t>
      </w:r>
      <w:r>
        <w:rPr>
          <w:rFonts w:ascii="Times New Roman" w:hAnsi="Times New Roman" w:cs="Times New Roman"/>
          <w:i/>
          <w:iCs/>
          <w:sz w:val="24"/>
          <w:szCs w:val="24"/>
        </w:rPr>
        <w:t>32</w:t>
      </w:r>
      <w:r>
        <w:rPr>
          <w:rFonts w:ascii="Times New Roman" w:hAnsi="Times New Roman" w:cs="Times New Roman"/>
          <w:sz w:val="24"/>
          <w:szCs w:val="24"/>
        </w:rPr>
        <w:t xml:space="preserve">(1-2), 19–43. </w:t>
      </w:r>
      <w:hyperlink r:id="rId83" w:history="1">
        <w:r>
          <w:rPr>
            <w:rStyle w:val="af"/>
            <w:rFonts w:ascii="Times New Roman" w:hAnsi="Times New Roman" w:cs="Times New Roman"/>
            <w:color w:val="auto"/>
            <w:sz w:val="24"/>
            <w:szCs w:val="24"/>
          </w:rPr>
          <w:t>https://doi.org/10.1080/0267257x.2015.1089309</w:t>
        </w:r>
      </w:hyperlink>
    </w:p>
    <w:p w14:paraId="0EE3A41F"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Thompson, C. J., Rindfleisch, A., &amp; Arsel, Z. (2006). Emotional branding and the strategic value of the doppelganger brand image. </w:t>
      </w:r>
      <w:r>
        <w:rPr>
          <w:rFonts w:ascii="Times New Roman" w:hAnsi="Times New Roman" w:cs="Times New Roman"/>
          <w:i/>
          <w:iCs/>
          <w:sz w:val="24"/>
          <w:szCs w:val="24"/>
        </w:rPr>
        <w:t>Journal of Marketing</w:t>
      </w:r>
      <w:r>
        <w:rPr>
          <w:rFonts w:ascii="Times New Roman" w:hAnsi="Times New Roman" w:cs="Times New Roman"/>
          <w:sz w:val="24"/>
          <w:szCs w:val="24"/>
        </w:rPr>
        <w:t xml:space="preserve">, </w:t>
      </w:r>
      <w:r>
        <w:rPr>
          <w:rFonts w:ascii="Times New Roman" w:hAnsi="Times New Roman" w:cs="Times New Roman"/>
          <w:i/>
          <w:iCs/>
          <w:sz w:val="24"/>
          <w:szCs w:val="24"/>
        </w:rPr>
        <w:t>70</w:t>
      </w:r>
      <w:r>
        <w:rPr>
          <w:rFonts w:ascii="Times New Roman" w:hAnsi="Times New Roman" w:cs="Times New Roman"/>
          <w:sz w:val="24"/>
          <w:szCs w:val="24"/>
        </w:rPr>
        <w:t xml:space="preserve">(1), 50-64. </w:t>
      </w:r>
      <w:hyperlink r:id="rId84" w:history="1">
        <w:r>
          <w:rPr>
            <w:rStyle w:val="af"/>
            <w:rFonts w:ascii="Times New Roman" w:hAnsi="Times New Roman" w:cs="Times New Roman"/>
            <w:color w:val="auto"/>
            <w:sz w:val="24"/>
            <w:szCs w:val="24"/>
          </w:rPr>
          <w:t>https://doi.org/10.1509/jmkg.2006.70.1.50</w:t>
        </w:r>
      </w:hyperlink>
    </w:p>
    <w:p w14:paraId="4E1BE611"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Thomson, M., MacInnis, D. J., &amp; Whan Park, C. (2005). The ties that bind: Measuring the strength of consumers’ emotional attachments to brands. </w:t>
      </w:r>
      <w:r>
        <w:rPr>
          <w:rFonts w:ascii="Times New Roman" w:hAnsi="Times New Roman" w:cs="Times New Roman"/>
          <w:i/>
          <w:iCs/>
          <w:sz w:val="24"/>
          <w:szCs w:val="24"/>
        </w:rPr>
        <w:t>Journal of Consumer Psychology</w:t>
      </w:r>
      <w:r>
        <w:rPr>
          <w:rFonts w:ascii="Times New Roman" w:hAnsi="Times New Roman" w:cs="Times New Roman"/>
          <w:sz w:val="24"/>
          <w:szCs w:val="24"/>
        </w:rPr>
        <w:t xml:space="preserve">, </w:t>
      </w:r>
      <w:r>
        <w:rPr>
          <w:rFonts w:ascii="Times New Roman" w:hAnsi="Times New Roman" w:cs="Times New Roman"/>
          <w:i/>
          <w:iCs/>
          <w:sz w:val="24"/>
          <w:szCs w:val="24"/>
        </w:rPr>
        <w:t>15</w:t>
      </w:r>
      <w:r>
        <w:rPr>
          <w:rFonts w:ascii="Times New Roman" w:hAnsi="Times New Roman" w:cs="Times New Roman"/>
          <w:sz w:val="24"/>
          <w:szCs w:val="24"/>
        </w:rPr>
        <w:t xml:space="preserve">(1), 77–91. </w:t>
      </w:r>
      <w:hyperlink r:id="rId85" w:history="1">
        <w:r>
          <w:rPr>
            <w:rStyle w:val="af"/>
            <w:rFonts w:ascii="Times New Roman" w:hAnsi="Times New Roman" w:cs="Times New Roman"/>
            <w:color w:val="auto"/>
            <w:sz w:val="24"/>
            <w:szCs w:val="24"/>
          </w:rPr>
          <w:t>https://doi.org/10.1207/s15327663jcp1501_10</w:t>
        </w:r>
      </w:hyperlink>
    </w:p>
    <w:p w14:paraId="1F560BD8" w14:textId="77777777" w:rsidR="00F80333" w:rsidRDefault="00534E43">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Tian, K. T., Bearden, W. O., &amp; Hunter, G. L. (2001). Consumers' need for uniqueness: Scale development and validation. </w:t>
      </w:r>
      <w:r>
        <w:rPr>
          <w:rFonts w:ascii="Times New Roman" w:hAnsi="Times New Roman" w:cs="Times New Roman"/>
          <w:i/>
          <w:iCs/>
          <w:sz w:val="24"/>
          <w:szCs w:val="24"/>
        </w:rPr>
        <w:t>Journal of Consumer Research</w:t>
      </w:r>
      <w:r>
        <w:rPr>
          <w:rFonts w:ascii="Times New Roman" w:hAnsi="Times New Roman" w:cs="Times New Roman"/>
          <w:sz w:val="24"/>
          <w:szCs w:val="24"/>
        </w:rPr>
        <w:t xml:space="preserve">, </w:t>
      </w:r>
      <w:r>
        <w:rPr>
          <w:rFonts w:ascii="Times New Roman" w:hAnsi="Times New Roman" w:cs="Times New Roman"/>
          <w:i/>
          <w:iCs/>
          <w:sz w:val="24"/>
          <w:szCs w:val="24"/>
        </w:rPr>
        <w:t>28</w:t>
      </w:r>
      <w:r>
        <w:rPr>
          <w:rFonts w:ascii="Times New Roman" w:hAnsi="Times New Roman" w:cs="Times New Roman"/>
          <w:sz w:val="24"/>
          <w:szCs w:val="24"/>
        </w:rPr>
        <w:t xml:space="preserve">(1), 50–66. </w:t>
      </w:r>
      <w:r w:rsidRPr="00C11E86">
        <w:rPr>
          <w:rStyle w:val="af"/>
          <w:rFonts w:ascii="Times New Roman" w:hAnsi="Times New Roman" w:cs="Times New Roman"/>
          <w:color w:val="auto"/>
          <w:sz w:val="24"/>
          <w:szCs w:val="24"/>
        </w:rPr>
        <w:t>https://doi.org/10.1086/321947</w:t>
      </w:r>
    </w:p>
    <w:p w14:paraId="43112600" w14:textId="7882DAA7" w:rsidR="004F5D9D" w:rsidRPr="005F1B2C" w:rsidRDefault="00822E2C" w:rsidP="0050632A">
      <w:pPr>
        <w:widowControl w:val="0"/>
        <w:autoSpaceDE w:val="0"/>
        <w:autoSpaceDN w:val="0"/>
        <w:adjustRightInd w:val="0"/>
        <w:spacing w:after="0" w:line="360" w:lineRule="exact"/>
        <w:ind w:left="440" w:hangingChars="200" w:hanging="440"/>
        <w:rPr>
          <w:rFonts w:ascii="Times New Roman" w:hAnsi="Times New Roman" w:cs="Times New Roman"/>
          <w:sz w:val="24"/>
          <w:szCs w:val="24"/>
        </w:rPr>
      </w:pPr>
      <w:hyperlink r:id="rId86" w:history="1"/>
      <w:r w:rsidR="007401F3">
        <w:rPr>
          <w:rFonts w:ascii="Times New Roman" w:hAnsi="Times New Roman" w:cs="Times New Roman"/>
          <w:sz w:val="24"/>
          <w:szCs w:val="24"/>
        </w:rPr>
        <w:t xml:space="preserve">Tomlinson, J. (1999). </w:t>
      </w:r>
      <w:r w:rsidR="007401F3" w:rsidRPr="00217C7C">
        <w:rPr>
          <w:rFonts w:ascii="Times New Roman" w:hAnsi="Times New Roman"/>
          <w:i/>
          <w:sz w:val="26"/>
        </w:rPr>
        <w:t xml:space="preserve">Globalization and </w:t>
      </w:r>
      <w:r w:rsidR="00421011" w:rsidRPr="00421011">
        <w:rPr>
          <w:rFonts w:ascii="Times New Roman" w:hAnsi="Times New Roman" w:cs="Times New Roman"/>
          <w:i/>
          <w:iCs/>
          <w:sz w:val="26"/>
          <w:szCs w:val="26"/>
        </w:rPr>
        <w:t>culture</w:t>
      </w:r>
      <w:r w:rsidR="007401F3" w:rsidRPr="00217C7C">
        <w:rPr>
          <w:rFonts w:ascii="Times New Roman" w:hAnsi="Times New Roman"/>
          <w:i/>
          <w:sz w:val="26"/>
        </w:rPr>
        <w:t>.</w:t>
      </w:r>
      <w:r w:rsidR="007401F3" w:rsidRPr="00217C7C">
        <w:rPr>
          <w:rFonts w:ascii="Times New Roman" w:hAnsi="Times New Roman"/>
          <w:sz w:val="26"/>
        </w:rPr>
        <w:t xml:space="preserve"> </w:t>
      </w:r>
      <w:r w:rsidR="007401F3">
        <w:rPr>
          <w:rFonts w:ascii="Times New Roman" w:hAnsi="Times New Roman" w:cs="Times New Roman"/>
          <w:sz w:val="24"/>
          <w:szCs w:val="24"/>
        </w:rPr>
        <w:t>(1st Ed.) University of Chicago Press.</w:t>
      </w:r>
    </w:p>
    <w:p w14:paraId="03EBA140"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eastAsia="SimSun" w:hAnsi="Times New Roman" w:cs="Times New Roman"/>
          <w:sz w:val="24"/>
          <w:szCs w:val="24"/>
          <w:shd w:val="clear" w:color="auto" w:fill="FFFFFF"/>
        </w:rPr>
        <w:t>Ul Hassan,</w:t>
      </w:r>
      <w:r w:rsidR="00051D31">
        <w:rPr>
          <w:rFonts w:ascii="Times New Roman" w:eastAsia="SimSun" w:hAnsi="Times New Roman" w:cs="Times New Roman"/>
          <w:sz w:val="24"/>
          <w:szCs w:val="24"/>
          <w:shd w:val="clear" w:color="auto" w:fill="FFFFFF"/>
        </w:rPr>
        <w:t xml:space="preserve"> </w:t>
      </w:r>
      <w:r>
        <w:rPr>
          <w:rFonts w:ascii="Times New Roman" w:eastAsia="SimSun" w:hAnsi="Times New Roman" w:cs="Times New Roman"/>
          <w:sz w:val="24"/>
          <w:szCs w:val="24"/>
          <w:shd w:val="clear" w:color="auto" w:fill="FFFFFF"/>
        </w:rPr>
        <w:t>S.</w:t>
      </w:r>
      <w:r w:rsidR="00051D31">
        <w:rPr>
          <w:rFonts w:ascii="Times New Roman" w:eastAsia="SimSun" w:hAnsi="Times New Roman" w:cs="Times New Roman"/>
          <w:sz w:val="24"/>
          <w:szCs w:val="24"/>
          <w:shd w:val="clear" w:color="auto" w:fill="FFFFFF"/>
        </w:rPr>
        <w:t xml:space="preserve"> </w:t>
      </w:r>
      <w:r>
        <w:rPr>
          <w:rFonts w:ascii="Times New Roman" w:eastAsia="SimSun" w:hAnsi="Times New Roman" w:cs="Times New Roman"/>
          <w:sz w:val="24"/>
          <w:szCs w:val="24"/>
          <w:shd w:val="clear" w:color="auto" w:fill="FFFFFF"/>
        </w:rPr>
        <w:t>R., Khan,</w:t>
      </w:r>
      <w:r w:rsidR="00FB0285">
        <w:rPr>
          <w:rFonts w:ascii="Times New Roman" w:eastAsia="SimSun" w:hAnsi="Times New Roman" w:cs="Times New Roman"/>
          <w:sz w:val="24"/>
          <w:szCs w:val="24"/>
          <w:shd w:val="clear" w:color="auto" w:fill="FFFFFF"/>
        </w:rPr>
        <w:t xml:space="preserve"> </w:t>
      </w:r>
      <w:r>
        <w:rPr>
          <w:rFonts w:ascii="Times New Roman" w:eastAsia="SimSun" w:hAnsi="Times New Roman" w:cs="Times New Roman"/>
          <w:sz w:val="24"/>
          <w:szCs w:val="24"/>
          <w:shd w:val="clear" w:color="auto" w:fill="FFFFFF"/>
        </w:rPr>
        <w:t>T.</w:t>
      </w:r>
      <w:r w:rsidR="00FB0285">
        <w:rPr>
          <w:rFonts w:ascii="Times New Roman" w:eastAsia="SimSun" w:hAnsi="Times New Roman" w:cs="Times New Roman"/>
          <w:sz w:val="24"/>
          <w:szCs w:val="24"/>
          <w:shd w:val="clear" w:color="auto" w:fill="FFFFFF"/>
        </w:rPr>
        <w:t xml:space="preserve"> </w:t>
      </w:r>
      <w:r>
        <w:rPr>
          <w:rFonts w:ascii="Times New Roman" w:eastAsia="SimSun" w:hAnsi="Times New Roman" w:cs="Times New Roman"/>
          <w:sz w:val="24"/>
          <w:szCs w:val="24"/>
          <w:shd w:val="clear" w:color="auto" w:fill="FFFFFF"/>
        </w:rPr>
        <w:t>I., Mansoor,</w:t>
      </w:r>
      <w:r w:rsidR="00FB0285">
        <w:rPr>
          <w:rFonts w:ascii="Times New Roman" w:eastAsia="SimSun" w:hAnsi="Times New Roman" w:cs="Times New Roman"/>
          <w:sz w:val="24"/>
          <w:szCs w:val="24"/>
          <w:shd w:val="clear" w:color="auto" w:fill="FFFFFF"/>
        </w:rPr>
        <w:t xml:space="preserve"> </w:t>
      </w:r>
      <w:r>
        <w:rPr>
          <w:rFonts w:ascii="Times New Roman" w:eastAsia="SimSun" w:hAnsi="Times New Roman" w:cs="Times New Roman"/>
          <w:sz w:val="24"/>
          <w:szCs w:val="24"/>
          <w:shd w:val="clear" w:color="auto" w:fill="FFFFFF"/>
        </w:rPr>
        <w:t>M., &amp; Jamil,</w:t>
      </w:r>
      <w:r w:rsidR="00FB0285">
        <w:rPr>
          <w:rFonts w:ascii="Times New Roman" w:eastAsia="SimSun" w:hAnsi="Times New Roman" w:cs="Times New Roman"/>
          <w:sz w:val="24"/>
          <w:szCs w:val="24"/>
          <w:shd w:val="clear" w:color="auto" w:fill="FFFFFF"/>
        </w:rPr>
        <w:t xml:space="preserve"> </w:t>
      </w:r>
      <w:r>
        <w:rPr>
          <w:rFonts w:ascii="Times New Roman" w:eastAsia="SimSun" w:hAnsi="Times New Roman" w:cs="Times New Roman"/>
          <w:sz w:val="24"/>
          <w:szCs w:val="24"/>
          <w:shd w:val="clear" w:color="auto" w:fill="FFFFFF"/>
        </w:rPr>
        <w:t>R.</w:t>
      </w:r>
      <w:r w:rsidR="00FB0285">
        <w:rPr>
          <w:rFonts w:ascii="Times New Roman" w:eastAsia="SimSun" w:hAnsi="Times New Roman" w:cs="Times New Roman"/>
          <w:sz w:val="24"/>
          <w:szCs w:val="24"/>
          <w:shd w:val="clear" w:color="auto" w:fill="FFFFFF"/>
        </w:rPr>
        <w:t xml:space="preserve"> </w:t>
      </w:r>
      <w:r>
        <w:rPr>
          <w:rFonts w:ascii="Times New Roman" w:eastAsia="SimSun" w:hAnsi="Times New Roman" w:cs="Times New Roman"/>
          <w:sz w:val="24"/>
          <w:szCs w:val="24"/>
          <w:shd w:val="clear" w:color="auto" w:fill="FFFFFF"/>
        </w:rPr>
        <w:t>A. (2026). From attraction to aversion and back: Examining brand hate, love, and retention.</w:t>
      </w:r>
      <w:r w:rsidR="00FB0285">
        <w:rPr>
          <w:rFonts w:ascii="Times New Roman" w:eastAsia="SimSun" w:hAnsi="Times New Roman" w:cs="Times New Roman"/>
          <w:sz w:val="24"/>
          <w:szCs w:val="24"/>
          <w:shd w:val="clear" w:color="auto" w:fill="FFFFFF"/>
        </w:rPr>
        <w:t xml:space="preserve"> </w:t>
      </w:r>
      <w:r>
        <w:rPr>
          <w:rStyle w:val="aa"/>
          <w:rFonts w:ascii="Times New Roman" w:eastAsia="SimSun" w:hAnsi="Times New Roman" w:cs="Times New Roman"/>
          <w:sz w:val="24"/>
          <w:szCs w:val="24"/>
          <w:shd w:val="clear" w:color="auto" w:fill="FFFFFF"/>
        </w:rPr>
        <w:t>Journal of Retailing and Consumer Services</w:t>
      </w:r>
      <w:r>
        <w:rPr>
          <w:rFonts w:ascii="Times New Roman" w:eastAsia="SimSun" w:hAnsi="Times New Roman" w:cs="Times New Roman"/>
          <w:sz w:val="24"/>
          <w:szCs w:val="24"/>
          <w:shd w:val="clear" w:color="auto" w:fill="FFFFFF"/>
        </w:rPr>
        <w:t>,</w:t>
      </w:r>
      <w:r w:rsidR="00FB0285">
        <w:rPr>
          <w:rFonts w:ascii="Times New Roman" w:eastAsia="SimSun" w:hAnsi="Times New Roman" w:cs="Times New Roman"/>
          <w:sz w:val="24"/>
          <w:szCs w:val="24"/>
          <w:shd w:val="clear" w:color="auto" w:fill="FFFFFF"/>
        </w:rPr>
        <w:t xml:space="preserve"> </w:t>
      </w:r>
      <w:r>
        <w:rPr>
          <w:rStyle w:val="aa"/>
          <w:rFonts w:ascii="Times New Roman" w:eastAsia="SimSun" w:hAnsi="Times New Roman" w:cs="Times New Roman"/>
          <w:sz w:val="24"/>
          <w:szCs w:val="24"/>
          <w:shd w:val="clear" w:color="auto" w:fill="FFFFFF"/>
        </w:rPr>
        <w:t>88</w:t>
      </w:r>
      <w:r>
        <w:rPr>
          <w:rFonts w:ascii="Times New Roman" w:eastAsia="SimSun" w:hAnsi="Times New Roman" w:cs="Times New Roman"/>
          <w:sz w:val="24"/>
          <w:szCs w:val="24"/>
          <w:shd w:val="clear" w:color="auto" w:fill="FFFFFF"/>
        </w:rPr>
        <w:t>, 104554.</w:t>
      </w:r>
      <w:r w:rsidR="00FB0285">
        <w:rPr>
          <w:rFonts w:ascii="Times New Roman" w:eastAsia="SimSun" w:hAnsi="Times New Roman" w:cs="Times New Roman"/>
          <w:sz w:val="24"/>
          <w:szCs w:val="24"/>
          <w:shd w:val="clear" w:color="auto" w:fill="FFFFFF"/>
        </w:rPr>
        <w:t xml:space="preserve"> </w:t>
      </w:r>
      <w:r w:rsidRPr="00C11E86">
        <w:rPr>
          <w:rStyle w:val="af"/>
          <w:rFonts w:ascii="Times New Roman" w:hAnsi="Times New Roman" w:cs="Times New Roman"/>
          <w:color w:val="auto"/>
          <w:sz w:val="24"/>
          <w:szCs w:val="24"/>
        </w:rPr>
        <w:t>https://doi.org/10.1016/j.jretconser.2025.104554</w:t>
      </w:r>
    </w:p>
    <w:p w14:paraId="0195C02A" w14:textId="77777777" w:rsidR="004F5D9D" w:rsidRPr="005F1B2C" w:rsidRDefault="00534E43" w:rsidP="0050632A">
      <w:pPr>
        <w:widowControl w:val="0"/>
        <w:autoSpaceDE w:val="0"/>
        <w:autoSpaceDN w:val="0"/>
        <w:adjustRightInd w:val="0"/>
        <w:spacing w:after="0" w:line="360" w:lineRule="exact"/>
        <w:ind w:left="480" w:hangingChars="200" w:hanging="480"/>
        <w:rPr>
          <w:rStyle w:val="af"/>
          <w:rFonts w:ascii="Times New Roman" w:hAnsi="Times New Roman" w:cs="Times New Roman"/>
          <w:color w:val="auto"/>
          <w:sz w:val="24"/>
          <w:szCs w:val="24"/>
        </w:rPr>
      </w:pPr>
      <w:r>
        <w:rPr>
          <w:rFonts w:ascii="Times New Roman" w:hAnsi="Times New Roman" w:cs="Times New Roman"/>
          <w:sz w:val="24"/>
          <w:szCs w:val="24"/>
        </w:rPr>
        <w:t xml:space="preserve">Vallaster, C., &amp; De Chernatony, L. (2005). Internationalization of service brands: The role of leadership during the internal brand-building process. </w:t>
      </w:r>
      <w:r>
        <w:rPr>
          <w:rFonts w:ascii="Times New Roman" w:hAnsi="Times New Roman" w:cs="Times New Roman"/>
          <w:i/>
          <w:iCs/>
          <w:sz w:val="24"/>
          <w:szCs w:val="24"/>
        </w:rPr>
        <w:t>Journal of Marketing Management</w:t>
      </w:r>
      <w:r>
        <w:rPr>
          <w:rFonts w:ascii="Times New Roman" w:hAnsi="Times New Roman" w:cs="Times New Roman"/>
          <w:sz w:val="24"/>
          <w:szCs w:val="24"/>
        </w:rPr>
        <w:t xml:space="preserve">, </w:t>
      </w:r>
      <w:r>
        <w:rPr>
          <w:rFonts w:ascii="Times New Roman" w:hAnsi="Times New Roman" w:cs="Times New Roman"/>
          <w:i/>
          <w:iCs/>
          <w:sz w:val="24"/>
          <w:szCs w:val="24"/>
        </w:rPr>
        <w:t>21</w:t>
      </w:r>
      <w:r>
        <w:rPr>
          <w:rFonts w:ascii="Times New Roman" w:hAnsi="Times New Roman" w:cs="Times New Roman"/>
          <w:sz w:val="24"/>
          <w:szCs w:val="24"/>
        </w:rPr>
        <w:t xml:space="preserve">(1-2), 181–203. </w:t>
      </w:r>
      <w:hyperlink r:id="rId87" w:history="1">
        <w:r>
          <w:rPr>
            <w:rStyle w:val="af"/>
            <w:rFonts w:ascii="Times New Roman" w:hAnsi="Times New Roman" w:cs="Times New Roman"/>
            <w:color w:val="auto"/>
            <w:sz w:val="24"/>
            <w:szCs w:val="24"/>
          </w:rPr>
          <w:t>https://doi.org/10.1362/0267257053166839</w:t>
        </w:r>
      </w:hyperlink>
    </w:p>
    <w:p w14:paraId="68F9A94D" w14:textId="5F0DAD1B"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shd w:val="clear" w:color="auto" w:fill="FFFFFF"/>
        </w:rPr>
        <w:t>Walter,</w:t>
      </w:r>
      <w:r w:rsidR="00FB028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C.</w:t>
      </w:r>
      <w:r w:rsidR="00FB028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E., Vale,</w:t>
      </w:r>
      <w:r w:rsidR="00FB028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V.</w:t>
      </w:r>
      <w:r w:rsidR="00FB028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T., Au-Yong-Oliveira,</w:t>
      </w:r>
      <w:r w:rsidR="00FB028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M., Veloso,</w:t>
      </w:r>
      <w:r w:rsidR="00FB028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C.</w:t>
      </w:r>
      <w:r w:rsidR="00FB028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M., &amp; Sousa,</w:t>
      </w:r>
      <w:r w:rsidR="00FB028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B.</w:t>
      </w:r>
      <w:r w:rsidR="00FB028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B. (2023). “The dark side of the brand” and brand hate: A review and future research agenda.</w:t>
      </w:r>
      <w:r w:rsidR="00421011">
        <w:rPr>
          <w:rFonts w:ascii="Times New Roman" w:hAnsi="Times New Roman" w:cs="Times New Roman"/>
          <w:sz w:val="24"/>
          <w:szCs w:val="24"/>
          <w:shd w:val="clear" w:color="auto" w:fill="FFFFFF"/>
        </w:rPr>
        <w:t xml:space="preserve"> </w:t>
      </w:r>
      <w:r w:rsidRPr="00C11E86">
        <w:rPr>
          <w:rStyle w:val="aa"/>
          <w:rFonts w:ascii="Times New Roman" w:hAnsi="Times New Roman" w:cs="Times New Roman"/>
          <w:sz w:val="24"/>
          <w:szCs w:val="24"/>
          <w:shd w:val="clear" w:color="auto" w:fill="FFFFFF"/>
        </w:rPr>
        <w:t>Administrative Sciences</w:t>
      </w:r>
      <w:r>
        <w:rPr>
          <w:rFonts w:ascii="Times New Roman" w:hAnsi="Times New Roman" w:cs="Times New Roman"/>
          <w:sz w:val="24"/>
          <w:szCs w:val="24"/>
          <w:shd w:val="clear" w:color="auto" w:fill="FFFFFF"/>
        </w:rPr>
        <w:t>,</w:t>
      </w:r>
      <w:r w:rsidR="00FB0285">
        <w:rPr>
          <w:rFonts w:ascii="Times New Roman" w:hAnsi="Times New Roman" w:cs="Times New Roman"/>
          <w:sz w:val="24"/>
          <w:szCs w:val="24"/>
          <w:shd w:val="clear" w:color="auto" w:fill="FFFFFF"/>
        </w:rPr>
        <w:t xml:space="preserve"> </w:t>
      </w:r>
      <w:r>
        <w:rPr>
          <w:rStyle w:val="aa"/>
          <w:rFonts w:ascii="Times New Roman" w:hAnsi="Times New Roman" w:cs="Times New Roman"/>
          <w:sz w:val="24"/>
          <w:szCs w:val="24"/>
          <w:shd w:val="clear" w:color="auto" w:fill="FFFFFF"/>
        </w:rPr>
        <w:t>13</w:t>
      </w:r>
      <w:r>
        <w:rPr>
          <w:rFonts w:ascii="Times New Roman" w:hAnsi="Times New Roman" w:cs="Times New Roman"/>
          <w:sz w:val="24"/>
          <w:szCs w:val="24"/>
          <w:shd w:val="clear" w:color="auto" w:fill="FFFFFF"/>
        </w:rPr>
        <w:t>(11), 234.</w:t>
      </w:r>
      <w:r w:rsidR="00FB0285" w:rsidRPr="003E6676">
        <w:rPr>
          <w:rStyle w:val="af"/>
          <w:color w:val="auto"/>
          <w:u w:val="none"/>
        </w:rPr>
        <w:t xml:space="preserve"> </w:t>
      </w:r>
      <w:r w:rsidRPr="00C11E86">
        <w:rPr>
          <w:rStyle w:val="af"/>
          <w:rFonts w:ascii="Times New Roman" w:hAnsi="Times New Roman" w:cs="Times New Roman"/>
          <w:color w:val="auto"/>
          <w:sz w:val="24"/>
          <w:szCs w:val="24"/>
        </w:rPr>
        <w:t>https://doi.org/10.3390/admsci13110234</w:t>
      </w:r>
    </w:p>
    <w:p w14:paraId="4CE0E8F5"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Weingarten, K. (2006). On hating to hate. </w:t>
      </w:r>
      <w:r>
        <w:rPr>
          <w:rFonts w:ascii="Times New Roman" w:hAnsi="Times New Roman" w:cs="Times New Roman"/>
          <w:i/>
          <w:iCs/>
          <w:sz w:val="24"/>
          <w:szCs w:val="24"/>
        </w:rPr>
        <w:t>Family Process</w:t>
      </w:r>
      <w:r>
        <w:rPr>
          <w:rFonts w:ascii="Times New Roman" w:hAnsi="Times New Roman" w:cs="Times New Roman"/>
          <w:sz w:val="24"/>
          <w:szCs w:val="24"/>
        </w:rPr>
        <w:t xml:space="preserve">, </w:t>
      </w:r>
      <w:r>
        <w:rPr>
          <w:rFonts w:ascii="Times New Roman" w:hAnsi="Times New Roman" w:cs="Times New Roman"/>
          <w:i/>
          <w:iCs/>
          <w:sz w:val="24"/>
          <w:szCs w:val="24"/>
        </w:rPr>
        <w:t>45</w:t>
      </w:r>
      <w:r>
        <w:rPr>
          <w:rFonts w:ascii="Times New Roman" w:hAnsi="Times New Roman" w:cs="Times New Roman"/>
          <w:sz w:val="24"/>
          <w:szCs w:val="24"/>
        </w:rPr>
        <w:t xml:space="preserve">(3), 277-288. </w:t>
      </w:r>
      <w:hyperlink r:id="rId88" w:history="1">
        <w:r>
          <w:rPr>
            <w:rStyle w:val="af"/>
            <w:rFonts w:ascii="Times New Roman" w:hAnsi="Times New Roman" w:cs="Times New Roman"/>
            <w:color w:val="auto"/>
            <w:sz w:val="24"/>
            <w:szCs w:val="24"/>
          </w:rPr>
          <w:t>https://doi.org/10.1111/j.1545-5300.2006.00170.x</w:t>
        </w:r>
      </w:hyperlink>
    </w:p>
    <w:p w14:paraId="6B55D937" w14:textId="77777777" w:rsidR="004F5D9D" w:rsidRPr="005F1B2C" w:rsidRDefault="00534E43" w:rsidP="0050632A">
      <w:pPr>
        <w:widowControl w:val="0"/>
        <w:autoSpaceDE w:val="0"/>
        <w:autoSpaceDN w:val="0"/>
        <w:adjustRightInd w:val="0"/>
        <w:spacing w:after="0" w:line="360" w:lineRule="exact"/>
        <w:ind w:left="480" w:hangingChars="200" w:hanging="480"/>
        <w:rPr>
          <w:rFonts w:ascii="Times New Roman" w:hAnsi="Times New Roman" w:cs="Times New Roman"/>
          <w:sz w:val="24"/>
          <w:szCs w:val="24"/>
        </w:rPr>
      </w:pPr>
      <w:r>
        <w:rPr>
          <w:rFonts w:ascii="Times New Roman" w:hAnsi="Times New Roman" w:cs="Times New Roman"/>
          <w:sz w:val="24"/>
          <w:szCs w:val="24"/>
        </w:rPr>
        <w:t xml:space="preserve">Whelan, J., &amp; Dawar, N. (2016). Attributions of blame following a product-harm crisis depend on consumers’ attachment styles. </w:t>
      </w:r>
      <w:r>
        <w:rPr>
          <w:rFonts w:ascii="Times New Roman" w:hAnsi="Times New Roman" w:cs="Times New Roman"/>
          <w:i/>
          <w:iCs/>
          <w:sz w:val="24"/>
          <w:szCs w:val="24"/>
        </w:rPr>
        <w:t>Marketing Letters</w:t>
      </w:r>
      <w:r>
        <w:rPr>
          <w:rFonts w:ascii="Times New Roman" w:hAnsi="Times New Roman" w:cs="Times New Roman"/>
          <w:sz w:val="24"/>
          <w:szCs w:val="24"/>
        </w:rPr>
        <w:t xml:space="preserve">, </w:t>
      </w:r>
      <w:r>
        <w:rPr>
          <w:rFonts w:ascii="Times New Roman" w:hAnsi="Times New Roman" w:cs="Times New Roman"/>
          <w:i/>
          <w:iCs/>
          <w:sz w:val="24"/>
          <w:szCs w:val="24"/>
        </w:rPr>
        <w:t>27</w:t>
      </w:r>
      <w:r>
        <w:rPr>
          <w:rFonts w:ascii="Times New Roman" w:hAnsi="Times New Roman" w:cs="Times New Roman"/>
          <w:sz w:val="24"/>
          <w:szCs w:val="24"/>
        </w:rPr>
        <w:t xml:space="preserve">(2), 285–294. </w:t>
      </w:r>
      <w:hyperlink r:id="rId89" w:history="1">
        <w:r>
          <w:rPr>
            <w:rStyle w:val="af"/>
            <w:rFonts w:ascii="Times New Roman" w:hAnsi="Times New Roman" w:cs="Times New Roman"/>
            <w:color w:val="auto"/>
            <w:sz w:val="24"/>
            <w:szCs w:val="24"/>
          </w:rPr>
          <w:t>https://doi.org/10.1007/s11002-014-9340-z</w:t>
        </w:r>
      </w:hyperlink>
    </w:p>
    <w:p w14:paraId="577B077E" w14:textId="77777777" w:rsidR="004F5D9D" w:rsidRPr="005F1B2C" w:rsidRDefault="00822E2C" w:rsidP="0050632A">
      <w:pPr>
        <w:widowControl w:val="0"/>
        <w:autoSpaceDE w:val="0"/>
        <w:autoSpaceDN w:val="0"/>
        <w:adjustRightInd w:val="0"/>
        <w:spacing w:after="0" w:line="360" w:lineRule="exact"/>
        <w:ind w:left="440" w:hangingChars="200" w:hanging="440"/>
        <w:rPr>
          <w:rFonts w:ascii="Times New Roman" w:hAnsi="Times New Roman" w:cs="Times New Roman"/>
          <w:sz w:val="24"/>
          <w:szCs w:val="24"/>
        </w:rPr>
      </w:pPr>
      <w:hyperlink r:id="rId90" w:history="1"/>
      <w:hyperlink r:id="rId91" w:history="1"/>
      <w:r w:rsidR="007401F3">
        <w:rPr>
          <w:rFonts w:ascii="Times New Roman" w:hAnsi="Times New Roman" w:cs="Times New Roman"/>
          <w:sz w:val="24"/>
          <w:szCs w:val="24"/>
        </w:rPr>
        <w:t xml:space="preserve">Wolter, J. S., Brach, S., Cronin, J. J., &amp; Bonn, M. (2016). Symbolic drivers of consumer–brand identification and disidentification. </w:t>
      </w:r>
      <w:r w:rsidR="007401F3">
        <w:rPr>
          <w:rFonts w:ascii="Times New Roman" w:hAnsi="Times New Roman" w:cs="Times New Roman"/>
          <w:i/>
          <w:iCs/>
          <w:sz w:val="24"/>
          <w:szCs w:val="24"/>
        </w:rPr>
        <w:t>Journal of Business Research</w:t>
      </w:r>
      <w:r w:rsidR="007401F3">
        <w:rPr>
          <w:rFonts w:ascii="Times New Roman" w:hAnsi="Times New Roman" w:cs="Times New Roman"/>
          <w:sz w:val="24"/>
          <w:szCs w:val="24"/>
        </w:rPr>
        <w:t xml:space="preserve">, </w:t>
      </w:r>
      <w:r w:rsidR="007401F3">
        <w:rPr>
          <w:rFonts w:ascii="Times New Roman" w:hAnsi="Times New Roman" w:cs="Times New Roman"/>
          <w:i/>
          <w:iCs/>
          <w:sz w:val="24"/>
          <w:szCs w:val="24"/>
        </w:rPr>
        <w:t>69</w:t>
      </w:r>
      <w:r w:rsidR="007401F3">
        <w:rPr>
          <w:rFonts w:ascii="Times New Roman" w:hAnsi="Times New Roman" w:cs="Times New Roman"/>
          <w:sz w:val="24"/>
          <w:szCs w:val="24"/>
        </w:rPr>
        <w:t xml:space="preserve">(2), 785–793. </w:t>
      </w:r>
      <w:hyperlink r:id="rId92" w:history="1">
        <w:r w:rsidR="007401F3">
          <w:rPr>
            <w:rStyle w:val="af"/>
            <w:rFonts w:ascii="Times New Roman" w:hAnsi="Times New Roman" w:cs="Times New Roman"/>
            <w:color w:val="auto"/>
            <w:sz w:val="24"/>
            <w:szCs w:val="24"/>
          </w:rPr>
          <w:t>https://doi.org/10.1016/j.jbusres.2015.07.011</w:t>
        </w:r>
      </w:hyperlink>
    </w:p>
    <w:p w14:paraId="25DB57FF" w14:textId="77777777" w:rsidR="004F5D9D" w:rsidRPr="005F1B2C" w:rsidRDefault="00822E2C" w:rsidP="0050632A">
      <w:pPr>
        <w:widowControl w:val="0"/>
        <w:autoSpaceDE w:val="0"/>
        <w:autoSpaceDN w:val="0"/>
        <w:adjustRightInd w:val="0"/>
        <w:spacing w:after="0" w:line="360" w:lineRule="exact"/>
        <w:ind w:left="440" w:hangingChars="200" w:hanging="440"/>
        <w:rPr>
          <w:rFonts w:ascii="Times New Roman" w:hAnsi="Times New Roman" w:cs="Times New Roman"/>
          <w:sz w:val="24"/>
          <w:szCs w:val="24"/>
        </w:rPr>
      </w:pPr>
      <w:hyperlink r:id="rId93" w:history="1"/>
      <w:proofErr w:type="spellStart"/>
      <w:r w:rsidR="007401F3">
        <w:rPr>
          <w:rFonts w:ascii="Times New Roman" w:hAnsi="Times New Roman" w:cs="Times New Roman"/>
          <w:sz w:val="24"/>
          <w:szCs w:val="24"/>
        </w:rPr>
        <w:t>Zarantonello</w:t>
      </w:r>
      <w:proofErr w:type="spellEnd"/>
      <w:r w:rsidR="007401F3">
        <w:rPr>
          <w:rFonts w:ascii="Times New Roman" w:hAnsi="Times New Roman" w:cs="Times New Roman"/>
          <w:sz w:val="24"/>
          <w:szCs w:val="24"/>
        </w:rPr>
        <w:t xml:space="preserve">, L., Romani, S., Grappi, S., &amp; Bagozzi, R. P. (2016). Brand hate. </w:t>
      </w:r>
      <w:r w:rsidR="007401F3">
        <w:rPr>
          <w:rFonts w:ascii="Times New Roman" w:hAnsi="Times New Roman" w:cs="Times New Roman"/>
          <w:i/>
          <w:iCs/>
          <w:sz w:val="24"/>
          <w:szCs w:val="24"/>
        </w:rPr>
        <w:t>Journal of Product &amp; Brand Management</w:t>
      </w:r>
      <w:r w:rsidR="007401F3">
        <w:rPr>
          <w:rFonts w:ascii="Times New Roman" w:hAnsi="Times New Roman" w:cs="Times New Roman"/>
          <w:sz w:val="24"/>
          <w:szCs w:val="24"/>
        </w:rPr>
        <w:t xml:space="preserve">, </w:t>
      </w:r>
      <w:r w:rsidR="007401F3">
        <w:rPr>
          <w:rFonts w:ascii="Times New Roman" w:hAnsi="Times New Roman" w:cs="Times New Roman"/>
          <w:i/>
          <w:iCs/>
          <w:sz w:val="24"/>
          <w:szCs w:val="24"/>
        </w:rPr>
        <w:t>25</w:t>
      </w:r>
      <w:r w:rsidR="007401F3">
        <w:rPr>
          <w:rFonts w:ascii="Times New Roman" w:hAnsi="Times New Roman" w:cs="Times New Roman"/>
          <w:sz w:val="24"/>
          <w:szCs w:val="24"/>
        </w:rPr>
        <w:t xml:space="preserve">(1), 11-25. </w:t>
      </w:r>
      <w:hyperlink r:id="rId94" w:history="1">
        <w:r w:rsidR="007401F3">
          <w:rPr>
            <w:rStyle w:val="af"/>
            <w:rFonts w:ascii="Times New Roman" w:hAnsi="Times New Roman" w:cs="Times New Roman"/>
            <w:color w:val="auto"/>
            <w:sz w:val="24"/>
            <w:szCs w:val="24"/>
          </w:rPr>
          <w:t>https://doi.org/10.1108/jpbm-01-2015-0799</w:t>
        </w:r>
      </w:hyperlink>
      <w:r w:rsidR="007401F3">
        <w:rPr>
          <w:rFonts w:ascii="Times New Roman" w:hAnsi="Times New Roman" w:cs="Times New Roman"/>
          <w:sz w:val="24"/>
          <w:szCs w:val="24"/>
        </w:rPr>
        <w:fldChar w:fldCharType="end"/>
      </w:r>
      <w:bookmarkEnd w:id="5"/>
    </w:p>
    <w:p w14:paraId="6ACBA8B3" w14:textId="77777777" w:rsidR="004F5D9D" w:rsidRPr="005F1B2C" w:rsidRDefault="00534E43" w:rsidP="0050632A">
      <w:pPr>
        <w:widowControl w:val="0"/>
        <w:autoSpaceDE w:val="0"/>
        <w:autoSpaceDN w:val="0"/>
        <w:adjustRightInd w:val="0"/>
        <w:spacing w:after="0" w:line="360" w:lineRule="exact"/>
        <w:ind w:left="480" w:hangingChars="200" w:hanging="480"/>
        <w:rPr>
          <w:rStyle w:val="af"/>
          <w:rFonts w:ascii="Times New Roman" w:hAnsi="Times New Roman" w:cs="Times New Roman"/>
          <w:color w:val="auto"/>
          <w:sz w:val="24"/>
          <w:szCs w:val="24"/>
          <w:u w:val="none"/>
          <w:shd w:val="clear" w:color="auto" w:fill="FFFFFF"/>
        </w:rPr>
      </w:pPr>
      <w:r>
        <w:rPr>
          <w:rFonts w:ascii="Times New Roman" w:hAnsi="Times New Roman" w:cs="Times New Roman"/>
          <w:sz w:val="24"/>
          <w:szCs w:val="24"/>
          <w:shd w:val="clear" w:color="auto" w:fill="FFFFFF"/>
        </w:rPr>
        <w:t>Zhang,</w:t>
      </w:r>
      <w:r>
        <w:rPr>
          <w:rFonts w:ascii="Times New Roman" w:hAnsi="Times New Roman" w:cs="Times New Roman" w:hint="eastAsia"/>
          <w:sz w:val="24"/>
          <w:szCs w:val="24"/>
          <w:shd w:val="clear" w:color="auto" w:fill="FFFFFF"/>
          <w:lang w:eastAsia="zh-TW"/>
        </w:rPr>
        <w:t xml:space="preserve"> </w:t>
      </w:r>
      <w:r>
        <w:rPr>
          <w:rFonts w:ascii="Times New Roman" w:hAnsi="Times New Roman" w:cs="Times New Roman"/>
          <w:sz w:val="24"/>
          <w:szCs w:val="24"/>
          <w:shd w:val="clear" w:color="auto" w:fill="FFFFFF"/>
        </w:rPr>
        <w:t>C., &amp; Laroche,</w:t>
      </w:r>
      <w:r>
        <w:rPr>
          <w:rFonts w:ascii="Times New Roman" w:hAnsi="Times New Roman" w:cs="Times New Roman" w:hint="eastAsia"/>
          <w:sz w:val="24"/>
          <w:szCs w:val="24"/>
          <w:shd w:val="clear" w:color="auto" w:fill="FFFFFF"/>
          <w:lang w:eastAsia="zh-TW"/>
        </w:rPr>
        <w:t xml:space="preserve"> </w:t>
      </w:r>
      <w:r>
        <w:rPr>
          <w:rFonts w:ascii="Times New Roman" w:hAnsi="Times New Roman" w:cs="Times New Roman"/>
          <w:sz w:val="24"/>
          <w:szCs w:val="24"/>
          <w:shd w:val="clear" w:color="auto" w:fill="FFFFFF"/>
        </w:rPr>
        <w:t>M. (2020). Brand hate: A multidimensional construct.</w:t>
      </w:r>
      <w:r>
        <w:rPr>
          <w:rFonts w:ascii="Times New Roman" w:hAnsi="Times New Roman" w:cs="Times New Roman" w:hint="eastAsia"/>
          <w:sz w:val="24"/>
          <w:szCs w:val="24"/>
          <w:shd w:val="clear" w:color="auto" w:fill="FFFFFF"/>
          <w:lang w:eastAsia="zh-TW"/>
        </w:rPr>
        <w:t xml:space="preserve"> </w:t>
      </w:r>
      <w:r w:rsidRPr="00C11E86">
        <w:rPr>
          <w:rStyle w:val="aa"/>
          <w:rFonts w:ascii="Times New Roman" w:hAnsi="Times New Roman" w:cs="Times New Roman"/>
          <w:sz w:val="24"/>
          <w:szCs w:val="24"/>
          <w:shd w:val="clear" w:color="auto" w:fill="FFFFFF"/>
        </w:rPr>
        <w:t>Journal of Product &amp; Brand Management</w:t>
      </w:r>
      <w:r w:rsidRPr="00FB0285">
        <w:rPr>
          <w:rFonts w:ascii="Times New Roman" w:hAnsi="Times New Roman" w:cs="Times New Roman"/>
          <w:iCs/>
          <w:sz w:val="24"/>
          <w:szCs w:val="24"/>
          <w:shd w:val="clear" w:color="auto" w:fill="FFFFFF"/>
        </w:rPr>
        <w:t>,</w:t>
      </w:r>
      <w:r w:rsidRPr="00FB0285">
        <w:rPr>
          <w:rFonts w:ascii="Times New Roman" w:hAnsi="Times New Roman" w:cs="Times New Roman" w:hint="eastAsia"/>
          <w:iCs/>
          <w:sz w:val="24"/>
          <w:szCs w:val="24"/>
          <w:shd w:val="clear" w:color="auto" w:fill="FFFFFF"/>
          <w:lang w:eastAsia="zh-TW"/>
        </w:rPr>
        <w:t xml:space="preserve"> </w:t>
      </w:r>
      <w:r>
        <w:rPr>
          <w:rStyle w:val="aa"/>
          <w:rFonts w:ascii="Times New Roman" w:hAnsi="Times New Roman" w:cs="Times New Roman"/>
          <w:sz w:val="24"/>
          <w:szCs w:val="24"/>
          <w:shd w:val="clear" w:color="auto" w:fill="FFFFFF"/>
        </w:rPr>
        <w:t>30</w:t>
      </w:r>
      <w:r>
        <w:rPr>
          <w:rFonts w:ascii="Times New Roman" w:hAnsi="Times New Roman" w:cs="Times New Roman"/>
          <w:sz w:val="24"/>
          <w:szCs w:val="24"/>
          <w:shd w:val="clear" w:color="auto" w:fill="FFFFFF"/>
        </w:rPr>
        <w:t>(3), 392–414.</w:t>
      </w:r>
      <w:r>
        <w:rPr>
          <w:rFonts w:ascii="Times New Roman" w:hAnsi="Times New Roman" w:cs="Times New Roman" w:hint="eastAsia"/>
          <w:sz w:val="24"/>
          <w:szCs w:val="24"/>
          <w:shd w:val="clear" w:color="auto" w:fill="FFFFFF"/>
          <w:lang w:eastAsia="zh-TW"/>
        </w:rPr>
        <w:t xml:space="preserve"> </w:t>
      </w:r>
      <w:hyperlink r:id="rId95" w:history="1">
        <w:r>
          <w:rPr>
            <w:rStyle w:val="af"/>
            <w:rFonts w:ascii="Times New Roman" w:hAnsi="Times New Roman" w:cs="Times New Roman"/>
            <w:color w:val="auto"/>
            <w:sz w:val="24"/>
            <w:szCs w:val="24"/>
            <w:shd w:val="clear" w:color="auto" w:fill="FFFFFF"/>
          </w:rPr>
          <w:t>https://doi.org/10.1108/jpbm-11-2018-2103</w:t>
        </w:r>
      </w:hyperlink>
    </w:p>
    <w:p w14:paraId="2213DDC8" w14:textId="77777777" w:rsidR="0050632A" w:rsidRPr="005F1B2C" w:rsidRDefault="0050632A" w:rsidP="0050632A">
      <w:pPr>
        <w:widowControl w:val="0"/>
        <w:autoSpaceDE w:val="0"/>
        <w:autoSpaceDN w:val="0"/>
        <w:adjustRightInd w:val="0"/>
        <w:spacing w:after="0" w:line="360" w:lineRule="exact"/>
        <w:ind w:left="480" w:hangingChars="200" w:hanging="480"/>
        <w:rPr>
          <w:rStyle w:val="af"/>
          <w:rFonts w:ascii="Times New Roman" w:hAnsi="Times New Roman" w:cs="Times New Roman"/>
          <w:color w:val="auto"/>
          <w:sz w:val="24"/>
          <w:szCs w:val="24"/>
          <w:u w:val="none"/>
          <w:shd w:val="clear" w:color="auto" w:fill="FFFFFF"/>
        </w:rPr>
      </w:pPr>
    </w:p>
    <w:p w14:paraId="6F2FF3C8" w14:textId="77777777" w:rsidR="0050632A" w:rsidRPr="005F1B2C" w:rsidRDefault="0050632A" w:rsidP="0050632A">
      <w:pPr>
        <w:widowControl w:val="0"/>
        <w:autoSpaceDE w:val="0"/>
        <w:autoSpaceDN w:val="0"/>
        <w:adjustRightInd w:val="0"/>
        <w:spacing w:after="0" w:line="360" w:lineRule="exact"/>
        <w:ind w:left="520" w:hangingChars="200" w:hanging="520"/>
        <w:rPr>
          <w:rFonts w:ascii="Times New Roman" w:hAnsi="Times New Roman" w:cs="Times New Roman"/>
          <w:sz w:val="26"/>
          <w:szCs w:val="26"/>
        </w:rPr>
      </w:pPr>
    </w:p>
    <w:p w14:paraId="1DA82D5B" w14:textId="77777777" w:rsidR="00257D15" w:rsidRPr="005F1B2C" w:rsidRDefault="00534E43" w:rsidP="00257D15">
      <w:pPr>
        <w:widowControl w:val="0"/>
        <w:autoSpaceDE w:val="0"/>
        <w:autoSpaceDN w:val="0"/>
        <w:adjustRightInd w:val="0"/>
        <w:spacing w:after="0" w:line="360" w:lineRule="exact"/>
        <w:jc w:val="both"/>
        <w:rPr>
          <w:rFonts w:ascii="Times New Roman" w:hAnsi="Times New Roman" w:cs="Times New Roman"/>
          <w:sz w:val="24"/>
          <w:szCs w:val="24"/>
        </w:rPr>
      </w:pPr>
      <w:r>
        <w:rPr>
          <w:rFonts w:ascii="Times New Roman" w:hAnsi="Times New Roman" w:cs="Times New Roman"/>
          <w:b/>
          <w:bCs/>
          <w:sz w:val="24"/>
          <w:szCs w:val="24"/>
        </w:rPr>
        <w:t>Dr. Ajay Chandel</w:t>
      </w:r>
      <w:r>
        <w:rPr>
          <w:rFonts w:ascii="Times New Roman" w:hAnsi="Times New Roman" w:cs="Times New Roman" w:hint="eastAsia"/>
          <w:b/>
          <w:bCs/>
          <w:sz w:val="24"/>
          <w:szCs w:val="24"/>
          <w:lang w:eastAsia="zh-TW"/>
        </w:rPr>
        <w:t xml:space="preserve"> </w:t>
      </w:r>
      <w:r>
        <w:rPr>
          <w:rFonts w:ascii="Times New Roman" w:hAnsi="Times New Roman" w:cs="Times New Roman" w:hint="eastAsia"/>
          <w:sz w:val="24"/>
          <w:szCs w:val="24"/>
          <w:lang w:eastAsia="zh-TW"/>
        </w:rPr>
        <w:t>i</w:t>
      </w:r>
      <w:r>
        <w:rPr>
          <w:rFonts w:ascii="Times New Roman" w:hAnsi="Times New Roman" w:cs="Times New Roman"/>
          <w:sz w:val="24"/>
          <w:szCs w:val="24"/>
          <w:lang w:eastAsia="zh-TW"/>
        </w:rPr>
        <w:t>s currently an A</w:t>
      </w:r>
      <w:r>
        <w:rPr>
          <w:rFonts w:ascii="Times New Roman" w:hAnsi="Times New Roman" w:cs="Times New Roman"/>
          <w:sz w:val="24"/>
          <w:szCs w:val="24"/>
        </w:rPr>
        <w:t>ssociate Professor at the Mittal School of Business, Lovely Professional University, specializing in Strategy and Brand Management. With 15 years of experience, he brings expertise in Strategic Management, Business Simulation, and Social Entrepreneurship. He has published extensively in SCOPUS and UGC-listed journals on topics such as Branding, Social Media Marketing, and SDGs. His case studies on SMEs and Social Entrepreneurship are featured in The Case Center in the UK, and he reviews for esteemed international journals.</w:t>
      </w:r>
    </w:p>
    <w:p w14:paraId="57E0AC89" w14:textId="77777777" w:rsidR="0032017E" w:rsidRPr="005F1B2C" w:rsidRDefault="0032017E" w:rsidP="00257D15">
      <w:pPr>
        <w:widowControl w:val="0"/>
        <w:autoSpaceDE w:val="0"/>
        <w:autoSpaceDN w:val="0"/>
        <w:adjustRightInd w:val="0"/>
        <w:spacing w:after="0" w:line="360" w:lineRule="exact"/>
        <w:jc w:val="both"/>
        <w:rPr>
          <w:rFonts w:ascii="Times New Roman" w:hAnsi="Times New Roman" w:cs="Times New Roman"/>
          <w:sz w:val="24"/>
          <w:szCs w:val="24"/>
        </w:rPr>
      </w:pPr>
    </w:p>
    <w:p w14:paraId="6147F19D" w14:textId="5E5EF24B" w:rsidR="00257D15" w:rsidRPr="005F1B2C" w:rsidRDefault="00534E43" w:rsidP="005D5C32">
      <w:pPr>
        <w:widowControl w:val="0"/>
        <w:autoSpaceDE w:val="0"/>
        <w:autoSpaceDN w:val="0"/>
        <w:adjustRightInd w:val="0"/>
        <w:spacing w:after="0" w:line="360" w:lineRule="exact"/>
        <w:jc w:val="both"/>
        <w:rPr>
          <w:rFonts w:ascii="Times New Roman" w:hAnsi="Times New Roman" w:cs="Times New Roman"/>
          <w:sz w:val="24"/>
          <w:szCs w:val="24"/>
        </w:rPr>
      </w:pPr>
      <w:r>
        <w:rPr>
          <w:rFonts w:ascii="Times New Roman" w:hAnsi="Times New Roman" w:cs="Times New Roman"/>
          <w:b/>
          <w:bCs/>
          <w:sz w:val="24"/>
          <w:szCs w:val="24"/>
        </w:rPr>
        <w:t>Dr</w:t>
      </w:r>
      <w:r w:rsidR="00FB0285">
        <w:rPr>
          <w:rFonts w:ascii="Times New Roman" w:hAnsi="Times New Roman" w:cs="Times New Roman"/>
          <w:b/>
          <w:bCs/>
          <w:sz w:val="24"/>
          <w:szCs w:val="24"/>
        </w:rPr>
        <w:t>.</w:t>
      </w: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Rohail</w:t>
      </w:r>
      <w:proofErr w:type="spellEnd"/>
      <w:r>
        <w:rPr>
          <w:rFonts w:ascii="Times New Roman" w:hAnsi="Times New Roman" w:cs="Times New Roman"/>
          <w:b/>
          <w:bCs/>
          <w:sz w:val="24"/>
          <w:szCs w:val="24"/>
        </w:rPr>
        <w:t xml:space="preserve"> Hassan (Corresponding Author)</w:t>
      </w:r>
      <w:r>
        <w:rPr>
          <w:rFonts w:ascii="Times New Roman" w:hAnsi="Times New Roman" w:cs="Times New Roman"/>
          <w:sz w:val="24"/>
          <w:szCs w:val="24"/>
        </w:rPr>
        <w:t xml:space="preserve"> is </w:t>
      </w:r>
      <w:r w:rsidR="00FB0285">
        <w:rPr>
          <w:rFonts w:ascii="Times New Roman" w:hAnsi="Times New Roman" w:cs="Times New Roman"/>
          <w:sz w:val="24"/>
          <w:szCs w:val="24"/>
        </w:rPr>
        <w:t xml:space="preserve">an </w:t>
      </w:r>
      <w:r w:rsidR="00217C7C">
        <w:rPr>
          <w:rFonts w:ascii="Times New Roman" w:hAnsi="Times New Roman" w:cs="Times New Roman"/>
          <w:sz w:val="24"/>
          <w:szCs w:val="24"/>
        </w:rPr>
        <w:t xml:space="preserve">Associate Professor </w:t>
      </w:r>
      <w:r>
        <w:rPr>
          <w:rFonts w:ascii="Times New Roman" w:hAnsi="Times New Roman" w:cs="Times New Roman"/>
          <w:sz w:val="24"/>
          <w:szCs w:val="24"/>
        </w:rPr>
        <w:t>of Corporate Governance and Finance</w:t>
      </w:r>
      <w:r w:rsidR="007A4166">
        <w:rPr>
          <w:rFonts w:ascii="Times New Roman" w:hAnsi="Times New Roman" w:cs="Times New Roman"/>
          <w:sz w:val="24"/>
          <w:szCs w:val="24"/>
        </w:rPr>
        <w:t xml:space="preserve"> and </w:t>
      </w:r>
      <w:r>
        <w:rPr>
          <w:rFonts w:ascii="Times New Roman" w:hAnsi="Times New Roman" w:cs="Times New Roman"/>
          <w:sz w:val="24"/>
          <w:szCs w:val="24"/>
        </w:rPr>
        <w:t>Director of PhD &amp; D.</w:t>
      </w:r>
      <w:r w:rsidR="00FB0285">
        <w:rPr>
          <w:rFonts w:ascii="Times New Roman" w:hAnsi="Times New Roman" w:cs="Times New Roman"/>
          <w:sz w:val="24"/>
          <w:szCs w:val="24"/>
        </w:rPr>
        <w:t xml:space="preserve"> </w:t>
      </w:r>
      <w:proofErr w:type="spellStart"/>
      <w:r w:rsidR="007A4166">
        <w:rPr>
          <w:rFonts w:ascii="Times New Roman" w:hAnsi="Times New Roman" w:cs="Times New Roman"/>
          <w:sz w:val="24"/>
          <w:szCs w:val="24"/>
        </w:rPr>
        <w:t>Mangement</w:t>
      </w:r>
      <w:proofErr w:type="spellEnd"/>
      <w:r w:rsidR="007A4166">
        <w:rPr>
          <w:rFonts w:ascii="Times New Roman" w:hAnsi="Times New Roman" w:cs="Times New Roman"/>
          <w:sz w:val="24"/>
          <w:szCs w:val="24"/>
        </w:rPr>
        <w:t xml:space="preserve"> Program </w:t>
      </w:r>
      <w:r>
        <w:rPr>
          <w:rFonts w:ascii="Times New Roman" w:hAnsi="Times New Roman" w:cs="Times New Roman"/>
          <w:sz w:val="24"/>
          <w:szCs w:val="24"/>
        </w:rPr>
        <w:t>at Othman Yeop Abdullah Graduate School of Business, Universiti Utara Malaysia</w:t>
      </w:r>
      <w:r w:rsidR="007A4166">
        <w:rPr>
          <w:rFonts w:ascii="Times New Roman" w:hAnsi="Times New Roman" w:cs="Times New Roman"/>
          <w:sz w:val="24"/>
          <w:szCs w:val="24"/>
        </w:rPr>
        <w:t>.</w:t>
      </w:r>
      <w:r>
        <w:rPr>
          <w:rFonts w:ascii="Times New Roman" w:hAnsi="Times New Roman" w:cs="Times New Roman"/>
          <w:sz w:val="24"/>
          <w:szCs w:val="24"/>
        </w:rPr>
        <w:t xml:space="preserve"> </w:t>
      </w:r>
      <w:r w:rsidR="007A4166">
        <w:rPr>
          <w:rFonts w:ascii="Times New Roman" w:hAnsi="Times New Roman" w:cs="Times New Roman"/>
          <w:sz w:val="24"/>
          <w:szCs w:val="24"/>
        </w:rPr>
        <w:t xml:space="preserve">He is also </w:t>
      </w:r>
      <w:r>
        <w:rPr>
          <w:rFonts w:ascii="Times New Roman" w:hAnsi="Times New Roman" w:cs="Times New Roman"/>
          <w:sz w:val="24"/>
          <w:szCs w:val="24"/>
        </w:rPr>
        <w:t xml:space="preserve">a Chartered </w:t>
      </w:r>
      <w:r w:rsidR="00CF52CC">
        <w:rPr>
          <w:rFonts w:ascii="Times New Roman" w:hAnsi="Times New Roman" w:cs="Times New Roman"/>
          <w:sz w:val="24"/>
          <w:szCs w:val="24"/>
        </w:rPr>
        <w:t xml:space="preserve">Manager </w:t>
      </w:r>
      <w:r>
        <w:rPr>
          <w:rFonts w:ascii="Times New Roman" w:hAnsi="Times New Roman" w:cs="Times New Roman"/>
          <w:sz w:val="24"/>
          <w:szCs w:val="24"/>
        </w:rPr>
        <w:t>Fellow</w:t>
      </w:r>
      <w:r w:rsidR="007A4166">
        <w:rPr>
          <w:rFonts w:ascii="Times New Roman" w:hAnsi="Times New Roman" w:cs="Times New Roman"/>
          <w:sz w:val="24"/>
          <w:szCs w:val="24"/>
        </w:rPr>
        <w:t xml:space="preserve"> (</w:t>
      </w:r>
      <w:proofErr w:type="spellStart"/>
      <w:r w:rsidR="00CF52CC">
        <w:rPr>
          <w:rFonts w:ascii="Times New Roman" w:hAnsi="Times New Roman" w:cs="Times New Roman"/>
          <w:sz w:val="24"/>
          <w:szCs w:val="24"/>
        </w:rPr>
        <w:t>CMgr</w:t>
      </w:r>
      <w:proofErr w:type="spellEnd"/>
      <w:r w:rsidR="00CF52CC">
        <w:rPr>
          <w:rFonts w:ascii="Times New Roman" w:hAnsi="Times New Roman" w:cs="Times New Roman"/>
          <w:sz w:val="24"/>
          <w:szCs w:val="24"/>
        </w:rPr>
        <w:t xml:space="preserve"> </w:t>
      </w:r>
      <w:r>
        <w:rPr>
          <w:rFonts w:ascii="Times New Roman" w:hAnsi="Times New Roman" w:cs="Times New Roman"/>
          <w:sz w:val="24"/>
          <w:szCs w:val="24"/>
        </w:rPr>
        <w:t>FCMI</w:t>
      </w:r>
      <w:r w:rsidR="007A4166">
        <w:rPr>
          <w:rFonts w:ascii="Times New Roman" w:hAnsi="Times New Roman" w:cs="Times New Roman"/>
          <w:sz w:val="24"/>
          <w:szCs w:val="24"/>
        </w:rPr>
        <w:t>)</w:t>
      </w:r>
      <w:r>
        <w:rPr>
          <w:rFonts w:ascii="Times New Roman" w:hAnsi="Times New Roman" w:cs="Times New Roman"/>
          <w:sz w:val="24"/>
          <w:szCs w:val="24"/>
        </w:rPr>
        <w:t xml:space="preserve"> </w:t>
      </w:r>
      <w:r w:rsidR="007A4166">
        <w:rPr>
          <w:rFonts w:ascii="Times New Roman" w:hAnsi="Times New Roman" w:cs="Times New Roman"/>
          <w:sz w:val="24"/>
          <w:szCs w:val="24"/>
        </w:rPr>
        <w:t>of</w:t>
      </w:r>
      <w:r>
        <w:rPr>
          <w:rFonts w:ascii="Times New Roman" w:hAnsi="Times New Roman" w:cs="Times New Roman"/>
          <w:sz w:val="24"/>
          <w:szCs w:val="24"/>
        </w:rPr>
        <w:t xml:space="preserve"> </w:t>
      </w:r>
      <w:r w:rsidR="007A4166" w:rsidRPr="00CF52CC">
        <w:rPr>
          <w:rFonts w:ascii="Times New Roman" w:hAnsi="Times New Roman" w:cs="Times New Roman"/>
          <w:sz w:val="24"/>
          <w:szCs w:val="24"/>
        </w:rPr>
        <w:t>Chartered Management Institute (</w:t>
      </w:r>
      <w:r>
        <w:rPr>
          <w:rFonts w:ascii="Times New Roman" w:hAnsi="Times New Roman" w:cs="Times New Roman"/>
          <w:sz w:val="24"/>
          <w:szCs w:val="24"/>
        </w:rPr>
        <w:t>CMI</w:t>
      </w:r>
      <w:r w:rsidR="007A4166">
        <w:rPr>
          <w:rFonts w:ascii="Times New Roman" w:hAnsi="Times New Roman" w:cs="Times New Roman"/>
          <w:sz w:val="24"/>
          <w:szCs w:val="24"/>
        </w:rPr>
        <w:t>)</w:t>
      </w:r>
      <w:r>
        <w:rPr>
          <w:rFonts w:ascii="Times New Roman" w:hAnsi="Times New Roman" w:cs="Times New Roman"/>
          <w:sz w:val="24"/>
          <w:szCs w:val="24"/>
        </w:rPr>
        <w:t xml:space="preserve">, UK. </w:t>
      </w:r>
      <w:r w:rsidR="007A4166">
        <w:rPr>
          <w:rFonts w:ascii="Times New Roman" w:hAnsi="Times New Roman" w:cs="Times New Roman"/>
          <w:sz w:val="24"/>
          <w:szCs w:val="24"/>
        </w:rPr>
        <w:t>In addition</w:t>
      </w:r>
      <w:r>
        <w:rPr>
          <w:rFonts w:ascii="Times New Roman" w:hAnsi="Times New Roman" w:cs="Times New Roman"/>
          <w:sz w:val="24"/>
          <w:szCs w:val="24"/>
        </w:rPr>
        <w:t xml:space="preserve">, </w:t>
      </w:r>
      <w:r w:rsidR="00FB0285">
        <w:rPr>
          <w:rFonts w:ascii="Times New Roman" w:hAnsi="Times New Roman" w:cs="Times New Roman"/>
          <w:sz w:val="24"/>
          <w:szCs w:val="24"/>
        </w:rPr>
        <w:t xml:space="preserve">he </w:t>
      </w:r>
      <w:r w:rsidR="007A4166">
        <w:rPr>
          <w:rFonts w:ascii="Times New Roman" w:hAnsi="Times New Roman" w:cs="Times New Roman"/>
          <w:sz w:val="24"/>
          <w:szCs w:val="24"/>
        </w:rPr>
        <w:t xml:space="preserve">serves </w:t>
      </w:r>
      <w:r>
        <w:rPr>
          <w:rFonts w:ascii="Times New Roman" w:hAnsi="Times New Roman" w:cs="Times New Roman"/>
          <w:sz w:val="24"/>
          <w:szCs w:val="24"/>
        </w:rPr>
        <w:t xml:space="preserve">as an </w:t>
      </w:r>
      <w:r w:rsidR="007A4166">
        <w:rPr>
          <w:rFonts w:ascii="Times New Roman" w:hAnsi="Times New Roman" w:cs="Times New Roman"/>
          <w:sz w:val="24"/>
          <w:szCs w:val="24"/>
        </w:rPr>
        <w:t xml:space="preserve">Adjunct Professor </w:t>
      </w:r>
      <w:r>
        <w:rPr>
          <w:rFonts w:ascii="Times New Roman" w:hAnsi="Times New Roman" w:cs="Times New Roman"/>
          <w:sz w:val="24"/>
          <w:szCs w:val="24"/>
        </w:rPr>
        <w:t xml:space="preserve">of </w:t>
      </w:r>
      <w:r w:rsidR="007A4166">
        <w:rPr>
          <w:rFonts w:ascii="Times New Roman" w:hAnsi="Times New Roman" w:cs="Times New Roman"/>
          <w:sz w:val="24"/>
          <w:szCs w:val="24"/>
        </w:rPr>
        <w:t xml:space="preserve">Management </w:t>
      </w:r>
      <w:r>
        <w:rPr>
          <w:rFonts w:ascii="Times New Roman" w:hAnsi="Times New Roman" w:cs="Times New Roman"/>
          <w:sz w:val="24"/>
          <w:szCs w:val="24"/>
        </w:rPr>
        <w:t>at the</w:t>
      </w:r>
      <w:r w:rsidR="00CF52CC">
        <w:rPr>
          <w:rFonts w:ascii="Times New Roman" w:hAnsi="Times New Roman" w:cs="Times New Roman"/>
          <w:sz w:val="24"/>
          <w:szCs w:val="24"/>
        </w:rPr>
        <w:t xml:space="preserve"> VIZJA University,</w:t>
      </w:r>
      <w:r>
        <w:rPr>
          <w:rFonts w:ascii="Times New Roman" w:hAnsi="Times New Roman" w:cs="Times New Roman"/>
          <w:sz w:val="24"/>
          <w:szCs w:val="24"/>
        </w:rPr>
        <w:t xml:space="preserve"> Warsaw, Poland. </w:t>
      </w:r>
      <w:r w:rsidR="00FB0285">
        <w:rPr>
          <w:rFonts w:ascii="Times New Roman" w:hAnsi="Times New Roman" w:cs="Times New Roman"/>
          <w:sz w:val="24"/>
          <w:szCs w:val="24"/>
        </w:rPr>
        <w:t xml:space="preserve">He </w:t>
      </w:r>
      <w:r w:rsidR="007A4166">
        <w:rPr>
          <w:rFonts w:ascii="Times New Roman" w:hAnsi="Times New Roman" w:cs="Times New Roman"/>
          <w:sz w:val="24"/>
          <w:szCs w:val="24"/>
        </w:rPr>
        <w:t xml:space="preserve">also serves </w:t>
      </w:r>
      <w:r>
        <w:rPr>
          <w:rFonts w:ascii="Times New Roman" w:hAnsi="Times New Roman" w:cs="Times New Roman"/>
          <w:sz w:val="24"/>
          <w:szCs w:val="24"/>
        </w:rPr>
        <w:t xml:space="preserve">as an </w:t>
      </w:r>
      <w:r w:rsidR="007A4166">
        <w:rPr>
          <w:rFonts w:ascii="Times New Roman" w:hAnsi="Times New Roman" w:cs="Times New Roman"/>
          <w:sz w:val="24"/>
          <w:szCs w:val="24"/>
        </w:rPr>
        <w:t xml:space="preserve">expert </w:t>
      </w:r>
      <w:r>
        <w:rPr>
          <w:rFonts w:ascii="Times New Roman" w:hAnsi="Times New Roman" w:cs="Times New Roman"/>
          <w:sz w:val="24"/>
          <w:szCs w:val="24"/>
        </w:rPr>
        <w:t xml:space="preserve">at the European Commission for the </w:t>
      </w:r>
      <w:r w:rsidR="007A4166">
        <w:rPr>
          <w:rFonts w:ascii="Times New Roman" w:hAnsi="Times New Roman" w:cs="Times New Roman"/>
          <w:sz w:val="24"/>
          <w:szCs w:val="24"/>
        </w:rPr>
        <w:t xml:space="preserve">evaluation of proposals under </w:t>
      </w:r>
      <w:r>
        <w:rPr>
          <w:rFonts w:ascii="Times New Roman" w:hAnsi="Times New Roman" w:cs="Times New Roman"/>
          <w:sz w:val="24"/>
          <w:szCs w:val="24"/>
        </w:rPr>
        <w:t xml:space="preserve">the HORIZON-MSCA-2023 </w:t>
      </w:r>
      <w:r w:rsidR="007A4166">
        <w:rPr>
          <w:rFonts w:ascii="Times New Roman" w:hAnsi="Times New Roman" w:cs="Times New Roman"/>
          <w:sz w:val="24"/>
          <w:szCs w:val="24"/>
        </w:rPr>
        <w:t>call</w:t>
      </w:r>
      <w:r>
        <w:rPr>
          <w:rFonts w:ascii="Times New Roman" w:hAnsi="Times New Roman" w:cs="Times New Roman"/>
          <w:sz w:val="24"/>
          <w:szCs w:val="24"/>
        </w:rPr>
        <w:t>. His research interests include corporate governance, board diversity, gender diversity, ESG, Blockchain</w:t>
      </w:r>
      <w:r w:rsidR="00FB0285">
        <w:rPr>
          <w:rFonts w:ascii="Times New Roman" w:hAnsi="Times New Roman" w:cs="Times New Roman"/>
          <w:sz w:val="24"/>
          <w:szCs w:val="24"/>
        </w:rPr>
        <w:t>,</w:t>
      </w:r>
      <w:r>
        <w:rPr>
          <w:rFonts w:ascii="Times New Roman" w:hAnsi="Times New Roman" w:cs="Times New Roman"/>
          <w:sz w:val="24"/>
          <w:szCs w:val="24"/>
        </w:rPr>
        <w:t xml:space="preserve"> and Artificial Intelligence in business, big data and analytics, and strategy. </w:t>
      </w:r>
      <w:r w:rsidR="007A4166">
        <w:rPr>
          <w:rFonts w:ascii="Times New Roman" w:hAnsi="Times New Roman" w:cs="Times New Roman"/>
          <w:sz w:val="24"/>
          <w:szCs w:val="24"/>
        </w:rPr>
        <w:t xml:space="preserve">His </w:t>
      </w:r>
      <w:r>
        <w:rPr>
          <w:rFonts w:ascii="Times New Roman" w:hAnsi="Times New Roman" w:cs="Times New Roman"/>
          <w:sz w:val="24"/>
          <w:szCs w:val="24"/>
        </w:rPr>
        <w:t>research has been published in leading management and top-tier peer-reviewed journals</w:t>
      </w:r>
      <w:r w:rsidR="007A4166">
        <w:rPr>
          <w:rFonts w:ascii="Times New Roman" w:hAnsi="Times New Roman" w:cs="Times New Roman"/>
          <w:sz w:val="24"/>
          <w:szCs w:val="24"/>
        </w:rPr>
        <w:t>, including</w:t>
      </w:r>
      <w:r>
        <w:rPr>
          <w:rFonts w:ascii="Times New Roman" w:hAnsi="Times New Roman" w:cs="Times New Roman"/>
          <w:sz w:val="24"/>
          <w:szCs w:val="24"/>
        </w:rPr>
        <w:t xml:space="preserve"> Journal of Business Research, Asia Pacific Journal of Management, IEEE Transactions on Engineering Management, Technological Forecasting and Social Change, International Journal of Information Management, Journal of Management and Organization, Maritime Policy &amp; Management, Journal of Cleaner Production, Journal of Intellectual Capital, </w:t>
      </w:r>
      <w:r w:rsidR="007A4166">
        <w:rPr>
          <w:rFonts w:ascii="Times New Roman" w:hAnsi="Times New Roman" w:cs="Times New Roman"/>
          <w:sz w:val="24"/>
          <w:szCs w:val="24"/>
        </w:rPr>
        <w:t xml:space="preserve">and </w:t>
      </w:r>
      <w:r>
        <w:rPr>
          <w:rFonts w:ascii="Times New Roman" w:hAnsi="Times New Roman" w:cs="Times New Roman"/>
          <w:sz w:val="24"/>
          <w:szCs w:val="24"/>
        </w:rPr>
        <w:t>Thunderbird International Business Review. He is a Series Editor for “Big Data for Industry 4.0: Challenges and Applications</w:t>
      </w:r>
      <w:r w:rsidR="007A4166">
        <w:rPr>
          <w:rFonts w:ascii="Times New Roman" w:hAnsi="Times New Roman" w:cs="Times New Roman"/>
          <w:sz w:val="24"/>
          <w:szCs w:val="24"/>
        </w:rPr>
        <w:t>,”</w:t>
      </w:r>
      <w:r w:rsidR="003C4C6C">
        <w:rPr>
          <w:rFonts w:ascii="Times New Roman" w:hAnsi="Times New Roman" w:cs="Times New Roman"/>
          <w:sz w:val="24"/>
          <w:szCs w:val="24"/>
        </w:rPr>
        <w:t xml:space="preserve"> </w:t>
      </w:r>
      <w:r w:rsidR="007A4166">
        <w:rPr>
          <w:rFonts w:ascii="Times New Roman" w:hAnsi="Times New Roman" w:cs="Times New Roman"/>
          <w:sz w:val="24"/>
          <w:szCs w:val="24"/>
        </w:rPr>
        <w:t xml:space="preserve">published </w:t>
      </w:r>
      <w:r>
        <w:rPr>
          <w:rFonts w:ascii="Times New Roman" w:hAnsi="Times New Roman" w:cs="Times New Roman"/>
          <w:sz w:val="24"/>
          <w:szCs w:val="24"/>
        </w:rPr>
        <w:t>by Taylor &amp; Francis Group.</w:t>
      </w:r>
    </w:p>
    <w:p w14:paraId="200CF8D1" w14:textId="77777777" w:rsidR="0032017E" w:rsidRPr="005F1B2C" w:rsidRDefault="0032017E" w:rsidP="00257D15">
      <w:pPr>
        <w:widowControl w:val="0"/>
        <w:autoSpaceDE w:val="0"/>
        <w:autoSpaceDN w:val="0"/>
        <w:adjustRightInd w:val="0"/>
        <w:spacing w:after="0" w:line="360" w:lineRule="exact"/>
        <w:rPr>
          <w:rFonts w:ascii="Times New Roman" w:hAnsi="Times New Roman" w:cs="Times New Roman"/>
          <w:sz w:val="24"/>
          <w:szCs w:val="24"/>
        </w:rPr>
      </w:pPr>
    </w:p>
    <w:p w14:paraId="2CB2292B" w14:textId="4DD56078" w:rsidR="00257D15" w:rsidRPr="005F1B2C" w:rsidRDefault="00534E43" w:rsidP="00257D15">
      <w:pPr>
        <w:widowControl w:val="0"/>
        <w:autoSpaceDE w:val="0"/>
        <w:autoSpaceDN w:val="0"/>
        <w:adjustRightInd w:val="0"/>
        <w:spacing w:after="0" w:line="360" w:lineRule="exact"/>
        <w:jc w:val="both"/>
        <w:rPr>
          <w:rFonts w:ascii="Times New Roman" w:hAnsi="Times New Roman" w:cs="Times New Roman"/>
          <w:sz w:val="24"/>
          <w:szCs w:val="24"/>
        </w:rPr>
      </w:pPr>
      <w:r>
        <w:rPr>
          <w:rFonts w:ascii="Times New Roman" w:hAnsi="Times New Roman" w:cs="Times New Roman"/>
          <w:b/>
          <w:bCs/>
          <w:sz w:val="24"/>
          <w:szCs w:val="24"/>
        </w:rPr>
        <w:t>Dr. Punam Mishra</w:t>
      </w:r>
      <w:r>
        <w:rPr>
          <w:rFonts w:ascii="Times New Roman" w:hAnsi="Times New Roman" w:cs="Times New Roman"/>
          <w:sz w:val="24"/>
          <w:szCs w:val="24"/>
        </w:rPr>
        <w:t xml:space="preserve"> </w:t>
      </w:r>
      <w:r w:rsidR="00FB0285">
        <w:rPr>
          <w:rFonts w:ascii="Times New Roman" w:hAnsi="Times New Roman" w:cs="Times New Roman"/>
          <w:sz w:val="24"/>
          <w:szCs w:val="24"/>
        </w:rPr>
        <w:t xml:space="preserve">is currently an </w:t>
      </w:r>
      <w:r w:rsidR="007A4166">
        <w:rPr>
          <w:rFonts w:ascii="Times New Roman" w:hAnsi="Times New Roman" w:cs="Times New Roman"/>
          <w:sz w:val="24"/>
          <w:szCs w:val="24"/>
        </w:rPr>
        <w:t>Associate Professor</w:t>
      </w:r>
      <w:r>
        <w:rPr>
          <w:rFonts w:ascii="Times New Roman" w:hAnsi="Times New Roman" w:cs="Times New Roman"/>
          <w:sz w:val="24"/>
          <w:szCs w:val="24"/>
        </w:rPr>
        <w:t xml:space="preserve"> at the Institute of Management, JK Lakshmipat University, Jaipur, </w:t>
      </w:r>
      <w:r w:rsidR="003C4C6C">
        <w:rPr>
          <w:rFonts w:ascii="Times New Roman" w:hAnsi="Times New Roman" w:cs="Times New Roman"/>
          <w:sz w:val="24"/>
          <w:szCs w:val="24"/>
        </w:rPr>
        <w:t xml:space="preserve">with </w:t>
      </w:r>
      <w:r>
        <w:rPr>
          <w:rFonts w:ascii="Times New Roman" w:hAnsi="Times New Roman" w:cs="Times New Roman"/>
          <w:sz w:val="24"/>
          <w:szCs w:val="24"/>
        </w:rPr>
        <w:t xml:space="preserve">over 18 years of experience in academics and industry. </w:t>
      </w:r>
      <w:r w:rsidR="007A4166">
        <w:rPr>
          <w:rFonts w:ascii="Times New Roman" w:hAnsi="Times New Roman" w:cs="Times New Roman"/>
          <w:sz w:val="24"/>
          <w:szCs w:val="24"/>
        </w:rPr>
        <w:t>She hold</w:t>
      </w:r>
      <w:r w:rsidR="00CF52CC">
        <w:rPr>
          <w:rFonts w:ascii="Times New Roman" w:hAnsi="Times New Roman" w:cs="Times New Roman"/>
          <w:sz w:val="24"/>
          <w:szCs w:val="24"/>
        </w:rPr>
        <w:t>s</w:t>
      </w:r>
      <w:r>
        <w:rPr>
          <w:rFonts w:ascii="Times New Roman" w:hAnsi="Times New Roman" w:cs="Times New Roman"/>
          <w:sz w:val="24"/>
          <w:szCs w:val="24"/>
        </w:rPr>
        <w:t xml:space="preserve"> a Ph.D. from the University of Rajasthan, Jaipur, and </w:t>
      </w:r>
      <w:r w:rsidR="00343824">
        <w:rPr>
          <w:rFonts w:ascii="Times New Roman" w:hAnsi="Times New Roman" w:cs="Times New Roman"/>
          <w:sz w:val="24"/>
          <w:szCs w:val="24"/>
        </w:rPr>
        <w:t xml:space="preserve">has </w:t>
      </w:r>
      <w:r>
        <w:rPr>
          <w:rFonts w:ascii="Times New Roman" w:hAnsi="Times New Roman" w:cs="Times New Roman"/>
          <w:sz w:val="24"/>
          <w:szCs w:val="24"/>
        </w:rPr>
        <w:t xml:space="preserve">expertise in </w:t>
      </w:r>
      <w:r w:rsidR="00343824">
        <w:rPr>
          <w:rFonts w:ascii="Times New Roman" w:hAnsi="Times New Roman" w:cs="Times New Roman"/>
          <w:sz w:val="24"/>
          <w:szCs w:val="24"/>
        </w:rPr>
        <w:t>m</w:t>
      </w:r>
      <w:r>
        <w:rPr>
          <w:rFonts w:ascii="Times New Roman" w:hAnsi="Times New Roman" w:cs="Times New Roman"/>
          <w:sz w:val="24"/>
          <w:szCs w:val="24"/>
        </w:rPr>
        <w:t>arketing</w:t>
      </w:r>
      <w:r w:rsidR="00343824">
        <w:rPr>
          <w:rFonts w:ascii="Times New Roman" w:hAnsi="Times New Roman" w:cs="Times New Roman"/>
          <w:sz w:val="24"/>
          <w:szCs w:val="24"/>
        </w:rPr>
        <w:t xml:space="preserve">. </w:t>
      </w:r>
      <w:proofErr w:type="spellStart"/>
      <w:r w:rsidR="00343824">
        <w:rPr>
          <w:rFonts w:ascii="Times New Roman" w:hAnsi="Times New Roman" w:cs="Times New Roman"/>
          <w:sz w:val="24"/>
          <w:szCs w:val="24"/>
        </w:rPr>
        <w:t>Her</w:t>
      </w:r>
      <w:r>
        <w:rPr>
          <w:rFonts w:ascii="Times New Roman" w:hAnsi="Times New Roman" w:cs="Times New Roman"/>
          <w:sz w:val="24"/>
          <w:szCs w:val="24"/>
        </w:rPr>
        <w:t>teaching</w:t>
      </w:r>
      <w:proofErr w:type="spellEnd"/>
      <w:r>
        <w:rPr>
          <w:rFonts w:ascii="Times New Roman" w:hAnsi="Times New Roman" w:cs="Times New Roman"/>
          <w:sz w:val="24"/>
          <w:szCs w:val="24"/>
        </w:rPr>
        <w:t xml:space="preserve">, research, and training </w:t>
      </w:r>
      <w:r w:rsidR="00343824">
        <w:rPr>
          <w:rFonts w:ascii="Times New Roman" w:hAnsi="Times New Roman" w:cs="Times New Roman"/>
          <w:sz w:val="24"/>
          <w:szCs w:val="24"/>
        </w:rPr>
        <w:t xml:space="preserve">focus on </w:t>
      </w:r>
      <w:r w:rsidR="00FB0285">
        <w:rPr>
          <w:rFonts w:ascii="Times New Roman" w:hAnsi="Times New Roman" w:cs="Times New Roman"/>
          <w:sz w:val="24"/>
          <w:szCs w:val="24"/>
        </w:rPr>
        <w:t>consumer behavior</w:t>
      </w:r>
      <w:r>
        <w:rPr>
          <w:rFonts w:ascii="Times New Roman" w:hAnsi="Times New Roman" w:cs="Times New Roman"/>
          <w:sz w:val="24"/>
          <w:szCs w:val="24"/>
        </w:rPr>
        <w:t xml:space="preserve">, </w:t>
      </w:r>
      <w:r w:rsidR="00FB0285">
        <w:rPr>
          <w:rFonts w:ascii="Times New Roman" w:hAnsi="Times New Roman" w:cs="Times New Roman"/>
          <w:sz w:val="24"/>
          <w:szCs w:val="24"/>
        </w:rPr>
        <w:t>digital marketing</w:t>
      </w:r>
      <w:r>
        <w:rPr>
          <w:rFonts w:ascii="Times New Roman" w:hAnsi="Times New Roman" w:cs="Times New Roman"/>
          <w:sz w:val="24"/>
          <w:szCs w:val="24"/>
        </w:rPr>
        <w:t xml:space="preserve">, and </w:t>
      </w:r>
      <w:r w:rsidR="00FB0285" w:rsidRPr="00FB0285">
        <w:rPr>
          <w:rFonts w:ascii="Times New Roman" w:hAnsi="Times New Roman" w:cs="Times New Roman"/>
        </w:rPr>
        <w:t>communication skills</w:t>
      </w:r>
      <w:r>
        <w:rPr>
          <w:rFonts w:ascii="Times New Roman" w:hAnsi="Times New Roman" w:cs="Times New Roman"/>
          <w:sz w:val="24"/>
          <w:szCs w:val="24"/>
        </w:rPr>
        <w:t>. Dr. Mishra has presented her work at prestigious conferences and published extensively in national and international journals.</w:t>
      </w:r>
    </w:p>
    <w:p w14:paraId="49E215C9" w14:textId="77777777" w:rsidR="0032017E" w:rsidRPr="005F1B2C" w:rsidRDefault="0032017E" w:rsidP="00257D15">
      <w:pPr>
        <w:widowControl w:val="0"/>
        <w:autoSpaceDE w:val="0"/>
        <w:autoSpaceDN w:val="0"/>
        <w:adjustRightInd w:val="0"/>
        <w:spacing w:after="0" w:line="360" w:lineRule="exact"/>
        <w:jc w:val="both"/>
        <w:rPr>
          <w:rFonts w:ascii="Times New Roman" w:hAnsi="Times New Roman" w:cs="Times New Roman"/>
          <w:sz w:val="24"/>
          <w:szCs w:val="24"/>
        </w:rPr>
      </w:pPr>
    </w:p>
    <w:p w14:paraId="016A9E95" w14:textId="574FBF09" w:rsidR="00257D15" w:rsidRPr="0032017E" w:rsidRDefault="00534E43" w:rsidP="005D5C32">
      <w:pPr>
        <w:widowControl w:val="0"/>
        <w:autoSpaceDE w:val="0"/>
        <w:autoSpaceDN w:val="0"/>
        <w:adjustRightInd w:val="0"/>
        <w:spacing w:after="0" w:line="360" w:lineRule="exact"/>
        <w:jc w:val="both"/>
        <w:rPr>
          <w:rFonts w:ascii="Times New Roman" w:hAnsi="Times New Roman" w:cs="Times New Roman"/>
          <w:sz w:val="24"/>
          <w:szCs w:val="24"/>
        </w:rPr>
      </w:pPr>
      <w:r>
        <w:rPr>
          <w:rFonts w:ascii="Times New Roman" w:hAnsi="Times New Roman" w:cs="Times New Roman"/>
          <w:b/>
          <w:bCs/>
          <w:sz w:val="24"/>
          <w:szCs w:val="24"/>
        </w:rPr>
        <w:t>Prof. Anurag Pahuja</w:t>
      </w:r>
      <w:r>
        <w:rPr>
          <w:rFonts w:ascii="Times New Roman" w:hAnsi="Times New Roman" w:cs="Times New Roman"/>
          <w:sz w:val="24"/>
          <w:szCs w:val="24"/>
        </w:rPr>
        <w:t xml:space="preserve"> is currently a </w:t>
      </w:r>
      <w:r w:rsidR="0037043F">
        <w:rPr>
          <w:rFonts w:ascii="Times New Roman" w:hAnsi="Times New Roman" w:cs="Times New Roman"/>
          <w:sz w:val="24"/>
          <w:szCs w:val="24"/>
        </w:rPr>
        <w:t xml:space="preserve">Professor </w:t>
      </w:r>
      <w:r>
        <w:rPr>
          <w:rFonts w:ascii="Times New Roman" w:hAnsi="Times New Roman" w:cs="Times New Roman"/>
          <w:sz w:val="24"/>
          <w:szCs w:val="24"/>
        </w:rPr>
        <w:t xml:space="preserve">at the Mittal School of Business, Lovely Professional University, Phagwara. She serves as the </w:t>
      </w:r>
      <w:r w:rsidR="00FB0285">
        <w:rPr>
          <w:rFonts w:ascii="Times New Roman" w:hAnsi="Times New Roman" w:cs="Times New Roman"/>
          <w:sz w:val="24"/>
          <w:szCs w:val="24"/>
        </w:rPr>
        <w:t>chief editor</w:t>
      </w:r>
      <w:r>
        <w:rPr>
          <w:rFonts w:ascii="Times New Roman" w:hAnsi="Times New Roman" w:cs="Times New Roman"/>
          <w:sz w:val="24"/>
          <w:szCs w:val="24"/>
        </w:rPr>
        <w:t xml:space="preserve"> of the International Journal of Business Ethics in Developing Economies. With more than 24 years of academic experience, she has served as a </w:t>
      </w:r>
      <w:r w:rsidR="00343824">
        <w:rPr>
          <w:rFonts w:ascii="Times New Roman" w:hAnsi="Times New Roman" w:cs="Times New Roman"/>
          <w:sz w:val="24"/>
          <w:szCs w:val="24"/>
        </w:rPr>
        <w:t>Visiting Professor</w:t>
      </w:r>
      <w:r>
        <w:rPr>
          <w:rFonts w:ascii="Times New Roman" w:hAnsi="Times New Roman" w:cs="Times New Roman"/>
          <w:sz w:val="24"/>
          <w:szCs w:val="24"/>
        </w:rPr>
        <w:t xml:space="preserve"> in the Delhi-NCR region. </w:t>
      </w:r>
      <w:r w:rsidR="00F37D71">
        <w:rPr>
          <w:rFonts w:ascii="Times New Roman" w:hAnsi="Times New Roman" w:cs="Times New Roman"/>
          <w:sz w:val="24"/>
          <w:szCs w:val="24"/>
        </w:rPr>
        <w:t>Before</w:t>
      </w:r>
      <w:r w:rsidR="00343824">
        <w:rPr>
          <w:rFonts w:ascii="Times New Roman" w:hAnsi="Times New Roman" w:cs="Times New Roman"/>
          <w:sz w:val="24"/>
          <w:szCs w:val="24"/>
        </w:rPr>
        <w:t xml:space="preserve"> </w:t>
      </w:r>
      <w:r>
        <w:rPr>
          <w:rFonts w:ascii="Times New Roman" w:hAnsi="Times New Roman" w:cs="Times New Roman"/>
          <w:sz w:val="24"/>
          <w:szCs w:val="24"/>
        </w:rPr>
        <w:t xml:space="preserve">this, she </w:t>
      </w:r>
      <w:r w:rsidR="00FB0285">
        <w:rPr>
          <w:rFonts w:ascii="Times New Roman" w:hAnsi="Times New Roman" w:cs="Times New Roman"/>
          <w:sz w:val="24"/>
          <w:szCs w:val="24"/>
        </w:rPr>
        <w:t xml:space="preserve">served </w:t>
      </w:r>
      <w:r>
        <w:rPr>
          <w:rFonts w:ascii="Times New Roman" w:hAnsi="Times New Roman" w:cs="Times New Roman"/>
          <w:sz w:val="24"/>
          <w:szCs w:val="24"/>
        </w:rPr>
        <w:t xml:space="preserve">as an </w:t>
      </w:r>
      <w:r w:rsidR="00343824">
        <w:rPr>
          <w:rFonts w:ascii="Times New Roman" w:hAnsi="Times New Roman" w:cs="Times New Roman"/>
          <w:sz w:val="24"/>
          <w:szCs w:val="24"/>
        </w:rPr>
        <w:t xml:space="preserve">Associate Professor </w:t>
      </w:r>
      <w:r>
        <w:rPr>
          <w:rFonts w:ascii="Times New Roman" w:hAnsi="Times New Roman" w:cs="Times New Roman"/>
          <w:sz w:val="24"/>
          <w:szCs w:val="24"/>
        </w:rPr>
        <w:t xml:space="preserve">at IMS Ghaziabad and an </w:t>
      </w:r>
      <w:r w:rsidR="00343824">
        <w:rPr>
          <w:rFonts w:ascii="Times New Roman" w:hAnsi="Times New Roman" w:cs="Times New Roman"/>
          <w:sz w:val="24"/>
          <w:szCs w:val="24"/>
        </w:rPr>
        <w:t>Assistant Professor</w:t>
      </w:r>
      <w:r>
        <w:rPr>
          <w:rFonts w:ascii="Times New Roman" w:hAnsi="Times New Roman" w:cs="Times New Roman"/>
          <w:sz w:val="24"/>
          <w:szCs w:val="24"/>
        </w:rPr>
        <w:t xml:space="preserve"> at AIMTC, Jalandhar. Her </w:t>
      </w:r>
      <w:r w:rsidR="003C4C6C">
        <w:rPr>
          <w:rFonts w:ascii="Times New Roman" w:hAnsi="Times New Roman" w:cs="Times New Roman"/>
          <w:sz w:val="24"/>
          <w:szCs w:val="24"/>
        </w:rPr>
        <w:t xml:space="preserve">academic </w:t>
      </w:r>
      <w:r>
        <w:rPr>
          <w:rFonts w:ascii="Times New Roman" w:hAnsi="Times New Roman" w:cs="Times New Roman"/>
          <w:sz w:val="24"/>
          <w:szCs w:val="24"/>
        </w:rPr>
        <w:t xml:space="preserve">contribution has been </w:t>
      </w:r>
      <w:r w:rsidR="003C4C6C">
        <w:rPr>
          <w:rFonts w:ascii="Times New Roman" w:hAnsi="Times New Roman" w:cs="Times New Roman"/>
          <w:sz w:val="24"/>
          <w:szCs w:val="24"/>
        </w:rPr>
        <w:t xml:space="preserve">recognized through </w:t>
      </w:r>
      <w:r>
        <w:rPr>
          <w:rFonts w:ascii="Times New Roman" w:hAnsi="Times New Roman" w:cs="Times New Roman"/>
          <w:sz w:val="24"/>
          <w:szCs w:val="24"/>
        </w:rPr>
        <w:t>the Certificate of Excellence for "Faculty for Exemplary Research in Corporate Governance and Financial Management</w:t>
      </w:r>
      <w:r w:rsidR="00FB0285">
        <w:rPr>
          <w:rFonts w:ascii="Times New Roman" w:hAnsi="Times New Roman" w:cs="Times New Roman"/>
          <w:sz w:val="24"/>
          <w:szCs w:val="24"/>
        </w:rPr>
        <w:t>,”</w:t>
      </w:r>
      <w:r>
        <w:rPr>
          <w:rFonts w:ascii="Times New Roman" w:hAnsi="Times New Roman" w:cs="Times New Roman"/>
          <w:sz w:val="24"/>
          <w:szCs w:val="24"/>
        </w:rPr>
        <w:t xml:space="preserve"> </w:t>
      </w:r>
      <w:r w:rsidR="00FB0285">
        <w:rPr>
          <w:rFonts w:ascii="Times New Roman" w:hAnsi="Times New Roman" w:cs="Times New Roman"/>
          <w:sz w:val="24"/>
          <w:szCs w:val="24"/>
        </w:rPr>
        <w:t xml:space="preserve">awarded </w:t>
      </w:r>
      <w:r>
        <w:rPr>
          <w:rFonts w:ascii="Times New Roman" w:hAnsi="Times New Roman" w:cs="Times New Roman"/>
          <w:sz w:val="24"/>
          <w:szCs w:val="24"/>
        </w:rPr>
        <w:t>by The Education Post and CIAC-G</w:t>
      </w:r>
      <w:r w:rsidR="00FB0285">
        <w:rPr>
          <w:rFonts w:ascii="Times New Roman" w:hAnsi="Times New Roman" w:cs="Times New Roman"/>
          <w:sz w:val="24"/>
          <w:szCs w:val="24"/>
        </w:rPr>
        <w:t>l</w:t>
      </w:r>
      <w:r>
        <w:rPr>
          <w:rFonts w:ascii="Times New Roman" w:hAnsi="Times New Roman" w:cs="Times New Roman"/>
          <w:sz w:val="24"/>
          <w:szCs w:val="24"/>
        </w:rPr>
        <w:t>o</w:t>
      </w:r>
      <w:r w:rsidR="00FB0285">
        <w:rPr>
          <w:rFonts w:ascii="Times New Roman" w:hAnsi="Times New Roman" w:cs="Times New Roman"/>
          <w:sz w:val="24"/>
          <w:szCs w:val="24"/>
        </w:rPr>
        <w:t>b</w:t>
      </w:r>
      <w:r>
        <w:rPr>
          <w:rFonts w:ascii="Times New Roman" w:hAnsi="Times New Roman" w:cs="Times New Roman"/>
          <w:sz w:val="24"/>
          <w:szCs w:val="24"/>
        </w:rPr>
        <w:t>al</w:t>
      </w:r>
      <w:r w:rsidR="00FB0285">
        <w:rPr>
          <w:rFonts w:ascii="Times New Roman" w:hAnsi="Times New Roman" w:cs="Times New Roman"/>
          <w:sz w:val="24"/>
          <w:szCs w:val="24"/>
        </w:rPr>
        <w:t>, in association</w:t>
      </w:r>
      <w:r>
        <w:rPr>
          <w:rFonts w:ascii="Times New Roman" w:hAnsi="Times New Roman" w:cs="Times New Roman"/>
          <w:sz w:val="24"/>
          <w:szCs w:val="24"/>
        </w:rPr>
        <w:t xml:space="preserve"> with CIHF</w:t>
      </w:r>
      <w:r w:rsidR="00FB0285">
        <w:rPr>
          <w:rFonts w:ascii="Times New Roman" w:hAnsi="Times New Roman" w:cs="Times New Roman"/>
          <w:sz w:val="24"/>
          <w:szCs w:val="24"/>
        </w:rPr>
        <w:t>,</w:t>
      </w:r>
      <w:r>
        <w:rPr>
          <w:rFonts w:ascii="Times New Roman" w:hAnsi="Times New Roman" w:cs="Times New Roman"/>
          <w:sz w:val="24"/>
          <w:szCs w:val="24"/>
        </w:rPr>
        <w:t xml:space="preserve"> on August 22, 2016. </w:t>
      </w:r>
      <w:r>
        <w:rPr>
          <w:rFonts w:ascii="Times New Roman" w:hAnsi="Times New Roman" w:cs="Times New Roman"/>
          <w:sz w:val="24"/>
          <w:szCs w:val="24"/>
        </w:rPr>
        <w:tab/>
      </w:r>
    </w:p>
    <w:sectPr w:rsidR="00257D15" w:rsidRPr="0032017E" w:rsidSect="00DF639F">
      <w:headerReference w:type="even" r:id="rId96"/>
      <w:headerReference w:type="default" r:id="rId97"/>
      <w:footerReference w:type="even" r:id="rId98"/>
      <w:footerReference w:type="default" r:id="rId99"/>
      <w:headerReference w:type="first" r:id="rId100"/>
      <w:footerReference w:type="first" r:id="rId101"/>
      <w:pgSz w:w="12240" w:h="15840"/>
      <w:pgMar w:top="1440" w:right="1440" w:bottom="1440" w:left="1440" w:header="720" w:footer="720" w:gutter="0"/>
      <w:lnNumType w:countBy="1" w:restart="continuous"/>
      <w:pgNumType w:start="21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EBEA0" w14:textId="77777777" w:rsidR="00822E2C" w:rsidRDefault="00822E2C">
      <w:pPr>
        <w:spacing w:after="0" w:line="240" w:lineRule="auto"/>
      </w:pPr>
      <w:r>
        <w:separator/>
      </w:r>
    </w:p>
  </w:endnote>
  <w:endnote w:type="continuationSeparator" w:id="0">
    <w:p w14:paraId="34F39BCE" w14:textId="77777777" w:rsidR="00822E2C" w:rsidRDefault="00822E2C">
      <w:pPr>
        <w:spacing w:after="0" w:line="240" w:lineRule="auto"/>
      </w:pPr>
      <w:r>
        <w:continuationSeparator/>
      </w:r>
    </w:p>
  </w:endnote>
  <w:endnote w:type="continuationNotice" w:id="1">
    <w:p w14:paraId="092EC7F9" w14:textId="77777777" w:rsidR="00822E2C" w:rsidRDefault="00822E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0BEDB" w14:textId="77777777" w:rsidR="00DF639F" w:rsidRDefault="00DF639F">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45710" w14:textId="77777777" w:rsidR="00DF639F" w:rsidRDefault="00DF639F">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DB861" w14:textId="77777777" w:rsidR="00DF639F" w:rsidRDefault="00DF639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C20F1" w14:textId="77777777" w:rsidR="00822E2C" w:rsidRDefault="00822E2C">
      <w:pPr>
        <w:spacing w:after="0" w:line="240" w:lineRule="auto"/>
      </w:pPr>
      <w:r>
        <w:separator/>
      </w:r>
    </w:p>
  </w:footnote>
  <w:footnote w:type="continuationSeparator" w:id="0">
    <w:p w14:paraId="4C7CA29F" w14:textId="77777777" w:rsidR="00822E2C" w:rsidRDefault="00822E2C">
      <w:pPr>
        <w:spacing w:after="0" w:line="240" w:lineRule="auto"/>
      </w:pPr>
      <w:r>
        <w:continuationSeparator/>
      </w:r>
    </w:p>
  </w:footnote>
  <w:footnote w:type="continuationNotice" w:id="1">
    <w:p w14:paraId="5B1813E8" w14:textId="77777777" w:rsidR="00822E2C" w:rsidRDefault="00822E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73DF8" w14:textId="77777777" w:rsidR="004F5D9D" w:rsidRDefault="00534E43">
    <w:pPr>
      <w:tabs>
        <w:tab w:val="left" w:pos="7157"/>
      </w:tabs>
      <w:jc w:val="right"/>
      <w:rPr>
        <w:rFonts w:ascii="Times New Roman" w:eastAsia="Times New Roman" w:hAnsi="Times New Roman" w:cs="Times New Roman"/>
        <w:sz w:val="24"/>
        <w:szCs w:val="24"/>
        <w:lang w:val="zh-CN"/>
      </w:rPr>
    </w:pPr>
    <w:r>
      <w:rPr>
        <w:rFonts w:ascii="Times New Roman" w:eastAsia="Times New Roman" w:hAnsi="Times New Roman" w:cs="Times New Roman"/>
        <w:noProof/>
        <w:sz w:val="24"/>
        <w:szCs w:val="24"/>
        <w:lang w:eastAsia="zh-TW"/>
      </w:rPr>
      <mc:AlternateContent>
        <mc:Choice Requires="wps">
          <w:drawing>
            <wp:anchor distT="0" distB="0" distL="114300" distR="114300" simplePos="0" relativeHeight="251660288" behindDoc="0" locked="0" layoutInCell="1" allowOverlap="1" wp14:anchorId="26C15B10" wp14:editId="62CF3C38">
              <wp:simplePos x="0" y="0"/>
              <wp:positionH relativeFrom="margin">
                <wp:posOffset>-29210</wp:posOffset>
              </wp:positionH>
              <wp:positionV relativeFrom="paragraph">
                <wp:posOffset>208280</wp:posOffset>
              </wp:positionV>
              <wp:extent cx="5954395" cy="0"/>
              <wp:effectExtent l="0" t="0" r="0" b="0"/>
              <wp:wrapNone/>
              <wp:docPr id="1962113721" name="直線接點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54573" cy="1"/>
                      </a:xfrm>
                      <a:prstGeom prst="line">
                        <a:avLst/>
                      </a:prstGeom>
                      <a:noFill/>
                      <a:ln w="9525">
                        <a:solidFill>
                          <a:srgbClr val="000000"/>
                        </a:solidFill>
                        <a:round/>
                      </a:ln>
                    </wps:spPr>
                    <wps:bodyPr/>
                  </wps:wsp>
                </a:graphicData>
              </a:graphic>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line id="直線接點 5" o:spid="_x0000_s2049" style="flip:y;mso-height-relative:page;mso-position-horizontal-relative:margin;mso-width-relative:page;position:absolute;z-index:251661312" from="-2.3pt,16.4pt" to="466.55pt,16.4pt" coordsize="21600,21600" stroked="t" strokecolor="black">
              <v:stroke joinstyle="round"/>
              <o:lock v:ext="edit" aspectratio="f"/>
              <w10:wrap anchorx="margin"/>
            </v:line>
          </w:pict>
        </mc:Fallback>
      </mc:AlternateContent>
    </w:r>
    <w:r>
      <w:rPr>
        <w:rFonts w:ascii="Times New Roman" w:eastAsia="Times New Roman" w:hAnsi="Times New Roman" w:cs="Times New Roman"/>
        <w:sz w:val="24"/>
        <w:szCs w:val="24"/>
        <w:lang w:val="zh-CN"/>
      </w:rPr>
      <w:t xml:space="preserve">Contemporary Management Research </w:t>
    </w:r>
    <w:r>
      <w:rPr>
        <w:rFonts w:ascii="Times New Roman" w:eastAsia="Times New Roman" w:hAnsi="Times New Roman" w:cs="Times New Roman"/>
        <w:sz w:val="24"/>
        <w:szCs w:val="24"/>
        <w:lang w:val="zh-CN"/>
      </w:rPr>
      <w:fldChar w:fldCharType="begin"/>
    </w:r>
    <w:r>
      <w:rPr>
        <w:rFonts w:ascii="Times New Roman" w:eastAsia="Times New Roman" w:hAnsi="Times New Roman" w:cs="Times New Roman"/>
        <w:sz w:val="24"/>
        <w:szCs w:val="24"/>
        <w:lang w:val="zh-CN"/>
      </w:rPr>
      <w:instrText>PAGE   \* MERGEFORMAT</w:instrText>
    </w:r>
    <w:r>
      <w:rPr>
        <w:rFonts w:ascii="Times New Roman" w:eastAsia="Times New Roman" w:hAnsi="Times New Roman" w:cs="Times New Roman"/>
        <w:sz w:val="24"/>
        <w:szCs w:val="24"/>
        <w:lang w:val="zh-CN"/>
      </w:rPr>
      <w:fldChar w:fldCharType="separate"/>
    </w:r>
    <w:r>
      <w:rPr>
        <w:rFonts w:ascii="Times New Roman" w:eastAsia="Times New Roman" w:hAnsi="Times New Roman" w:cs="Times New Roman"/>
        <w:sz w:val="24"/>
        <w:szCs w:val="24"/>
        <w:lang w:val="zh-CN"/>
      </w:rPr>
      <w:t>2</w:t>
    </w:r>
    <w:r>
      <w:rPr>
        <w:rFonts w:ascii="Times New Roman" w:eastAsia="Times New Roman" w:hAnsi="Times New Roman" w:cs="Times New Roman"/>
        <w:sz w:val="24"/>
        <w:szCs w:val="24"/>
        <w:lang w:val="zh-CN"/>
      </w:rPr>
      <w:fldChar w:fldCharType="end"/>
    </w:r>
  </w:p>
  <w:p w14:paraId="4D0109DE" w14:textId="77777777" w:rsidR="004F5D9D" w:rsidRDefault="004F5D9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4B2B2" w14:textId="77777777" w:rsidR="004F5D9D" w:rsidRDefault="00534E43">
    <w:pPr>
      <w:tabs>
        <w:tab w:val="left" w:pos="7157"/>
      </w:tabs>
      <w:rPr>
        <w:rFonts w:ascii="Times New Roman" w:eastAsia="Times New Roman" w:hAnsi="Times New Roman" w:cs="Times New Roman"/>
        <w:sz w:val="24"/>
        <w:szCs w:val="24"/>
        <w:lang w:val="zh-CN"/>
      </w:rPr>
    </w:pPr>
    <w:r>
      <w:rPr>
        <w:rFonts w:ascii="Times New Roman" w:eastAsia="Times New Roman" w:hAnsi="Times New Roman" w:cs="Times New Roman"/>
        <w:noProof/>
        <w:sz w:val="24"/>
        <w:szCs w:val="24"/>
        <w:lang w:eastAsia="zh-TW"/>
      </w:rPr>
      <mc:AlternateContent>
        <mc:Choice Requires="wps">
          <w:drawing>
            <wp:anchor distT="0" distB="0" distL="114300" distR="114300" simplePos="0" relativeHeight="251658240" behindDoc="0" locked="0" layoutInCell="1" allowOverlap="1" wp14:anchorId="43460E27" wp14:editId="7199D7E4">
              <wp:simplePos x="0" y="0"/>
              <wp:positionH relativeFrom="margin">
                <wp:posOffset>-29210</wp:posOffset>
              </wp:positionH>
              <wp:positionV relativeFrom="paragraph">
                <wp:posOffset>208280</wp:posOffset>
              </wp:positionV>
              <wp:extent cx="5954395" cy="0"/>
              <wp:effectExtent l="0" t="0" r="0" b="0"/>
              <wp:wrapNone/>
              <wp:docPr id="5" name="直線接點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54573" cy="1"/>
                      </a:xfrm>
                      <a:prstGeom prst="line">
                        <a:avLst/>
                      </a:prstGeom>
                      <a:noFill/>
                      <a:ln w="9525">
                        <a:solidFill>
                          <a:srgbClr val="000000"/>
                        </a:solidFill>
                        <a:round/>
                      </a:ln>
                    </wps:spPr>
                    <wps:bodyPr/>
                  </wps:wsp>
                </a:graphicData>
              </a:graphic>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line id="直線接點 5" o:spid="_x0000_s2050" style="flip:y;mso-height-relative:page;mso-position-horizontal-relative:margin;mso-width-relative:page;position:absolute;z-index:251659264" from="-2.3pt,16.4pt" to="466.55pt,16.4pt" coordsize="21600,21600" stroked="t" strokecolor="black">
              <v:stroke joinstyle="round"/>
              <o:lock v:ext="edit" aspectratio="f"/>
              <w10:wrap anchorx="margin"/>
            </v:line>
          </w:pict>
        </mc:Fallback>
      </mc:AlternateContent>
    </w:r>
    <w:r>
      <w:rPr>
        <w:rFonts w:ascii="Times New Roman" w:eastAsia="Times New Roman" w:hAnsi="Times New Roman" w:cs="Times New Roman"/>
        <w:sz w:val="24"/>
        <w:szCs w:val="24"/>
        <w:lang w:val="zh-CN"/>
      </w:rPr>
      <w:t xml:space="preserve">Contemporary Management Research </w:t>
    </w:r>
    <w:r>
      <w:rPr>
        <w:rFonts w:ascii="Times New Roman" w:eastAsia="Times New Roman" w:hAnsi="Times New Roman" w:cs="Times New Roman"/>
        <w:sz w:val="24"/>
        <w:szCs w:val="24"/>
        <w:lang w:val="zh-CN"/>
      </w:rPr>
      <w:fldChar w:fldCharType="begin"/>
    </w:r>
    <w:r>
      <w:rPr>
        <w:rFonts w:ascii="Times New Roman" w:eastAsia="Times New Roman" w:hAnsi="Times New Roman" w:cs="Times New Roman"/>
        <w:sz w:val="24"/>
        <w:szCs w:val="24"/>
        <w:lang w:val="zh-CN"/>
      </w:rPr>
      <w:instrText>PAGE   \* MERGEFORMAT</w:instrText>
    </w:r>
    <w:r>
      <w:rPr>
        <w:rFonts w:ascii="Times New Roman" w:eastAsia="Times New Roman" w:hAnsi="Times New Roman" w:cs="Times New Roman"/>
        <w:sz w:val="24"/>
        <w:szCs w:val="24"/>
        <w:lang w:val="zh-CN"/>
      </w:rPr>
      <w:fldChar w:fldCharType="separate"/>
    </w:r>
    <w:r>
      <w:rPr>
        <w:rFonts w:ascii="Times New Roman" w:eastAsia="Times New Roman" w:hAnsi="Times New Roman" w:cs="Times New Roman"/>
        <w:sz w:val="24"/>
        <w:szCs w:val="24"/>
        <w:lang w:val="zh-CN"/>
      </w:rPr>
      <w:t>3</w:t>
    </w:r>
    <w:r>
      <w:rPr>
        <w:rFonts w:ascii="Times New Roman" w:eastAsia="Times New Roman" w:hAnsi="Times New Roman" w:cs="Times New Roman"/>
        <w:sz w:val="24"/>
        <w:szCs w:val="24"/>
        <w:lang w:val="zh-CN"/>
      </w:rPr>
      <w:fldChar w:fldCharType="end"/>
    </w:r>
  </w:p>
  <w:p w14:paraId="77C8355F" w14:textId="77777777" w:rsidR="004F5D9D" w:rsidRDefault="004F5D9D">
    <w:pPr>
      <w:pStyle w:val="ad"/>
      <w:rPr>
        <w:rFonts w:ascii="Times New Roman" w:hAnsi="Times New Roman" w:cs="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2"/>
      <w:tblW w:w="4308" w:type="dxa"/>
      <w:jc w:val="right"/>
      <w:tblBorders>
        <w:top w:val="thinThickSmallGap" w:sz="24" w:space="0" w:color="auto"/>
        <w:left w:val="none" w:sz="0" w:space="0" w:color="auto"/>
        <w:bottom w:val="thickThin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4308"/>
    </w:tblGrid>
    <w:tr w:rsidR="00D83248" w14:paraId="6340E5A0" w14:textId="77777777">
      <w:trPr>
        <w:trHeight w:val="454"/>
        <w:jc w:val="right"/>
      </w:trPr>
      <w:tc>
        <w:tcPr>
          <w:tcW w:w="4308" w:type="dxa"/>
          <w:tcBorders>
            <w:top w:val="thinThickSmallGap" w:sz="24" w:space="0" w:color="auto"/>
            <w:left w:val="nil"/>
            <w:bottom w:val="thickThinSmallGap" w:sz="24" w:space="0" w:color="auto"/>
            <w:right w:val="nil"/>
          </w:tcBorders>
          <w:vAlign w:val="bottom"/>
        </w:tcPr>
        <w:p w14:paraId="62F1C220" w14:textId="77777777" w:rsidR="004F5D9D" w:rsidRDefault="00534E43">
          <w:pPr>
            <w:pStyle w:val="af4"/>
            <w:rPr>
              <w:rFonts w:ascii="Times New Roman" w:hAnsi="Times New Roman"/>
              <w:sz w:val="22"/>
              <w:szCs w:val="22"/>
            </w:rPr>
          </w:pPr>
          <w:r>
            <w:rPr>
              <w:rFonts w:ascii="Times New Roman" w:hAnsi="Times New Roman"/>
              <w:sz w:val="22"/>
              <w:szCs w:val="22"/>
            </w:rPr>
            <w:t>Contemporary Management Research</w:t>
          </w:r>
        </w:p>
        <w:p w14:paraId="6FB1332B" w14:textId="4F13C537" w:rsidR="00687217" w:rsidRPr="00687217" w:rsidRDefault="00534E43" w:rsidP="00687217">
          <w:pPr>
            <w:pStyle w:val="af4"/>
            <w:rPr>
              <w:rFonts w:ascii="Times New Roman" w:hAnsi="Times New Roman"/>
              <w:color w:val="0D0D0D"/>
              <w:sz w:val="20"/>
              <w:szCs w:val="20"/>
            </w:rPr>
          </w:pPr>
          <w:r w:rsidRPr="00687217">
            <w:rPr>
              <w:rFonts w:ascii="Times New Roman" w:hAnsi="Times New Roman"/>
              <w:color w:val="0D0D0D"/>
              <w:sz w:val="20"/>
              <w:szCs w:val="20"/>
            </w:rPr>
            <w:t xml:space="preserve">Pages </w:t>
          </w:r>
          <w:r w:rsidR="007B1BA5">
            <w:rPr>
              <w:rFonts w:ascii="Times New Roman" w:hAnsi="Times New Roman"/>
              <w:color w:val="0D0D0D"/>
              <w:sz w:val="20"/>
              <w:szCs w:val="20"/>
            </w:rPr>
            <w:t>2</w:t>
          </w:r>
          <w:r w:rsidR="00DF639F">
            <w:rPr>
              <w:rFonts w:ascii="Times New Roman" w:hAnsi="Times New Roman"/>
              <w:color w:val="0D0D0D"/>
              <w:sz w:val="20"/>
              <w:szCs w:val="20"/>
            </w:rPr>
            <w:t>13</w:t>
          </w:r>
          <w:r w:rsidRPr="00687217">
            <w:rPr>
              <w:rFonts w:ascii="Times New Roman" w:hAnsi="Times New Roman"/>
              <w:color w:val="0D0D0D"/>
              <w:sz w:val="20"/>
              <w:szCs w:val="20"/>
            </w:rPr>
            <w:t>-</w:t>
          </w:r>
          <w:r w:rsidR="00DF639F">
            <w:rPr>
              <w:rFonts w:ascii="Times New Roman" w:hAnsi="Times New Roman"/>
              <w:color w:val="0D0D0D"/>
              <w:sz w:val="20"/>
              <w:szCs w:val="20"/>
            </w:rPr>
            <w:t>246</w:t>
          </w:r>
          <w:r w:rsidRPr="00687217">
            <w:rPr>
              <w:rFonts w:ascii="Times New Roman" w:hAnsi="Times New Roman"/>
              <w:color w:val="0D0D0D"/>
              <w:sz w:val="20"/>
              <w:szCs w:val="20"/>
            </w:rPr>
            <w:t>, No. 22, No. 3, 2026</w:t>
          </w:r>
        </w:p>
        <w:p w14:paraId="7C04E7E3" w14:textId="77777777" w:rsidR="004F5D9D" w:rsidRDefault="00534E43" w:rsidP="00687217">
          <w:pPr>
            <w:spacing w:after="0" w:line="240" w:lineRule="auto"/>
          </w:pPr>
          <w:proofErr w:type="spellStart"/>
          <w:r w:rsidRPr="00687217">
            <w:rPr>
              <w:rFonts w:ascii="Times New Roman" w:hAnsi="Times New Roman"/>
              <w:color w:val="0D0D0D"/>
              <w:sz w:val="20"/>
              <w:szCs w:val="20"/>
            </w:rPr>
            <w:t>doi</w:t>
          </w:r>
          <w:proofErr w:type="spellEnd"/>
          <w:r w:rsidRPr="00687217">
            <w:rPr>
              <w:rFonts w:ascii="Times New Roman" w:hAnsi="Times New Roman"/>
              <w:color w:val="0D0D0D"/>
              <w:sz w:val="20"/>
              <w:szCs w:val="20"/>
            </w:rPr>
            <w:t>: 10.7903/</w:t>
          </w:r>
          <w:proofErr w:type="spellStart"/>
          <w:r w:rsidRPr="00687217">
            <w:rPr>
              <w:rFonts w:ascii="Times New Roman" w:hAnsi="Times New Roman"/>
              <w:color w:val="0D0D0D"/>
              <w:sz w:val="20"/>
              <w:szCs w:val="20"/>
            </w:rPr>
            <w:t>cmr</w:t>
          </w:r>
          <w:proofErr w:type="spellEnd"/>
          <w:r w:rsidRPr="00687217">
            <w:rPr>
              <w:rFonts w:ascii="Times New Roman" w:hAnsi="Times New Roman"/>
              <w:color w:val="0D0D0D"/>
              <w:sz w:val="20"/>
              <w:szCs w:val="20"/>
            </w:rPr>
            <w:t>. 242</w:t>
          </w:r>
          <w:r>
            <w:rPr>
              <w:rFonts w:ascii="Times New Roman" w:hAnsi="Times New Roman" w:hint="eastAsia"/>
              <w:color w:val="0D0D0D"/>
              <w:sz w:val="20"/>
              <w:szCs w:val="20"/>
              <w:lang w:eastAsia="zh-TW"/>
            </w:rPr>
            <w:t>95</w:t>
          </w:r>
        </w:p>
      </w:tc>
    </w:tr>
  </w:tbl>
  <w:p w14:paraId="4BB61632" w14:textId="77777777" w:rsidR="004F5D9D" w:rsidRDefault="004F5D9D">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720"/>
  <w:evenAndOddHeaders/>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EwNDA0NjE0NTAxtbRU0lEKTi0uzszPAykwNqgFABkiFQEtAAAA"/>
  </w:docVars>
  <w:rsids>
    <w:rsidRoot w:val="00893187"/>
    <w:rsid w:val="00000EE7"/>
    <w:rsid w:val="00001597"/>
    <w:rsid w:val="000019A9"/>
    <w:rsid w:val="000039A1"/>
    <w:rsid w:val="00004934"/>
    <w:rsid w:val="00010240"/>
    <w:rsid w:val="00010CC1"/>
    <w:rsid w:val="000123A9"/>
    <w:rsid w:val="00012A10"/>
    <w:rsid w:val="00013499"/>
    <w:rsid w:val="00014945"/>
    <w:rsid w:val="00021791"/>
    <w:rsid w:val="00021962"/>
    <w:rsid w:val="00024540"/>
    <w:rsid w:val="0002471C"/>
    <w:rsid w:val="00026AEA"/>
    <w:rsid w:val="000348D5"/>
    <w:rsid w:val="00035AA4"/>
    <w:rsid w:val="0004193C"/>
    <w:rsid w:val="00043078"/>
    <w:rsid w:val="00043E8C"/>
    <w:rsid w:val="000455D2"/>
    <w:rsid w:val="000505F7"/>
    <w:rsid w:val="00050B8F"/>
    <w:rsid w:val="000512EF"/>
    <w:rsid w:val="000519C2"/>
    <w:rsid w:val="00051D31"/>
    <w:rsid w:val="00053E03"/>
    <w:rsid w:val="00053F80"/>
    <w:rsid w:val="00056449"/>
    <w:rsid w:val="00056A9F"/>
    <w:rsid w:val="00057C09"/>
    <w:rsid w:val="00063B8F"/>
    <w:rsid w:val="00064E08"/>
    <w:rsid w:val="000665C4"/>
    <w:rsid w:val="00066A90"/>
    <w:rsid w:val="00073473"/>
    <w:rsid w:val="00074224"/>
    <w:rsid w:val="0007425A"/>
    <w:rsid w:val="00082B89"/>
    <w:rsid w:val="00082C1C"/>
    <w:rsid w:val="00082F56"/>
    <w:rsid w:val="0008366A"/>
    <w:rsid w:val="00087C8D"/>
    <w:rsid w:val="00087E08"/>
    <w:rsid w:val="00087E93"/>
    <w:rsid w:val="00090FFE"/>
    <w:rsid w:val="000A061E"/>
    <w:rsid w:val="000A4645"/>
    <w:rsid w:val="000A5C48"/>
    <w:rsid w:val="000B122F"/>
    <w:rsid w:val="000B291A"/>
    <w:rsid w:val="000B4BDA"/>
    <w:rsid w:val="000B5155"/>
    <w:rsid w:val="000B52E5"/>
    <w:rsid w:val="000B75FF"/>
    <w:rsid w:val="000B7915"/>
    <w:rsid w:val="000C1363"/>
    <w:rsid w:val="000C233E"/>
    <w:rsid w:val="000C353E"/>
    <w:rsid w:val="000C476B"/>
    <w:rsid w:val="000C5032"/>
    <w:rsid w:val="000D02A7"/>
    <w:rsid w:val="000D0345"/>
    <w:rsid w:val="000D16F3"/>
    <w:rsid w:val="000D18C3"/>
    <w:rsid w:val="000D24FF"/>
    <w:rsid w:val="000D3A1D"/>
    <w:rsid w:val="000D4C74"/>
    <w:rsid w:val="000D6209"/>
    <w:rsid w:val="000D7DF1"/>
    <w:rsid w:val="000D7E9A"/>
    <w:rsid w:val="000E0729"/>
    <w:rsid w:val="000E1098"/>
    <w:rsid w:val="000E45E2"/>
    <w:rsid w:val="000F1F52"/>
    <w:rsid w:val="000F2A60"/>
    <w:rsid w:val="000F3FA0"/>
    <w:rsid w:val="000F4E34"/>
    <w:rsid w:val="000F4FDA"/>
    <w:rsid w:val="000F52E2"/>
    <w:rsid w:val="000F5798"/>
    <w:rsid w:val="000F7049"/>
    <w:rsid w:val="00103ABE"/>
    <w:rsid w:val="00107323"/>
    <w:rsid w:val="00110991"/>
    <w:rsid w:val="00111B8A"/>
    <w:rsid w:val="001146EF"/>
    <w:rsid w:val="0011608F"/>
    <w:rsid w:val="001169B9"/>
    <w:rsid w:val="001213EE"/>
    <w:rsid w:val="00123EAF"/>
    <w:rsid w:val="00125A3F"/>
    <w:rsid w:val="00127BD2"/>
    <w:rsid w:val="00131672"/>
    <w:rsid w:val="001331EA"/>
    <w:rsid w:val="0013450A"/>
    <w:rsid w:val="00134C79"/>
    <w:rsid w:val="001367FD"/>
    <w:rsid w:val="00137CFB"/>
    <w:rsid w:val="00140FEE"/>
    <w:rsid w:val="00145338"/>
    <w:rsid w:val="00146185"/>
    <w:rsid w:val="00151008"/>
    <w:rsid w:val="00160BFB"/>
    <w:rsid w:val="00161176"/>
    <w:rsid w:val="0016375F"/>
    <w:rsid w:val="001676F5"/>
    <w:rsid w:val="001678EF"/>
    <w:rsid w:val="00170DA7"/>
    <w:rsid w:val="00171805"/>
    <w:rsid w:val="00172688"/>
    <w:rsid w:val="001745B5"/>
    <w:rsid w:val="00174A63"/>
    <w:rsid w:val="00174A64"/>
    <w:rsid w:val="00174F48"/>
    <w:rsid w:val="001761CF"/>
    <w:rsid w:val="00177659"/>
    <w:rsid w:val="00177AA0"/>
    <w:rsid w:val="00181616"/>
    <w:rsid w:val="0018284A"/>
    <w:rsid w:val="00184B85"/>
    <w:rsid w:val="00186CCF"/>
    <w:rsid w:val="00186D72"/>
    <w:rsid w:val="00187FB3"/>
    <w:rsid w:val="00194307"/>
    <w:rsid w:val="0019633E"/>
    <w:rsid w:val="0019743A"/>
    <w:rsid w:val="001A0A67"/>
    <w:rsid w:val="001A272F"/>
    <w:rsid w:val="001A5B08"/>
    <w:rsid w:val="001B0892"/>
    <w:rsid w:val="001B24C7"/>
    <w:rsid w:val="001B4E86"/>
    <w:rsid w:val="001B5A48"/>
    <w:rsid w:val="001B680B"/>
    <w:rsid w:val="001B7F44"/>
    <w:rsid w:val="001C054E"/>
    <w:rsid w:val="001C25ED"/>
    <w:rsid w:val="001D1306"/>
    <w:rsid w:val="001D5912"/>
    <w:rsid w:val="001D5DC8"/>
    <w:rsid w:val="001D6336"/>
    <w:rsid w:val="001E5F3D"/>
    <w:rsid w:val="001E7D8F"/>
    <w:rsid w:val="001F1509"/>
    <w:rsid w:val="002015F0"/>
    <w:rsid w:val="002026B8"/>
    <w:rsid w:val="0020479A"/>
    <w:rsid w:val="00207FC2"/>
    <w:rsid w:val="00211689"/>
    <w:rsid w:val="0021470E"/>
    <w:rsid w:val="00215A52"/>
    <w:rsid w:val="00216482"/>
    <w:rsid w:val="00217BBE"/>
    <w:rsid w:val="00217C7C"/>
    <w:rsid w:val="00224113"/>
    <w:rsid w:val="002242EF"/>
    <w:rsid w:val="002252FC"/>
    <w:rsid w:val="0022756C"/>
    <w:rsid w:val="00233498"/>
    <w:rsid w:val="0023687D"/>
    <w:rsid w:val="002370DD"/>
    <w:rsid w:val="002432B2"/>
    <w:rsid w:val="002466D0"/>
    <w:rsid w:val="0025149A"/>
    <w:rsid w:val="00255D9E"/>
    <w:rsid w:val="0025695D"/>
    <w:rsid w:val="00257D15"/>
    <w:rsid w:val="00262D9A"/>
    <w:rsid w:val="002638D0"/>
    <w:rsid w:val="00265A1F"/>
    <w:rsid w:val="00267229"/>
    <w:rsid w:val="0027019C"/>
    <w:rsid w:val="00277B3D"/>
    <w:rsid w:val="00280466"/>
    <w:rsid w:val="00282608"/>
    <w:rsid w:val="00283827"/>
    <w:rsid w:val="00285351"/>
    <w:rsid w:val="002874AE"/>
    <w:rsid w:val="00290E68"/>
    <w:rsid w:val="00291E80"/>
    <w:rsid w:val="00294490"/>
    <w:rsid w:val="002A0BA6"/>
    <w:rsid w:val="002A20D1"/>
    <w:rsid w:val="002A3985"/>
    <w:rsid w:val="002A4403"/>
    <w:rsid w:val="002A7B64"/>
    <w:rsid w:val="002B6102"/>
    <w:rsid w:val="002B63B8"/>
    <w:rsid w:val="002B6D99"/>
    <w:rsid w:val="002B6FA8"/>
    <w:rsid w:val="002B7B54"/>
    <w:rsid w:val="002C039E"/>
    <w:rsid w:val="002C185B"/>
    <w:rsid w:val="002C1F1F"/>
    <w:rsid w:val="002C4E44"/>
    <w:rsid w:val="002C614D"/>
    <w:rsid w:val="002C731C"/>
    <w:rsid w:val="002D0332"/>
    <w:rsid w:val="002D05FB"/>
    <w:rsid w:val="002D0EBF"/>
    <w:rsid w:val="002E2542"/>
    <w:rsid w:val="002E399B"/>
    <w:rsid w:val="002E7F66"/>
    <w:rsid w:val="002F4083"/>
    <w:rsid w:val="002F61AB"/>
    <w:rsid w:val="002F7EBC"/>
    <w:rsid w:val="0030065E"/>
    <w:rsid w:val="00301877"/>
    <w:rsid w:val="00305930"/>
    <w:rsid w:val="00307DCE"/>
    <w:rsid w:val="00307E7F"/>
    <w:rsid w:val="003114C3"/>
    <w:rsid w:val="00313973"/>
    <w:rsid w:val="00314751"/>
    <w:rsid w:val="0032017E"/>
    <w:rsid w:val="00320CEA"/>
    <w:rsid w:val="003217EE"/>
    <w:rsid w:val="00321E07"/>
    <w:rsid w:val="003239FC"/>
    <w:rsid w:val="003270B7"/>
    <w:rsid w:val="00327DF9"/>
    <w:rsid w:val="00330597"/>
    <w:rsid w:val="003320DC"/>
    <w:rsid w:val="00334055"/>
    <w:rsid w:val="003377B6"/>
    <w:rsid w:val="00340580"/>
    <w:rsid w:val="00340E8D"/>
    <w:rsid w:val="00343527"/>
    <w:rsid w:val="00343824"/>
    <w:rsid w:val="0034403F"/>
    <w:rsid w:val="003457D3"/>
    <w:rsid w:val="00350AD5"/>
    <w:rsid w:val="00356BA1"/>
    <w:rsid w:val="00357BA7"/>
    <w:rsid w:val="00357BE0"/>
    <w:rsid w:val="00362DCE"/>
    <w:rsid w:val="0037043F"/>
    <w:rsid w:val="003724BB"/>
    <w:rsid w:val="00373916"/>
    <w:rsid w:val="00374761"/>
    <w:rsid w:val="00374FA9"/>
    <w:rsid w:val="00375007"/>
    <w:rsid w:val="00383133"/>
    <w:rsid w:val="003855E3"/>
    <w:rsid w:val="0038660C"/>
    <w:rsid w:val="00392644"/>
    <w:rsid w:val="003928B2"/>
    <w:rsid w:val="00393536"/>
    <w:rsid w:val="00395559"/>
    <w:rsid w:val="00397C7A"/>
    <w:rsid w:val="003A19EA"/>
    <w:rsid w:val="003A2513"/>
    <w:rsid w:val="003A4658"/>
    <w:rsid w:val="003B1C20"/>
    <w:rsid w:val="003B2FDC"/>
    <w:rsid w:val="003B40ED"/>
    <w:rsid w:val="003B6D93"/>
    <w:rsid w:val="003B6E18"/>
    <w:rsid w:val="003B6E69"/>
    <w:rsid w:val="003C0822"/>
    <w:rsid w:val="003C368A"/>
    <w:rsid w:val="003C4C6C"/>
    <w:rsid w:val="003D115F"/>
    <w:rsid w:val="003D50AA"/>
    <w:rsid w:val="003E1F09"/>
    <w:rsid w:val="003E2B38"/>
    <w:rsid w:val="003E32BD"/>
    <w:rsid w:val="003E3E9A"/>
    <w:rsid w:val="003E6676"/>
    <w:rsid w:val="003E680F"/>
    <w:rsid w:val="003F3296"/>
    <w:rsid w:val="003F48AF"/>
    <w:rsid w:val="003F5758"/>
    <w:rsid w:val="003F62A9"/>
    <w:rsid w:val="00405E29"/>
    <w:rsid w:val="0041032E"/>
    <w:rsid w:val="004121E5"/>
    <w:rsid w:val="00412FC2"/>
    <w:rsid w:val="00417F50"/>
    <w:rsid w:val="004207C0"/>
    <w:rsid w:val="00421011"/>
    <w:rsid w:val="00423A95"/>
    <w:rsid w:val="00430553"/>
    <w:rsid w:val="0044067C"/>
    <w:rsid w:val="00442E20"/>
    <w:rsid w:val="004435EF"/>
    <w:rsid w:val="0044527F"/>
    <w:rsid w:val="0045177E"/>
    <w:rsid w:val="00453A21"/>
    <w:rsid w:val="00462329"/>
    <w:rsid w:val="00464F62"/>
    <w:rsid w:val="00465F59"/>
    <w:rsid w:val="00470520"/>
    <w:rsid w:val="00472081"/>
    <w:rsid w:val="00480D9B"/>
    <w:rsid w:val="00481459"/>
    <w:rsid w:val="0048549F"/>
    <w:rsid w:val="0049021E"/>
    <w:rsid w:val="0049080B"/>
    <w:rsid w:val="00490927"/>
    <w:rsid w:val="00491920"/>
    <w:rsid w:val="004A784E"/>
    <w:rsid w:val="004A7D23"/>
    <w:rsid w:val="004B4262"/>
    <w:rsid w:val="004B7BCF"/>
    <w:rsid w:val="004C1FE1"/>
    <w:rsid w:val="004C5BD9"/>
    <w:rsid w:val="004C7310"/>
    <w:rsid w:val="004D134C"/>
    <w:rsid w:val="004D2FF1"/>
    <w:rsid w:val="004E05C9"/>
    <w:rsid w:val="004E1DCE"/>
    <w:rsid w:val="004E45A1"/>
    <w:rsid w:val="004F4972"/>
    <w:rsid w:val="004F5404"/>
    <w:rsid w:val="004F5D9D"/>
    <w:rsid w:val="004F7FC9"/>
    <w:rsid w:val="00502965"/>
    <w:rsid w:val="00503C77"/>
    <w:rsid w:val="0050613D"/>
    <w:rsid w:val="0050632A"/>
    <w:rsid w:val="0050679E"/>
    <w:rsid w:val="00507C70"/>
    <w:rsid w:val="0051151F"/>
    <w:rsid w:val="005128F8"/>
    <w:rsid w:val="00515613"/>
    <w:rsid w:val="00515861"/>
    <w:rsid w:val="00517C1C"/>
    <w:rsid w:val="00520E26"/>
    <w:rsid w:val="00524CBF"/>
    <w:rsid w:val="00524E07"/>
    <w:rsid w:val="005260BA"/>
    <w:rsid w:val="00532A12"/>
    <w:rsid w:val="00534E43"/>
    <w:rsid w:val="00536C07"/>
    <w:rsid w:val="00545BC7"/>
    <w:rsid w:val="00550C73"/>
    <w:rsid w:val="005545F0"/>
    <w:rsid w:val="005616FE"/>
    <w:rsid w:val="00562B02"/>
    <w:rsid w:val="0056572A"/>
    <w:rsid w:val="00565A1C"/>
    <w:rsid w:val="00567FB0"/>
    <w:rsid w:val="00572E16"/>
    <w:rsid w:val="0057628C"/>
    <w:rsid w:val="00584A6C"/>
    <w:rsid w:val="005855DE"/>
    <w:rsid w:val="00586DC5"/>
    <w:rsid w:val="0059309A"/>
    <w:rsid w:val="0059476E"/>
    <w:rsid w:val="00595FCA"/>
    <w:rsid w:val="005A0D61"/>
    <w:rsid w:val="005A2B84"/>
    <w:rsid w:val="005B24E1"/>
    <w:rsid w:val="005B2E1D"/>
    <w:rsid w:val="005B3177"/>
    <w:rsid w:val="005B47D3"/>
    <w:rsid w:val="005C047B"/>
    <w:rsid w:val="005C1A24"/>
    <w:rsid w:val="005C3053"/>
    <w:rsid w:val="005C3739"/>
    <w:rsid w:val="005C6C9E"/>
    <w:rsid w:val="005C6F72"/>
    <w:rsid w:val="005D231B"/>
    <w:rsid w:val="005D43A5"/>
    <w:rsid w:val="005D4F35"/>
    <w:rsid w:val="005D5C32"/>
    <w:rsid w:val="005E3FD7"/>
    <w:rsid w:val="005E4AA4"/>
    <w:rsid w:val="005E4AAC"/>
    <w:rsid w:val="005E6A31"/>
    <w:rsid w:val="005F0AEE"/>
    <w:rsid w:val="005F1AD1"/>
    <w:rsid w:val="005F1B2C"/>
    <w:rsid w:val="005F3E72"/>
    <w:rsid w:val="005F457F"/>
    <w:rsid w:val="005F459D"/>
    <w:rsid w:val="005F609E"/>
    <w:rsid w:val="005F657C"/>
    <w:rsid w:val="005F74E1"/>
    <w:rsid w:val="006007DE"/>
    <w:rsid w:val="00601194"/>
    <w:rsid w:val="00601367"/>
    <w:rsid w:val="00603BE5"/>
    <w:rsid w:val="00605595"/>
    <w:rsid w:val="00606B8D"/>
    <w:rsid w:val="00607A3E"/>
    <w:rsid w:val="0061224D"/>
    <w:rsid w:val="00620EA6"/>
    <w:rsid w:val="00622B66"/>
    <w:rsid w:val="00622DF5"/>
    <w:rsid w:val="00632E49"/>
    <w:rsid w:val="006332C6"/>
    <w:rsid w:val="00634CC2"/>
    <w:rsid w:val="006351CD"/>
    <w:rsid w:val="00635368"/>
    <w:rsid w:val="00635567"/>
    <w:rsid w:val="00640238"/>
    <w:rsid w:val="00641F2C"/>
    <w:rsid w:val="00641F59"/>
    <w:rsid w:val="0064215D"/>
    <w:rsid w:val="00642BC0"/>
    <w:rsid w:val="0065010D"/>
    <w:rsid w:val="006543A2"/>
    <w:rsid w:val="006552B2"/>
    <w:rsid w:val="006566A9"/>
    <w:rsid w:val="00657303"/>
    <w:rsid w:val="00657870"/>
    <w:rsid w:val="00657986"/>
    <w:rsid w:val="00662644"/>
    <w:rsid w:val="006628A8"/>
    <w:rsid w:val="00662F71"/>
    <w:rsid w:val="00663D85"/>
    <w:rsid w:val="0066455D"/>
    <w:rsid w:val="00665CB7"/>
    <w:rsid w:val="00667178"/>
    <w:rsid w:val="006717E2"/>
    <w:rsid w:val="006742DE"/>
    <w:rsid w:val="0067687B"/>
    <w:rsid w:val="006768E4"/>
    <w:rsid w:val="00677205"/>
    <w:rsid w:val="006777FB"/>
    <w:rsid w:val="00677E3F"/>
    <w:rsid w:val="006828CD"/>
    <w:rsid w:val="00683617"/>
    <w:rsid w:val="00683945"/>
    <w:rsid w:val="006857ED"/>
    <w:rsid w:val="0068715C"/>
    <w:rsid w:val="00687217"/>
    <w:rsid w:val="00693FD3"/>
    <w:rsid w:val="006A10BD"/>
    <w:rsid w:val="006A1A4C"/>
    <w:rsid w:val="006A5119"/>
    <w:rsid w:val="006A66B3"/>
    <w:rsid w:val="006B247C"/>
    <w:rsid w:val="006B2AD9"/>
    <w:rsid w:val="006C1DF7"/>
    <w:rsid w:val="006C3D66"/>
    <w:rsid w:val="006D2039"/>
    <w:rsid w:val="006D364E"/>
    <w:rsid w:val="006D64A7"/>
    <w:rsid w:val="006D760F"/>
    <w:rsid w:val="006E15F7"/>
    <w:rsid w:val="006E1A4A"/>
    <w:rsid w:val="006E3FED"/>
    <w:rsid w:val="006E4502"/>
    <w:rsid w:val="006E66D7"/>
    <w:rsid w:val="00700CBB"/>
    <w:rsid w:val="007040B6"/>
    <w:rsid w:val="00706DBA"/>
    <w:rsid w:val="00710297"/>
    <w:rsid w:val="0071099D"/>
    <w:rsid w:val="007123BA"/>
    <w:rsid w:val="0071385A"/>
    <w:rsid w:val="0071633A"/>
    <w:rsid w:val="007217C4"/>
    <w:rsid w:val="00723367"/>
    <w:rsid w:val="007302AF"/>
    <w:rsid w:val="007327EB"/>
    <w:rsid w:val="0073507F"/>
    <w:rsid w:val="00736EBE"/>
    <w:rsid w:val="007401F3"/>
    <w:rsid w:val="00741558"/>
    <w:rsid w:val="00751131"/>
    <w:rsid w:val="00751F71"/>
    <w:rsid w:val="00752D68"/>
    <w:rsid w:val="00760362"/>
    <w:rsid w:val="0076144A"/>
    <w:rsid w:val="0076260E"/>
    <w:rsid w:val="0076460C"/>
    <w:rsid w:val="00765320"/>
    <w:rsid w:val="00766A57"/>
    <w:rsid w:val="00767D04"/>
    <w:rsid w:val="00770770"/>
    <w:rsid w:val="007741C7"/>
    <w:rsid w:val="007763FA"/>
    <w:rsid w:val="00780B29"/>
    <w:rsid w:val="007810A9"/>
    <w:rsid w:val="00781671"/>
    <w:rsid w:val="007818CD"/>
    <w:rsid w:val="00781917"/>
    <w:rsid w:val="00791F8F"/>
    <w:rsid w:val="00793967"/>
    <w:rsid w:val="0079743F"/>
    <w:rsid w:val="007A0925"/>
    <w:rsid w:val="007A0B54"/>
    <w:rsid w:val="007A250B"/>
    <w:rsid w:val="007A4166"/>
    <w:rsid w:val="007B068D"/>
    <w:rsid w:val="007B122C"/>
    <w:rsid w:val="007B1AE9"/>
    <w:rsid w:val="007B1BA5"/>
    <w:rsid w:val="007B32C6"/>
    <w:rsid w:val="007B41E3"/>
    <w:rsid w:val="007B6C25"/>
    <w:rsid w:val="007C1972"/>
    <w:rsid w:val="007C6D06"/>
    <w:rsid w:val="007D2753"/>
    <w:rsid w:val="007D3A31"/>
    <w:rsid w:val="007D7FBB"/>
    <w:rsid w:val="007E1163"/>
    <w:rsid w:val="007E37D3"/>
    <w:rsid w:val="007F1375"/>
    <w:rsid w:val="007F16B7"/>
    <w:rsid w:val="00801FC7"/>
    <w:rsid w:val="0080238F"/>
    <w:rsid w:val="008025C4"/>
    <w:rsid w:val="00804298"/>
    <w:rsid w:val="008069F8"/>
    <w:rsid w:val="00806ED5"/>
    <w:rsid w:val="00807AE4"/>
    <w:rsid w:val="00813918"/>
    <w:rsid w:val="00814649"/>
    <w:rsid w:val="0082163C"/>
    <w:rsid w:val="00822E2C"/>
    <w:rsid w:val="008312A3"/>
    <w:rsid w:val="00832B0C"/>
    <w:rsid w:val="00834E3A"/>
    <w:rsid w:val="00834ED7"/>
    <w:rsid w:val="00835BC7"/>
    <w:rsid w:val="0084042A"/>
    <w:rsid w:val="00841000"/>
    <w:rsid w:val="00846011"/>
    <w:rsid w:val="00847CB9"/>
    <w:rsid w:val="00853EE6"/>
    <w:rsid w:val="00855780"/>
    <w:rsid w:val="00856628"/>
    <w:rsid w:val="008623EC"/>
    <w:rsid w:val="008629EB"/>
    <w:rsid w:val="00865BF6"/>
    <w:rsid w:val="00874865"/>
    <w:rsid w:val="0087586D"/>
    <w:rsid w:val="00877C85"/>
    <w:rsid w:val="00881D2B"/>
    <w:rsid w:val="008829B2"/>
    <w:rsid w:val="00886587"/>
    <w:rsid w:val="00887226"/>
    <w:rsid w:val="0089050E"/>
    <w:rsid w:val="00890716"/>
    <w:rsid w:val="00892DF1"/>
    <w:rsid w:val="00893187"/>
    <w:rsid w:val="0089471D"/>
    <w:rsid w:val="008948F1"/>
    <w:rsid w:val="00895C10"/>
    <w:rsid w:val="0089767A"/>
    <w:rsid w:val="008A0590"/>
    <w:rsid w:val="008A0AA4"/>
    <w:rsid w:val="008A2EAE"/>
    <w:rsid w:val="008A41EA"/>
    <w:rsid w:val="008A56B6"/>
    <w:rsid w:val="008A583E"/>
    <w:rsid w:val="008A5E03"/>
    <w:rsid w:val="008A5E50"/>
    <w:rsid w:val="008A61FD"/>
    <w:rsid w:val="008A7D0E"/>
    <w:rsid w:val="008B042B"/>
    <w:rsid w:val="008B2DF8"/>
    <w:rsid w:val="008B49CE"/>
    <w:rsid w:val="008B4D9D"/>
    <w:rsid w:val="008B780A"/>
    <w:rsid w:val="008C10BC"/>
    <w:rsid w:val="008C254C"/>
    <w:rsid w:val="008C52A2"/>
    <w:rsid w:val="008C5A4C"/>
    <w:rsid w:val="008D2CD5"/>
    <w:rsid w:val="008E0706"/>
    <w:rsid w:val="008E0A73"/>
    <w:rsid w:val="008E66F1"/>
    <w:rsid w:val="008E7EE9"/>
    <w:rsid w:val="008F3754"/>
    <w:rsid w:val="008F6105"/>
    <w:rsid w:val="008F6C79"/>
    <w:rsid w:val="00900396"/>
    <w:rsid w:val="00906106"/>
    <w:rsid w:val="00912D38"/>
    <w:rsid w:val="00913683"/>
    <w:rsid w:val="00916AC4"/>
    <w:rsid w:val="0092250F"/>
    <w:rsid w:val="00924C6F"/>
    <w:rsid w:val="009277D5"/>
    <w:rsid w:val="00936F84"/>
    <w:rsid w:val="00937406"/>
    <w:rsid w:val="00941D72"/>
    <w:rsid w:val="009454AE"/>
    <w:rsid w:val="009471F2"/>
    <w:rsid w:val="00951068"/>
    <w:rsid w:val="00953BD7"/>
    <w:rsid w:val="0095750C"/>
    <w:rsid w:val="00960D4D"/>
    <w:rsid w:val="00964247"/>
    <w:rsid w:val="0096544E"/>
    <w:rsid w:val="00966083"/>
    <w:rsid w:val="009664A7"/>
    <w:rsid w:val="0097313A"/>
    <w:rsid w:val="0097618C"/>
    <w:rsid w:val="009763EF"/>
    <w:rsid w:val="00977B2C"/>
    <w:rsid w:val="00982346"/>
    <w:rsid w:val="0098626C"/>
    <w:rsid w:val="0099134A"/>
    <w:rsid w:val="00991D8A"/>
    <w:rsid w:val="009A04DC"/>
    <w:rsid w:val="009A3BE7"/>
    <w:rsid w:val="009A4EA8"/>
    <w:rsid w:val="009A53D6"/>
    <w:rsid w:val="009A5ED7"/>
    <w:rsid w:val="009B0AD0"/>
    <w:rsid w:val="009C0C56"/>
    <w:rsid w:val="009C17DE"/>
    <w:rsid w:val="009C1B35"/>
    <w:rsid w:val="009C217C"/>
    <w:rsid w:val="009C32F5"/>
    <w:rsid w:val="009C3BEB"/>
    <w:rsid w:val="009C60A3"/>
    <w:rsid w:val="009C66A9"/>
    <w:rsid w:val="009D0D26"/>
    <w:rsid w:val="009D2059"/>
    <w:rsid w:val="009D2ABC"/>
    <w:rsid w:val="009D4A1C"/>
    <w:rsid w:val="009D6137"/>
    <w:rsid w:val="009D7019"/>
    <w:rsid w:val="009D7506"/>
    <w:rsid w:val="009E1AFF"/>
    <w:rsid w:val="009E3B86"/>
    <w:rsid w:val="009E472D"/>
    <w:rsid w:val="009E474A"/>
    <w:rsid w:val="009E7296"/>
    <w:rsid w:val="009F1F2F"/>
    <w:rsid w:val="009F2FFE"/>
    <w:rsid w:val="009F458B"/>
    <w:rsid w:val="009F7593"/>
    <w:rsid w:val="00A00AEC"/>
    <w:rsid w:val="00A0167D"/>
    <w:rsid w:val="00A01EE1"/>
    <w:rsid w:val="00A061A5"/>
    <w:rsid w:val="00A11235"/>
    <w:rsid w:val="00A128A0"/>
    <w:rsid w:val="00A15341"/>
    <w:rsid w:val="00A164A4"/>
    <w:rsid w:val="00A25B79"/>
    <w:rsid w:val="00A25DB1"/>
    <w:rsid w:val="00A30088"/>
    <w:rsid w:val="00A30611"/>
    <w:rsid w:val="00A30D75"/>
    <w:rsid w:val="00A341F0"/>
    <w:rsid w:val="00A35D1D"/>
    <w:rsid w:val="00A40110"/>
    <w:rsid w:val="00A40F99"/>
    <w:rsid w:val="00A464CD"/>
    <w:rsid w:val="00A47EC5"/>
    <w:rsid w:val="00A51682"/>
    <w:rsid w:val="00A53F60"/>
    <w:rsid w:val="00A56BAF"/>
    <w:rsid w:val="00A607BA"/>
    <w:rsid w:val="00A61521"/>
    <w:rsid w:val="00A6214D"/>
    <w:rsid w:val="00A67312"/>
    <w:rsid w:val="00A67F3D"/>
    <w:rsid w:val="00A71DD9"/>
    <w:rsid w:val="00A746EF"/>
    <w:rsid w:val="00A74C1F"/>
    <w:rsid w:val="00A834C0"/>
    <w:rsid w:val="00A83E7B"/>
    <w:rsid w:val="00A841F0"/>
    <w:rsid w:val="00A8462A"/>
    <w:rsid w:val="00A86881"/>
    <w:rsid w:val="00A905C4"/>
    <w:rsid w:val="00A97690"/>
    <w:rsid w:val="00AA2736"/>
    <w:rsid w:val="00AA426C"/>
    <w:rsid w:val="00AA7336"/>
    <w:rsid w:val="00AB26C9"/>
    <w:rsid w:val="00AB482A"/>
    <w:rsid w:val="00AB702D"/>
    <w:rsid w:val="00AB723E"/>
    <w:rsid w:val="00AB73CE"/>
    <w:rsid w:val="00AB7700"/>
    <w:rsid w:val="00AC395B"/>
    <w:rsid w:val="00AC3E53"/>
    <w:rsid w:val="00AC5F9A"/>
    <w:rsid w:val="00AC659D"/>
    <w:rsid w:val="00AC67CA"/>
    <w:rsid w:val="00AC71C7"/>
    <w:rsid w:val="00AD3B31"/>
    <w:rsid w:val="00AD46E5"/>
    <w:rsid w:val="00AD5078"/>
    <w:rsid w:val="00AD62ED"/>
    <w:rsid w:val="00AD70A7"/>
    <w:rsid w:val="00AD7307"/>
    <w:rsid w:val="00AD7FE5"/>
    <w:rsid w:val="00AE4D08"/>
    <w:rsid w:val="00AE5AF3"/>
    <w:rsid w:val="00AE6088"/>
    <w:rsid w:val="00AF3CFC"/>
    <w:rsid w:val="00AF57DC"/>
    <w:rsid w:val="00AF7239"/>
    <w:rsid w:val="00B00799"/>
    <w:rsid w:val="00B028E5"/>
    <w:rsid w:val="00B039A7"/>
    <w:rsid w:val="00B03D6E"/>
    <w:rsid w:val="00B042C9"/>
    <w:rsid w:val="00B11F30"/>
    <w:rsid w:val="00B13835"/>
    <w:rsid w:val="00B15101"/>
    <w:rsid w:val="00B174F8"/>
    <w:rsid w:val="00B20065"/>
    <w:rsid w:val="00B24555"/>
    <w:rsid w:val="00B25AB0"/>
    <w:rsid w:val="00B25CB0"/>
    <w:rsid w:val="00B25EC2"/>
    <w:rsid w:val="00B26B1E"/>
    <w:rsid w:val="00B26F95"/>
    <w:rsid w:val="00B33ABC"/>
    <w:rsid w:val="00B41753"/>
    <w:rsid w:val="00B451F3"/>
    <w:rsid w:val="00B456D4"/>
    <w:rsid w:val="00B517B5"/>
    <w:rsid w:val="00B52EB5"/>
    <w:rsid w:val="00B52F29"/>
    <w:rsid w:val="00B57177"/>
    <w:rsid w:val="00B609A3"/>
    <w:rsid w:val="00B61C0A"/>
    <w:rsid w:val="00B63243"/>
    <w:rsid w:val="00B64E09"/>
    <w:rsid w:val="00B655EB"/>
    <w:rsid w:val="00B6567F"/>
    <w:rsid w:val="00B6799E"/>
    <w:rsid w:val="00B7024D"/>
    <w:rsid w:val="00B72925"/>
    <w:rsid w:val="00B72A5F"/>
    <w:rsid w:val="00B74ABC"/>
    <w:rsid w:val="00B7512D"/>
    <w:rsid w:val="00B75DB8"/>
    <w:rsid w:val="00B76172"/>
    <w:rsid w:val="00B768D5"/>
    <w:rsid w:val="00B812A0"/>
    <w:rsid w:val="00B836A1"/>
    <w:rsid w:val="00B836C7"/>
    <w:rsid w:val="00B85AD0"/>
    <w:rsid w:val="00B86038"/>
    <w:rsid w:val="00B9164B"/>
    <w:rsid w:val="00B91862"/>
    <w:rsid w:val="00B9544C"/>
    <w:rsid w:val="00BA047B"/>
    <w:rsid w:val="00BA0864"/>
    <w:rsid w:val="00BA1A98"/>
    <w:rsid w:val="00BA365E"/>
    <w:rsid w:val="00BB027E"/>
    <w:rsid w:val="00BB3CD3"/>
    <w:rsid w:val="00BB52DF"/>
    <w:rsid w:val="00BB661E"/>
    <w:rsid w:val="00BB7BDC"/>
    <w:rsid w:val="00BC2C70"/>
    <w:rsid w:val="00BC7DC1"/>
    <w:rsid w:val="00BD1DC5"/>
    <w:rsid w:val="00BD4974"/>
    <w:rsid w:val="00BD5DF6"/>
    <w:rsid w:val="00BE19B0"/>
    <w:rsid w:val="00BE37E1"/>
    <w:rsid w:val="00BE5781"/>
    <w:rsid w:val="00BF0119"/>
    <w:rsid w:val="00BF041E"/>
    <w:rsid w:val="00BF183B"/>
    <w:rsid w:val="00BF48C5"/>
    <w:rsid w:val="00C03B63"/>
    <w:rsid w:val="00C06B3F"/>
    <w:rsid w:val="00C10E8A"/>
    <w:rsid w:val="00C10EE6"/>
    <w:rsid w:val="00C11101"/>
    <w:rsid w:val="00C11E86"/>
    <w:rsid w:val="00C126B4"/>
    <w:rsid w:val="00C1477C"/>
    <w:rsid w:val="00C15122"/>
    <w:rsid w:val="00C17393"/>
    <w:rsid w:val="00C21D81"/>
    <w:rsid w:val="00C3096D"/>
    <w:rsid w:val="00C33D64"/>
    <w:rsid w:val="00C3794B"/>
    <w:rsid w:val="00C4254C"/>
    <w:rsid w:val="00C43119"/>
    <w:rsid w:val="00C44B72"/>
    <w:rsid w:val="00C44DB2"/>
    <w:rsid w:val="00C47775"/>
    <w:rsid w:val="00C521AC"/>
    <w:rsid w:val="00C521C5"/>
    <w:rsid w:val="00C535F9"/>
    <w:rsid w:val="00C54440"/>
    <w:rsid w:val="00C61C47"/>
    <w:rsid w:val="00C64BDE"/>
    <w:rsid w:val="00C66A85"/>
    <w:rsid w:val="00C75021"/>
    <w:rsid w:val="00C91EDF"/>
    <w:rsid w:val="00C92464"/>
    <w:rsid w:val="00C936A2"/>
    <w:rsid w:val="00C939C0"/>
    <w:rsid w:val="00C943DA"/>
    <w:rsid w:val="00C94E0D"/>
    <w:rsid w:val="00CA00DF"/>
    <w:rsid w:val="00CA02B4"/>
    <w:rsid w:val="00CA32B0"/>
    <w:rsid w:val="00CA6617"/>
    <w:rsid w:val="00CA6CA3"/>
    <w:rsid w:val="00CA6F14"/>
    <w:rsid w:val="00CB64DB"/>
    <w:rsid w:val="00CB7291"/>
    <w:rsid w:val="00CC1C4C"/>
    <w:rsid w:val="00CC2EA2"/>
    <w:rsid w:val="00CC4093"/>
    <w:rsid w:val="00CD05BE"/>
    <w:rsid w:val="00CD4DFB"/>
    <w:rsid w:val="00CD6C9F"/>
    <w:rsid w:val="00CD6F84"/>
    <w:rsid w:val="00CE06ED"/>
    <w:rsid w:val="00CE19BD"/>
    <w:rsid w:val="00CE42B9"/>
    <w:rsid w:val="00CE53B1"/>
    <w:rsid w:val="00CE68EB"/>
    <w:rsid w:val="00CE6B78"/>
    <w:rsid w:val="00CE753B"/>
    <w:rsid w:val="00CE7E9E"/>
    <w:rsid w:val="00CF0440"/>
    <w:rsid w:val="00CF26C0"/>
    <w:rsid w:val="00CF52CC"/>
    <w:rsid w:val="00CF7378"/>
    <w:rsid w:val="00CF7488"/>
    <w:rsid w:val="00D00AE6"/>
    <w:rsid w:val="00D00B36"/>
    <w:rsid w:val="00D0131A"/>
    <w:rsid w:val="00D014CE"/>
    <w:rsid w:val="00D01873"/>
    <w:rsid w:val="00D058FB"/>
    <w:rsid w:val="00D05AA1"/>
    <w:rsid w:val="00D0772E"/>
    <w:rsid w:val="00D1097C"/>
    <w:rsid w:val="00D116D0"/>
    <w:rsid w:val="00D11CB8"/>
    <w:rsid w:val="00D13A86"/>
    <w:rsid w:val="00D150A5"/>
    <w:rsid w:val="00D15AEF"/>
    <w:rsid w:val="00D1620C"/>
    <w:rsid w:val="00D16E3A"/>
    <w:rsid w:val="00D22171"/>
    <w:rsid w:val="00D233E8"/>
    <w:rsid w:val="00D239E8"/>
    <w:rsid w:val="00D307B4"/>
    <w:rsid w:val="00D30A84"/>
    <w:rsid w:val="00D32D54"/>
    <w:rsid w:val="00D332E6"/>
    <w:rsid w:val="00D33A64"/>
    <w:rsid w:val="00D41F0F"/>
    <w:rsid w:val="00D42D3E"/>
    <w:rsid w:val="00D45328"/>
    <w:rsid w:val="00D46011"/>
    <w:rsid w:val="00D50456"/>
    <w:rsid w:val="00D50D66"/>
    <w:rsid w:val="00D53C14"/>
    <w:rsid w:val="00D54DEB"/>
    <w:rsid w:val="00D56F50"/>
    <w:rsid w:val="00D5726F"/>
    <w:rsid w:val="00D620A2"/>
    <w:rsid w:val="00D63C66"/>
    <w:rsid w:val="00D66F2E"/>
    <w:rsid w:val="00D6785F"/>
    <w:rsid w:val="00D7113B"/>
    <w:rsid w:val="00D720C8"/>
    <w:rsid w:val="00D7387A"/>
    <w:rsid w:val="00D762BF"/>
    <w:rsid w:val="00D769A4"/>
    <w:rsid w:val="00D8294E"/>
    <w:rsid w:val="00D83248"/>
    <w:rsid w:val="00D83833"/>
    <w:rsid w:val="00D83CA6"/>
    <w:rsid w:val="00D857F1"/>
    <w:rsid w:val="00D85D15"/>
    <w:rsid w:val="00D932A8"/>
    <w:rsid w:val="00DA289B"/>
    <w:rsid w:val="00DA47A6"/>
    <w:rsid w:val="00DA4A1D"/>
    <w:rsid w:val="00DA560D"/>
    <w:rsid w:val="00DA5DE5"/>
    <w:rsid w:val="00DB039A"/>
    <w:rsid w:val="00DB0566"/>
    <w:rsid w:val="00DB2119"/>
    <w:rsid w:val="00DB2305"/>
    <w:rsid w:val="00DB33FD"/>
    <w:rsid w:val="00DB37DA"/>
    <w:rsid w:val="00DB4D52"/>
    <w:rsid w:val="00DC392A"/>
    <w:rsid w:val="00DC41F3"/>
    <w:rsid w:val="00DC4DEF"/>
    <w:rsid w:val="00DD080B"/>
    <w:rsid w:val="00DD10A2"/>
    <w:rsid w:val="00DE2787"/>
    <w:rsid w:val="00DE3E2A"/>
    <w:rsid w:val="00DE4D2A"/>
    <w:rsid w:val="00DE71A1"/>
    <w:rsid w:val="00DE7E14"/>
    <w:rsid w:val="00DE7ECD"/>
    <w:rsid w:val="00DF2CCC"/>
    <w:rsid w:val="00DF5A42"/>
    <w:rsid w:val="00DF639F"/>
    <w:rsid w:val="00E01E26"/>
    <w:rsid w:val="00E07762"/>
    <w:rsid w:val="00E10A3A"/>
    <w:rsid w:val="00E14F86"/>
    <w:rsid w:val="00E24153"/>
    <w:rsid w:val="00E25AB5"/>
    <w:rsid w:val="00E26D4A"/>
    <w:rsid w:val="00E3038A"/>
    <w:rsid w:val="00E30804"/>
    <w:rsid w:val="00E31405"/>
    <w:rsid w:val="00E3214F"/>
    <w:rsid w:val="00E3268E"/>
    <w:rsid w:val="00E32DA2"/>
    <w:rsid w:val="00E3326B"/>
    <w:rsid w:val="00E35C49"/>
    <w:rsid w:val="00E36ADA"/>
    <w:rsid w:val="00E406D9"/>
    <w:rsid w:val="00E40AFA"/>
    <w:rsid w:val="00E42E55"/>
    <w:rsid w:val="00E43263"/>
    <w:rsid w:val="00E43929"/>
    <w:rsid w:val="00E457E3"/>
    <w:rsid w:val="00E47247"/>
    <w:rsid w:val="00E527D1"/>
    <w:rsid w:val="00E5580F"/>
    <w:rsid w:val="00E57BFA"/>
    <w:rsid w:val="00E61FA4"/>
    <w:rsid w:val="00E63CCB"/>
    <w:rsid w:val="00E64C92"/>
    <w:rsid w:val="00E668BB"/>
    <w:rsid w:val="00E726E7"/>
    <w:rsid w:val="00E805BC"/>
    <w:rsid w:val="00E829F4"/>
    <w:rsid w:val="00E82AB2"/>
    <w:rsid w:val="00E84FA8"/>
    <w:rsid w:val="00E86D83"/>
    <w:rsid w:val="00E9251F"/>
    <w:rsid w:val="00E92BCF"/>
    <w:rsid w:val="00E93CF0"/>
    <w:rsid w:val="00E95FD8"/>
    <w:rsid w:val="00E97001"/>
    <w:rsid w:val="00E97CCC"/>
    <w:rsid w:val="00EA3F35"/>
    <w:rsid w:val="00EA6828"/>
    <w:rsid w:val="00EB78E0"/>
    <w:rsid w:val="00EC36A1"/>
    <w:rsid w:val="00EC3EAB"/>
    <w:rsid w:val="00EC5CCE"/>
    <w:rsid w:val="00ED0156"/>
    <w:rsid w:val="00ED2290"/>
    <w:rsid w:val="00ED58E3"/>
    <w:rsid w:val="00EE5DDC"/>
    <w:rsid w:val="00EF4A10"/>
    <w:rsid w:val="00EF4EEB"/>
    <w:rsid w:val="00EF78B2"/>
    <w:rsid w:val="00F046CF"/>
    <w:rsid w:val="00F14142"/>
    <w:rsid w:val="00F24B22"/>
    <w:rsid w:val="00F3063E"/>
    <w:rsid w:val="00F30E6A"/>
    <w:rsid w:val="00F31E51"/>
    <w:rsid w:val="00F32493"/>
    <w:rsid w:val="00F36BC5"/>
    <w:rsid w:val="00F370E8"/>
    <w:rsid w:val="00F37CED"/>
    <w:rsid w:val="00F37D71"/>
    <w:rsid w:val="00F41002"/>
    <w:rsid w:val="00F4117F"/>
    <w:rsid w:val="00F426CC"/>
    <w:rsid w:val="00F4350F"/>
    <w:rsid w:val="00F4577C"/>
    <w:rsid w:val="00F47F0A"/>
    <w:rsid w:val="00F51195"/>
    <w:rsid w:val="00F5135C"/>
    <w:rsid w:val="00F51CD5"/>
    <w:rsid w:val="00F544CA"/>
    <w:rsid w:val="00F57F28"/>
    <w:rsid w:val="00F63879"/>
    <w:rsid w:val="00F67B83"/>
    <w:rsid w:val="00F70EFD"/>
    <w:rsid w:val="00F73187"/>
    <w:rsid w:val="00F733A4"/>
    <w:rsid w:val="00F734C1"/>
    <w:rsid w:val="00F7397A"/>
    <w:rsid w:val="00F75147"/>
    <w:rsid w:val="00F80333"/>
    <w:rsid w:val="00F85538"/>
    <w:rsid w:val="00F85979"/>
    <w:rsid w:val="00F90414"/>
    <w:rsid w:val="00F90C7D"/>
    <w:rsid w:val="00F90F63"/>
    <w:rsid w:val="00F9619C"/>
    <w:rsid w:val="00F96374"/>
    <w:rsid w:val="00FA404A"/>
    <w:rsid w:val="00FA588B"/>
    <w:rsid w:val="00FA6795"/>
    <w:rsid w:val="00FA7616"/>
    <w:rsid w:val="00FA7C69"/>
    <w:rsid w:val="00FB0285"/>
    <w:rsid w:val="00FB20FE"/>
    <w:rsid w:val="00FB358A"/>
    <w:rsid w:val="00FB4B2C"/>
    <w:rsid w:val="00FC1C21"/>
    <w:rsid w:val="00FC4C73"/>
    <w:rsid w:val="00FC7678"/>
    <w:rsid w:val="00FC78F1"/>
    <w:rsid w:val="00FD141B"/>
    <w:rsid w:val="00FD226F"/>
    <w:rsid w:val="00FD59CF"/>
    <w:rsid w:val="00FD77FC"/>
    <w:rsid w:val="00FE1F09"/>
    <w:rsid w:val="00FE7024"/>
    <w:rsid w:val="00FF1F48"/>
    <w:rsid w:val="00FF3E8C"/>
    <w:rsid w:val="00FF5795"/>
    <w:rsid w:val="00FF581C"/>
    <w:rsid w:val="00FF6B78"/>
    <w:rsid w:val="66A91549"/>
    <w:rsid w:val="7B2167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09C16B"/>
  <w15:docId w15:val="{A9C77960-25BA-40B8-83C2-40AE9ED06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pPr>
      <w:keepNext/>
      <w:keepLines/>
      <w:spacing w:before="40" w:after="0"/>
      <w:outlineLvl w:val="2"/>
    </w:pPr>
    <w:rPr>
      <w:rFonts w:asciiTheme="majorHAnsi" w:eastAsiaTheme="majorEastAsia" w:hAnsiTheme="majorHAnsi" w:cstheme="majorBidi"/>
      <w:color w:val="1F3864" w:themeColor="accent1" w:themeShade="8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heme="majorHAnsi" w:eastAsiaTheme="majorEastAsia" w:hAnsiTheme="majorHAnsi" w:cstheme="majorBidi"/>
      <w:sz w:val="18"/>
      <w:szCs w:val="18"/>
    </w:rPr>
  </w:style>
  <w:style w:type="character" w:styleId="a5">
    <w:name w:val="annotation reference"/>
    <w:basedOn w:val="a0"/>
    <w:uiPriority w:val="99"/>
    <w:semiHidden/>
    <w:unhideWhenUsed/>
    <w:qFormat/>
    <w:rPr>
      <w:sz w:val="18"/>
      <w:szCs w:val="18"/>
    </w:rPr>
  </w:style>
  <w:style w:type="paragraph" w:styleId="a6">
    <w:name w:val="annotation text"/>
    <w:basedOn w:val="a"/>
    <w:link w:val="a7"/>
    <w:uiPriority w:val="99"/>
    <w:unhideWhenUsed/>
    <w:qFormat/>
  </w:style>
  <w:style w:type="paragraph" w:styleId="a8">
    <w:name w:val="annotation subject"/>
    <w:basedOn w:val="a6"/>
    <w:next w:val="a6"/>
    <w:link w:val="a9"/>
    <w:uiPriority w:val="99"/>
    <w:semiHidden/>
    <w:unhideWhenUsed/>
    <w:qFormat/>
    <w:rPr>
      <w:b/>
      <w:bCs/>
    </w:rPr>
  </w:style>
  <w:style w:type="character" w:styleId="aa">
    <w:name w:val="Emphasis"/>
    <w:basedOn w:val="a0"/>
    <w:uiPriority w:val="20"/>
    <w:qFormat/>
    <w:rPr>
      <w:i/>
      <w:iCs/>
    </w:rPr>
  </w:style>
  <w:style w:type="paragraph" w:styleId="ab">
    <w:name w:val="footer"/>
    <w:basedOn w:val="a"/>
    <w:link w:val="ac"/>
    <w:uiPriority w:val="99"/>
    <w:unhideWhenUsed/>
    <w:qFormat/>
    <w:pPr>
      <w:tabs>
        <w:tab w:val="center" w:pos="4513"/>
        <w:tab w:val="right" w:pos="9026"/>
      </w:tabs>
      <w:spacing w:after="0" w:line="240" w:lineRule="auto"/>
    </w:pPr>
  </w:style>
  <w:style w:type="paragraph" w:styleId="ad">
    <w:name w:val="header"/>
    <w:basedOn w:val="a"/>
    <w:link w:val="ae"/>
    <w:uiPriority w:val="99"/>
    <w:unhideWhenUsed/>
    <w:qFormat/>
    <w:pPr>
      <w:tabs>
        <w:tab w:val="center" w:pos="4513"/>
        <w:tab w:val="right" w:pos="9026"/>
      </w:tabs>
      <w:spacing w:after="0" w:line="240" w:lineRule="auto"/>
    </w:pPr>
  </w:style>
  <w:style w:type="character" w:styleId="af">
    <w:name w:val="Hyperlink"/>
    <w:basedOn w:val="a0"/>
    <w:uiPriority w:val="99"/>
    <w:unhideWhenUsed/>
    <w:qFormat/>
    <w:rPr>
      <w:color w:val="0563C1" w:themeColor="hyperlink"/>
      <w:u w:val="single"/>
    </w:rPr>
  </w:style>
  <w:style w:type="character" w:styleId="af0">
    <w:name w:val="line number"/>
    <w:basedOn w:val="a0"/>
    <w:uiPriority w:val="99"/>
    <w:semiHidden/>
    <w:unhideWhenUsed/>
    <w:qFormat/>
  </w:style>
  <w:style w:type="paragraph" w:styleId="Web">
    <w:name w:val="Normal (Web)"/>
    <w:basedOn w:val="a"/>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af1">
    <w:name w:val="Strong"/>
    <w:basedOn w:val="a0"/>
    <w:uiPriority w:val="22"/>
    <w:qFormat/>
    <w:rPr>
      <w:b/>
      <w:bCs/>
    </w:rPr>
  </w:style>
  <w:style w:type="table" w:styleId="af2">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uiPriority w:val="34"/>
    <w:qFormat/>
    <w:pPr>
      <w:ind w:left="720"/>
      <w:contextualSpacing/>
    </w:pPr>
  </w:style>
  <w:style w:type="character" w:customStyle="1" w:styleId="10">
    <w:name w:val="標題 1 字元"/>
    <w:basedOn w:val="a0"/>
    <w:link w:val="1"/>
    <w:uiPriority w:val="9"/>
    <w:qFormat/>
    <w:rPr>
      <w:rFonts w:asciiTheme="majorHAnsi" w:eastAsiaTheme="majorEastAsia" w:hAnsiTheme="majorHAnsi" w:cstheme="majorBidi"/>
      <w:color w:val="2F5496" w:themeColor="accent1" w:themeShade="BF"/>
      <w:sz w:val="32"/>
      <w:szCs w:val="32"/>
    </w:rPr>
  </w:style>
  <w:style w:type="character" w:customStyle="1" w:styleId="20">
    <w:name w:val="標題 2 字元"/>
    <w:basedOn w:val="a0"/>
    <w:link w:val="2"/>
    <w:uiPriority w:val="9"/>
    <w:qFormat/>
    <w:rPr>
      <w:rFonts w:asciiTheme="majorHAnsi" w:eastAsiaTheme="majorEastAsia" w:hAnsiTheme="majorHAnsi" w:cstheme="majorBidi"/>
      <w:color w:val="2F5496" w:themeColor="accent1" w:themeShade="BF"/>
      <w:sz w:val="26"/>
      <w:szCs w:val="26"/>
    </w:rPr>
  </w:style>
  <w:style w:type="character" w:customStyle="1" w:styleId="30">
    <w:name w:val="標題 3 字元"/>
    <w:basedOn w:val="a0"/>
    <w:link w:val="3"/>
    <w:uiPriority w:val="9"/>
    <w:qFormat/>
    <w:rPr>
      <w:rFonts w:asciiTheme="majorHAnsi" w:eastAsiaTheme="majorEastAsia" w:hAnsiTheme="majorHAnsi" w:cstheme="majorBidi"/>
      <w:color w:val="1F3864" w:themeColor="accent1" w:themeShade="80"/>
      <w:sz w:val="24"/>
      <w:szCs w:val="24"/>
    </w:rPr>
  </w:style>
  <w:style w:type="paragraph" w:customStyle="1" w:styleId="Revision1">
    <w:name w:val="Revision1"/>
    <w:hidden/>
    <w:uiPriority w:val="99"/>
    <w:semiHidden/>
    <w:qFormat/>
    <w:rPr>
      <w:sz w:val="22"/>
      <w:szCs w:val="22"/>
    </w:rPr>
  </w:style>
  <w:style w:type="table" w:customStyle="1" w:styleId="PlainTable21">
    <w:name w:val="Plain Table 21"/>
    <w:basedOn w:val="a1"/>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e">
    <w:name w:val="頁首 字元"/>
    <w:basedOn w:val="a0"/>
    <w:link w:val="ad"/>
    <w:uiPriority w:val="99"/>
    <w:qFormat/>
  </w:style>
  <w:style w:type="character" w:customStyle="1" w:styleId="ac">
    <w:name w:val="頁尾 字元"/>
    <w:basedOn w:val="a0"/>
    <w:link w:val="ab"/>
    <w:uiPriority w:val="99"/>
    <w:qFormat/>
  </w:style>
  <w:style w:type="character" w:customStyle="1" w:styleId="UnresolvedMention1">
    <w:name w:val="Unresolved Mention1"/>
    <w:basedOn w:val="a0"/>
    <w:uiPriority w:val="99"/>
    <w:semiHidden/>
    <w:unhideWhenUsed/>
    <w:qFormat/>
    <w:rPr>
      <w:color w:val="605E5C"/>
      <w:shd w:val="clear" w:color="auto" w:fill="E1DFDD"/>
    </w:rPr>
  </w:style>
  <w:style w:type="paragraph" w:styleId="af4">
    <w:name w:val="No Spacing"/>
    <w:uiPriority w:val="1"/>
    <w:qFormat/>
    <w:rPr>
      <w:rFonts w:ascii="Cambria" w:eastAsia="Cambria" w:hAnsi="Cambria" w:cs="Times New Roman"/>
      <w:sz w:val="24"/>
      <w:szCs w:val="24"/>
    </w:rPr>
  </w:style>
  <w:style w:type="character" w:customStyle="1" w:styleId="shorttext">
    <w:name w:val="short_text"/>
    <w:qFormat/>
  </w:style>
  <w:style w:type="paragraph" w:customStyle="1" w:styleId="keywords">
    <w:name w:val="key words"/>
    <w:qFormat/>
    <w:pPr>
      <w:widowControl w:val="0"/>
      <w:spacing w:after="120"/>
      <w:ind w:firstLine="288"/>
      <w:jc w:val="both"/>
    </w:pPr>
    <w:rPr>
      <w:rFonts w:ascii="Times New Roman" w:eastAsia="Times New Roman" w:hAnsi="Times New Roman" w:cs="Times New Roman"/>
      <w:b/>
      <w:bCs/>
      <w:i/>
      <w:iCs/>
      <w:color w:val="000000"/>
      <w:sz w:val="18"/>
      <w:szCs w:val="18"/>
      <w:u w:color="000000"/>
    </w:rPr>
  </w:style>
  <w:style w:type="character" w:customStyle="1" w:styleId="a4">
    <w:name w:val="註解方塊文字 字元"/>
    <w:basedOn w:val="a0"/>
    <w:link w:val="a3"/>
    <w:uiPriority w:val="99"/>
    <w:semiHidden/>
    <w:qFormat/>
    <w:rPr>
      <w:rFonts w:asciiTheme="majorHAnsi" w:eastAsiaTheme="majorEastAsia" w:hAnsiTheme="majorHAnsi" w:cstheme="majorBidi"/>
      <w:sz w:val="18"/>
      <w:szCs w:val="18"/>
    </w:rPr>
  </w:style>
  <w:style w:type="character" w:customStyle="1" w:styleId="a7">
    <w:name w:val="註解文字 字元"/>
    <w:basedOn w:val="a0"/>
    <w:link w:val="a6"/>
    <w:uiPriority w:val="99"/>
    <w:qFormat/>
  </w:style>
  <w:style w:type="character" w:customStyle="1" w:styleId="a9">
    <w:name w:val="註解主旨 字元"/>
    <w:basedOn w:val="a7"/>
    <w:link w:val="a8"/>
    <w:uiPriority w:val="99"/>
    <w:semiHidden/>
    <w:qFormat/>
    <w:rPr>
      <w:b/>
      <w:bCs/>
    </w:rPr>
  </w:style>
  <w:style w:type="character" w:customStyle="1" w:styleId="UnresolvedMention2">
    <w:name w:val="Unresolved Mention2"/>
    <w:basedOn w:val="a0"/>
    <w:uiPriority w:val="99"/>
    <w:semiHidden/>
    <w:unhideWhenUsed/>
    <w:qFormat/>
    <w:rPr>
      <w:color w:val="605E5C"/>
      <w:shd w:val="clear" w:color="auto" w:fill="E1DFDD"/>
    </w:rPr>
  </w:style>
  <w:style w:type="character" w:styleId="af5">
    <w:name w:val="Unresolved Mention"/>
    <w:basedOn w:val="a0"/>
    <w:uiPriority w:val="99"/>
    <w:semiHidden/>
    <w:unhideWhenUsed/>
    <w:rsid w:val="0032017E"/>
    <w:rPr>
      <w:color w:val="605E5C"/>
      <w:shd w:val="clear" w:color="auto" w:fill="E1DFDD"/>
    </w:rPr>
  </w:style>
  <w:style w:type="paragraph" w:styleId="af6">
    <w:name w:val="Revision"/>
    <w:hidden/>
    <w:uiPriority w:val="99"/>
    <w:unhideWhenUsed/>
    <w:rsid w:val="002E399B"/>
    <w:rPr>
      <w:sz w:val="22"/>
      <w:szCs w:val="22"/>
    </w:rPr>
  </w:style>
  <w:style w:type="character" w:customStyle="1" w:styleId="cite">
    <w:name w:val="cite"/>
    <w:basedOn w:val="a0"/>
    <w:rsid w:val="00ED2290"/>
  </w:style>
  <w:style w:type="character" w:customStyle="1" w:styleId="checked">
    <w:name w:val="checked"/>
    <w:basedOn w:val="a0"/>
    <w:rsid w:val="00BF041E"/>
  </w:style>
  <w:style w:type="character" w:customStyle="1" w:styleId="authors">
    <w:name w:val="authors"/>
    <w:basedOn w:val="a0"/>
    <w:rsid w:val="00BF041E"/>
  </w:style>
  <w:style w:type="character" w:customStyle="1" w:styleId="year">
    <w:name w:val="year"/>
    <w:basedOn w:val="a0"/>
    <w:rsid w:val="00BF041E"/>
  </w:style>
  <w:style w:type="character" w:customStyle="1" w:styleId="unchecked">
    <w:name w:val="unchecked"/>
    <w:basedOn w:val="a0"/>
    <w:rsid w:val="00BF041E"/>
  </w:style>
  <w:style w:type="character" w:customStyle="1" w:styleId="doi">
    <w:name w:val="doi"/>
    <w:basedOn w:val="a0"/>
    <w:rsid w:val="00BF041E"/>
  </w:style>
  <w:style w:type="character" w:styleId="af7">
    <w:name w:val="FollowedHyperlink"/>
    <w:basedOn w:val="a0"/>
    <w:uiPriority w:val="99"/>
    <w:semiHidden/>
    <w:unhideWhenUsed/>
    <w:rsid w:val="003239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719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oi.org/10.1057/bm.2015.10" TargetMode="External"/><Relationship Id="rId21" Type="http://schemas.openxmlformats.org/officeDocument/2006/relationships/hyperlink" Target="https://doi.org/10.1037//0033-2909.110.2.305" TargetMode="External"/><Relationship Id="rId42" Type="http://schemas.openxmlformats.org/officeDocument/2006/relationships/hyperlink" Target="https://doi.org/10.1177/1470593106066794" TargetMode="External"/><Relationship Id="rId47" Type="http://schemas.openxmlformats.org/officeDocument/2006/relationships/hyperlink" Target="https://doi.org/10.1016/j.jbusres.2008.01.022" TargetMode="External"/><Relationship Id="rId63" Type="http://schemas.openxmlformats.org/officeDocument/2006/relationships/hyperlink" Target="https://doi.org/10.1108/jpbm-04-2016-1141" TargetMode="External"/><Relationship Id="rId68" Type="http://schemas.openxmlformats.org/officeDocument/2006/relationships/hyperlink" Target="https://doi.org/10.1016/j.jcps.2013.01.006" TargetMode="External"/><Relationship Id="rId84" Type="http://schemas.openxmlformats.org/officeDocument/2006/relationships/hyperlink" Target="https://doi.org/10.1509/jmkg.2006.70.1.50" TargetMode="External"/><Relationship Id="rId89" Type="http://schemas.openxmlformats.org/officeDocument/2006/relationships/hyperlink" Target="https://doi.org/10.1007/s11002-014-9340-z" TargetMode="External"/><Relationship Id="rId16" Type="http://schemas.openxmlformats.org/officeDocument/2006/relationships/hyperlink" Target="https://doi.org/10.1108/09590550310461994" TargetMode="External"/><Relationship Id="rId11" Type="http://schemas.openxmlformats.org/officeDocument/2006/relationships/image" Target="media/image1.png"/><Relationship Id="rId32" Type="http://schemas.openxmlformats.org/officeDocument/2006/relationships/hyperlink" Target="https://doi.org/10.1207/s15326985ep3403_3" TargetMode="External"/><Relationship Id="rId37" Type="http://schemas.openxmlformats.org/officeDocument/2006/relationships/hyperlink" Target="https://doi.org/10.1016/j.jbusres.2014.06.015" TargetMode="External"/><Relationship Id="rId53" Type="http://schemas.openxmlformats.org/officeDocument/2006/relationships/hyperlink" Target="https://doi.org/10.2307/1252054" TargetMode="External"/><Relationship Id="rId58" Type="http://schemas.openxmlformats.org/officeDocument/2006/relationships/hyperlink" Target="https://doi.org/10.1016/j.jbusres.2008.01.024" TargetMode="External"/><Relationship Id="rId74" Type="http://schemas.openxmlformats.org/officeDocument/2006/relationships/hyperlink" Target="https://doi.org/10.1057/bm.2015.38" TargetMode="External"/><Relationship Id="rId79" Type="http://schemas.openxmlformats.org/officeDocument/2006/relationships/hyperlink" Target="https://doi.org/10.1509/jmkg.75.4.166" TargetMode="External"/><Relationship Id="rId102" Type="http://schemas.openxmlformats.org/officeDocument/2006/relationships/fontTable" Target="fontTable.xml"/><Relationship Id="rId5" Type="http://schemas.openxmlformats.org/officeDocument/2006/relationships/customXml" Target="../customXml/item5.xml"/><Relationship Id="rId90" Type="http://schemas.openxmlformats.org/officeDocument/2006/relationships/hyperlink" Target="https://doi.org/10.4324/9781315806532-8" TargetMode="External"/><Relationship Id="rId95" Type="http://schemas.openxmlformats.org/officeDocument/2006/relationships/hyperlink" Target="https://doi.org/10.1108/jpbm-11-2018-2103" TargetMode="External"/><Relationship Id="rId22" Type="http://schemas.openxmlformats.org/officeDocument/2006/relationships/hyperlink" Target="https://doi.org/10.1108/qmr-06-2013-0043" TargetMode="External"/><Relationship Id="rId27" Type="http://schemas.openxmlformats.org/officeDocument/2006/relationships/hyperlink" Target="https://doi.org/10.1509/jmkr.38.2.269.18845" TargetMode="External"/><Relationship Id="rId43" Type="http://schemas.openxmlformats.org/officeDocument/2006/relationships/hyperlink" Target="https://doi.org/10.1007/s11747-011-0261-6" TargetMode="External"/><Relationship Id="rId48" Type="http://schemas.openxmlformats.org/officeDocument/2006/relationships/hyperlink" Target="https://doi.org/10.1002/(sici)1097-0266(199902)20:2%3c195::aid-smj13%3e3.3.co;2-z" TargetMode="External"/><Relationship Id="rId64" Type="http://schemas.openxmlformats.org/officeDocument/2006/relationships/hyperlink" Target="https://doi.org/10.1108/jpbm-03-2018-1777" TargetMode="External"/><Relationship Id="rId69" Type="http://schemas.openxmlformats.org/officeDocument/2006/relationships/hyperlink" Target="https://doi.org/10.1080/02568540909594664" TargetMode="External"/><Relationship Id="rId80" Type="http://schemas.openxmlformats.org/officeDocument/2006/relationships/hyperlink" Target="https://doi.org/10.1080/02699939408408945" TargetMode="External"/><Relationship Id="rId85" Type="http://schemas.openxmlformats.org/officeDocument/2006/relationships/hyperlink" Target="https://doi.org/10.1207/s15327663jcp1501_10" TargetMode="External"/><Relationship Id="rId12" Type="http://schemas.openxmlformats.org/officeDocument/2006/relationships/hyperlink" Target="https://doi.org/10.2307/3151897" TargetMode="External"/><Relationship Id="rId17" Type="http://schemas.openxmlformats.org/officeDocument/2006/relationships/hyperlink" Target="https://doi.org/10.1097/00001756-200011270-00046" TargetMode="External"/><Relationship Id="rId25" Type="http://schemas.openxmlformats.org/officeDocument/2006/relationships/hyperlink" Target="https://doi.org/10.1111/1467-8551.t01-1-00156" TargetMode="External"/><Relationship Id="rId33" Type="http://schemas.openxmlformats.org/officeDocument/2006/relationships/hyperlink" Target="https://doi.org/10.1287/orsc.12.4.393.10638" TargetMode="External"/><Relationship Id="rId38" Type="http://schemas.openxmlformats.org/officeDocument/2006/relationships/hyperlink" Target="https://doi.org/10.1007/978-1-4613-3087-5_3" TargetMode="External"/><Relationship Id="rId46" Type="http://schemas.openxmlformats.org/officeDocument/2006/relationships/hyperlink" Target="https://doi.org/10.1362/026725798784959354" TargetMode="External"/><Relationship Id="rId59" Type="http://schemas.openxmlformats.org/officeDocument/2006/relationships/hyperlink" Target="https://doi.org/10.1037//0033-2909.114.3.533" TargetMode="External"/><Relationship Id="rId67" Type="http://schemas.openxmlformats.org/officeDocument/2006/relationships/hyperlink" Target="https://doi.org/10.1108/jpbm-10-2020-3172" TargetMode="External"/><Relationship Id="rId103" Type="http://schemas.openxmlformats.org/officeDocument/2006/relationships/theme" Target="theme/theme1.xml"/><Relationship Id="rId20" Type="http://schemas.openxmlformats.org/officeDocument/2006/relationships/hyperlink" Target="https://doi.org/10.1111/j.1467-6486.2005.00530.x" TargetMode="External"/><Relationship Id="rId41" Type="http://schemas.openxmlformats.org/officeDocument/2006/relationships/hyperlink" Target="https://doi.org/10.1016/j.lrp.2010.01.001" TargetMode="External"/><Relationship Id="rId54" Type="http://schemas.openxmlformats.org/officeDocument/2006/relationships/hyperlink" Target="https://doi.org/10.1057/palgrave.jibs.8491020" TargetMode="External"/><Relationship Id="rId62" Type="http://schemas.openxmlformats.org/officeDocument/2006/relationships/hyperlink" Target="https://doi.org/10.1108/10610421211276268" TargetMode="External"/><Relationship Id="rId70" Type="http://schemas.openxmlformats.org/officeDocument/2006/relationships/hyperlink" Target="https://doi.org/10.1177/1469540512442029" TargetMode="External"/><Relationship Id="rId75" Type="http://schemas.openxmlformats.org/officeDocument/2006/relationships/hyperlink" Target="https://doi.org/10.1016/s0167-8116(02)00097-6" TargetMode="External"/><Relationship Id="rId83" Type="http://schemas.openxmlformats.org/officeDocument/2006/relationships/hyperlink" Target="https://doi.org/10.1080/0267257x.2015.1089309" TargetMode="External"/><Relationship Id="rId88" Type="http://schemas.openxmlformats.org/officeDocument/2006/relationships/hyperlink" Target="https://doi.org/10.1111/j.1545-5300.2006.00170.x" TargetMode="External"/><Relationship Id="rId91" Type="http://schemas.openxmlformats.org/officeDocument/2006/relationships/hyperlink" Target="https://doi.org/10.1086/520077" TargetMode="External"/><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destinationcrm.com/Articles/ReadArticle.aspx?ArticleID=79884" TargetMode="External"/><Relationship Id="rId23" Type="http://schemas.openxmlformats.org/officeDocument/2006/relationships/hyperlink" Target="https://doi.org/10.1007/s11002-006-4219-2" TargetMode="External"/><Relationship Id="rId28" Type="http://schemas.openxmlformats.org/officeDocument/2006/relationships/hyperlink" Target="https://doi.org/10.1016/j.jbusres.2008.01.009" TargetMode="External"/><Relationship Id="rId36" Type="http://schemas.openxmlformats.org/officeDocument/2006/relationships/hyperlink" Target="https://doi.org/10.2307/3150980" TargetMode="External"/><Relationship Id="rId49" Type="http://schemas.openxmlformats.org/officeDocument/2006/relationships/hyperlink" Target="https://doi.org/10.1086/376806" TargetMode="External"/><Relationship Id="rId57" Type="http://schemas.openxmlformats.org/officeDocument/2006/relationships/hyperlink" Target="https://doi.org/10.1108/17473611211203939" TargetMode="External"/><Relationship Id="rId10" Type="http://schemas.openxmlformats.org/officeDocument/2006/relationships/endnotes" Target="endnotes.xml"/><Relationship Id="rId31" Type="http://schemas.openxmlformats.org/officeDocument/2006/relationships/hyperlink" Target="https://doi.org/10.1037//1082-989x.5.2.155" TargetMode="External"/><Relationship Id="rId44" Type="http://schemas.openxmlformats.org/officeDocument/2006/relationships/hyperlink" Target="https://doi.org/10.1057/palgrave.jibs.8490379" TargetMode="External"/><Relationship Id="rId52" Type="http://schemas.openxmlformats.org/officeDocument/2006/relationships/hyperlink" Target="https://doi.org/10.1108/03090560010342610" TargetMode="External"/><Relationship Id="rId60" Type="http://schemas.openxmlformats.org/officeDocument/2006/relationships/hyperlink" Target="https://doi.org/10.1037/0021-9010.90.4.710" TargetMode="External"/><Relationship Id="rId65" Type="http://schemas.openxmlformats.org/officeDocument/2006/relationships/hyperlink" Target="https://doi.org/10.2307/1252298" TargetMode="External"/><Relationship Id="rId73" Type="http://schemas.openxmlformats.org/officeDocument/2006/relationships/hyperlink" Target="https://doi.org/10.1016/s0022-4359(96)90012-3" TargetMode="External"/><Relationship Id="rId78" Type="http://schemas.openxmlformats.org/officeDocument/2006/relationships/hyperlink" Target="https://doi.org/10.1007/bf02894609" TargetMode="External"/><Relationship Id="rId81" Type="http://schemas.openxmlformats.org/officeDocument/2006/relationships/hyperlink" Target="https://doi.org/10.1177/0092070305284991" TargetMode="External"/><Relationship Id="rId86" Type="http://schemas.openxmlformats.org/officeDocument/2006/relationships/hyperlink" Target="https://doi.org/10.1016/s0032-3861(00)00729-1" TargetMode="External"/><Relationship Id="rId94" Type="http://schemas.openxmlformats.org/officeDocument/2006/relationships/hyperlink" Target="https://doi.org/10.1108/jpbm-01-2015-0799" TargetMode="External"/><Relationship Id="rId99" Type="http://schemas.openxmlformats.org/officeDocument/2006/relationships/footer" Target="footer2.xml"/><Relationship Id="rId10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doi.org/10.1086/696825" TargetMode="External"/><Relationship Id="rId18" Type="http://schemas.openxmlformats.org/officeDocument/2006/relationships/hyperlink" Target="https://doi.org/10.1016/j.jbusres.2008.12.004" TargetMode="External"/><Relationship Id="rId39" Type="http://schemas.openxmlformats.org/officeDocument/2006/relationships/hyperlink" Target="https://doi.org/10.1108/03090560510623307" TargetMode="External"/><Relationship Id="rId34" Type="http://schemas.openxmlformats.org/officeDocument/2006/relationships/hyperlink" Target="https://doi.org/10.4324/9781315806532" TargetMode="External"/><Relationship Id="rId50" Type="http://schemas.openxmlformats.org/officeDocument/2006/relationships/hyperlink" Target="https://doi.org/10.1086/657924" TargetMode="External"/><Relationship Id="rId55" Type="http://schemas.openxmlformats.org/officeDocument/2006/relationships/hyperlink" Target="https://doi.org/10.1108/qmr-03-2015-0019" TargetMode="External"/><Relationship Id="rId76" Type="http://schemas.openxmlformats.org/officeDocument/2006/relationships/hyperlink" Target="https://doi.org/10.1037/10930-001" TargetMode="External"/><Relationship Id="rId97" Type="http://schemas.openxmlformats.org/officeDocument/2006/relationships/header" Target="header2.xml"/><Relationship Id="rId7" Type="http://schemas.openxmlformats.org/officeDocument/2006/relationships/settings" Target="settings.xml"/><Relationship Id="rId71" Type="http://schemas.openxmlformats.org/officeDocument/2006/relationships/hyperlink" Target="https://doi.org/10.1007/s11747-014-0397-2" TargetMode="External"/><Relationship Id="rId92" Type="http://schemas.openxmlformats.org/officeDocument/2006/relationships/hyperlink" Target="https://doi.org/10.1016/j.jbusres.2015.07.011" TargetMode="External"/><Relationship Id="rId2" Type="http://schemas.openxmlformats.org/officeDocument/2006/relationships/customXml" Target="../customXml/item2.xml"/><Relationship Id="rId29" Type="http://schemas.openxmlformats.org/officeDocument/2006/relationships/hyperlink" Target="https://doi.org/10.1111/j.1467-8551.2006.00500.x" TargetMode="External"/><Relationship Id="rId24" Type="http://schemas.openxmlformats.org/officeDocument/2006/relationships/hyperlink" Target="https://doi.org/10.2307/20650323" TargetMode="External"/><Relationship Id="rId40" Type="http://schemas.openxmlformats.org/officeDocument/2006/relationships/hyperlink" Target="https://doi.org/10.1093/biomet/61.1.101" TargetMode="External"/><Relationship Id="rId45" Type="http://schemas.openxmlformats.org/officeDocument/2006/relationships/hyperlink" Target="https://doi.org/10.1108/jpbm-01-2016-1070" TargetMode="External"/><Relationship Id="rId66" Type="http://schemas.openxmlformats.org/officeDocument/2006/relationships/hyperlink" Target="https://doi.org/10.2307/3150499" TargetMode="External"/><Relationship Id="rId87" Type="http://schemas.openxmlformats.org/officeDocument/2006/relationships/hyperlink" Target="https://doi.org/10.1362/0267257053166839" TargetMode="External"/><Relationship Id="rId61" Type="http://schemas.openxmlformats.org/officeDocument/2006/relationships/hyperlink" Target="https://doi.org/10.1177/1354067x9800400305" TargetMode="External"/><Relationship Id="rId82" Type="http://schemas.openxmlformats.org/officeDocument/2006/relationships/hyperlink" Target="https://doi.org/10.1111/j.2517-6161.1974.tb00994.x" TargetMode="External"/><Relationship Id="rId19" Type="http://schemas.openxmlformats.org/officeDocument/2006/relationships/hyperlink" Target="https://doi.org/10.1086/209536" TargetMode="External"/><Relationship Id="rId14" Type="http://schemas.openxmlformats.org/officeDocument/2006/relationships/hyperlink" Target="https://doi.org/10.1002/pa.1473" TargetMode="External"/><Relationship Id="rId30" Type="http://schemas.openxmlformats.org/officeDocument/2006/relationships/hyperlink" Target="https://doi.org/10.1080/00218499.1996.12466633" TargetMode="External"/><Relationship Id="rId35" Type="http://schemas.openxmlformats.org/officeDocument/2006/relationships/hyperlink" Target="https://doi.org/10.1016/j.jbusres.2014.06.010" TargetMode="External"/><Relationship Id="rId56" Type="http://schemas.openxmlformats.org/officeDocument/2006/relationships/hyperlink" Target="https://doi.org/10.1057/palgrave.bm.2550100" TargetMode="External"/><Relationship Id="rId77" Type="http://schemas.openxmlformats.org/officeDocument/2006/relationships/hyperlink" Target="https://doi.org/10.1509/jmkr.38.2.225.18838" TargetMode="External"/><Relationship Id="rId100"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hyperlink" Target="https://doi.org/10.1086/422122" TargetMode="External"/><Relationship Id="rId72" Type="http://schemas.openxmlformats.org/officeDocument/2006/relationships/hyperlink" Target="https://doi.org/10.1111/j.1350-4126.2005.00116.x" TargetMode="External"/><Relationship Id="rId93" Type="http://schemas.openxmlformats.org/officeDocument/2006/relationships/hyperlink" Target="https://doi.org/10.1086/208520" TargetMode="External"/><Relationship Id="rId98" Type="http://schemas.openxmlformats.org/officeDocument/2006/relationships/footer" Target="footer1.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601F1B5B22AC74B995D3644CE9780DF" ma:contentTypeVersion="4" ma:contentTypeDescription="Create a new document." ma:contentTypeScope="" ma:versionID="5f0c1bbffcc2712dea18eb2d7c711fc0">
  <xsd:schema xmlns:xsd="http://www.w3.org/2001/XMLSchema" xmlns:xs="http://www.w3.org/2001/XMLSchema" xmlns:p="http://schemas.microsoft.com/office/2006/metadata/properties" xmlns:ns3="22ec8f30-21b9-4c1c-aa67-fddd858af9c8" targetNamespace="http://schemas.microsoft.com/office/2006/metadata/properties" ma:root="true" ma:fieldsID="f3bf4978e30cab122d86652ba37bee22" ns3:_="">
    <xsd:import namespace="22ec8f30-21b9-4c1c-aa67-fddd858af9c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ec8f30-21b9-4c1c-aa67-fddd858af9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8B07DB35-285D-47A5-8846-34A73D10AF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F8BED4E-0F0F-4A54-BC16-061B6A619950}">
  <ds:schemaRefs>
    <ds:schemaRef ds:uri="http://schemas.microsoft.com/sharepoint/v3/contenttype/forms"/>
  </ds:schemaRefs>
</ds:datastoreItem>
</file>

<file path=customXml/itemProps3.xml><?xml version="1.0" encoding="utf-8"?>
<ds:datastoreItem xmlns:ds="http://schemas.openxmlformats.org/officeDocument/2006/customXml" ds:itemID="{88959CDF-5DCB-40C3-BDCC-B8D59CE66C2D}">
  <ds:schemaRefs>
    <ds:schemaRef ds:uri="http://schemas.openxmlformats.org/officeDocument/2006/bibliography"/>
  </ds:schemaRefs>
</ds:datastoreItem>
</file>

<file path=customXml/itemProps4.xml><?xml version="1.0" encoding="utf-8"?>
<ds:datastoreItem xmlns:ds="http://schemas.openxmlformats.org/officeDocument/2006/customXml" ds:itemID="{DAF2EEC3-00D1-49C8-AE11-34327F00C0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ec8f30-21b9-4c1c-aa67-fddd858af9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34</Pages>
  <Words>12827</Words>
  <Characters>73118</Characters>
  <Application>Microsoft Office Word</Application>
  <DocSecurity>0</DocSecurity>
  <Lines>609</Lines>
  <Paragraphs>171</Paragraphs>
  <ScaleCrop>false</ScaleCrop>
  <Company/>
  <LinksUpToDate>false</LinksUpToDate>
  <CharactersWithSpaces>85774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Maina Geidam Mohammed</dc:creator>
  <cp:lastModifiedBy>anny yang</cp:lastModifiedBy>
  <cp:revision>9</cp:revision>
  <cp:lastPrinted>2026-07-31T16:22:00Z</cp:lastPrinted>
  <dcterms:created xsi:type="dcterms:W3CDTF">2026-07-29T01:23:00Z</dcterms:created>
  <dcterms:modified xsi:type="dcterms:W3CDTF">2026-07-31T16:23:00Z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0x0101009601F1B5B22AC74B995D3644CE9780DF</vt:lpwstr>
  </property>
  <property fmtid="{D5CDD505-2E9C-101B-9397-08002B2CF9AE}" pid="3" name="GrammarlyDocumentId">
    <vt:lpwstr>748e816ac7372b1eaaf2758c4b6ff66bb9b3ab81830ebdf138322b83e3773fe8</vt:lpwstr>
  </property>
  <property fmtid="{D5CDD505-2E9C-101B-9397-08002B2CF9AE}" pid="4" name="ICV">
    <vt:lpwstr>C47F58D44596452D8958811D8CD10F41_13</vt:lpwstr>
  </property>
  <property fmtid="{D5CDD505-2E9C-101B-9397-08002B2CF9AE}" pid="5" name="KSOProductBuildVer">
    <vt:lpwstr>1033-12.2.0.23155</vt:lpwstr>
  </property>
  <property fmtid="{D5CDD505-2E9C-101B-9397-08002B2CF9AE}" pid="6" name="Mendeley Citation Style_1">
    <vt:lpwstr>http://www.zotero.org/styles/apa</vt:lpwstr>
  </property>
  <property fmtid="{D5CDD505-2E9C-101B-9397-08002B2CF9AE}" pid="7" name="Mendeley Document_1">
    <vt:lpwstr>True</vt:lpwstr>
  </property>
  <property fmtid="{D5CDD505-2E9C-101B-9397-08002B2CF9AE}" pid="8" name="Mendeley Recent Style Id 0_1">
    <vt:lpwstr>http://www.zotero.org/styles/american-medical-association</vt:lpwstr>
  </property>
  <property fmtid="{D5CDD505-2E9C-101B-9397-08002B2CF9AE}" pid="9" name="Mendeley Recent Style Id 1_1">
    <vt:lpwstr>http://www.zotero.org/styles/american-political-science-association</vt:lpwstr>
  </property>
  <property fmtid="{D5CDD505-2E9C-101B-9397-08002B2CF9AE}" pid="10" name="Mendeley Recent Style Id 2_1">
    <vt:lpwstr>http://www.zotero.org/styles/apa</vt:lpwstr>
  </property>
  <property fmtid="{D5CDD505-2E9C-101B-9397-08002B2CF9AE}" pid="11" name="Mendeley Recent Style Id 3_1">
    <vt:lpwstr>http://www.zotero.org/styles/american-sociological-association</vt:lpwstr>
  </property>
  <property fmtid="{D5CDD505-2E9C-101B-9397-08002B2CF9AE}" pid="12" name="Mendeley Recent Style Id 4_1">
    <vt:lpwstr>http://www.zotero.org/styles/chicago-author-date</vt:lpwstr>
  </property>
  <property fmtid="{D5CDD505-2E9C-101B-9397-08002B2CF9AE}" pid="13" name="Mendeley Recent Style Id 5_1">
    <vt:lpwstr>http://www.zotero.org/styles/harvard-cite-them-right</vt:lpwstr>
  </property>
  <property fmtid="{D5CDD505-2E9C-101B-9397-08002B2CF9AE}" pid="14" name="Mendeley Recent Style Id 6_1">
    <vt:lpwstr>http://www.zotero.org/styles/ieee</vt:lpwstr>
  </property>
  <property fmtid="{D5CDD505-2E9C-101B-9397-08002B2CF9AE}" pid="15" name="Mendeley Recent Style Id 7_1">
    <vt:lpwstr>http://www.zotero.org/styles/modern-humanities-research-association</vt:lpwstr>
  </property>
  <property fmtid="{D5CDD505-2E9C-101B-9397-08002B2CF9AE}" pid="16" name="Mendeley Recent Style Id 8_1">
    <vt:lpwstr>http://www.zotero.org/styles/modern-language-association</vt:lpwstr>
  </property>
  <property fmtid="{D5CDD505-2E9C-101B-9397-08002B2CF9AE}" pid="17" name="Mendeley Recent Style Id 9_1">
    <vt:lpwstr>http://www.zotero.org/styles/nature</vt:lpwstr>
  </property>
  <property fmtid="{D5CDD505-2E9C-101B-9397-08002B2CF9AE}" pid="18" name="Mendeley Recent Style Name 0_1">
    <vt:lpwstr>American Medical Association 11th edition</vt:lpwstr>
  </property>
  <property fmtid="{D5CDD505-2E9C-101B-9397-08002B2CF9AE}" pid="19" name="Mendeley Recent Style Name 1_1">
    <vt:lpwstr>American Political Science Association</vt:lpwstr>
  </property>
  <property fmtid="{D5CDD505-2E9C-101B-9397-08002B2CF9AE}" pid="20" name="Mendeley Recent Style Name 2_1">
    <vt:lpwstr>American Psychological Association 7th edition</vt:lpwstr>
  </property>
  <property fmtid="{D5CDD505-2E9C-101B-9397-08002B2CF9AE}" pid="21" name="Mendeley Recent Style Name 3_1">
    <vt:lpwstr>American Sociological Association 6th/7th edition</vt:lpwstr>
  </property>
  <property fmtid="{D5CDD505-2E9C-101B-9397-08002B2CF9AE}" pid="22" name="Mendeley Recent Style Name 4_1">
    <vt:lpwstr>Chicago Manual of Style 17th edition (author-date)</vt:lpwstr>
  </property>
  <property fmtid="{D5CDD505-2E9C-101B-9397-08002B2CF9AE}" pid="23" name="Mendeley Recent Style Name 5_1">
    <vt:lpwstr>Cite Them Right 12th edition - Harvard</vt:lpwstr>
  </property>
  <property fmtid="{D5CDD505-2E9C-101B-9397-08002B2CF9AE}" pid="24" name="Mendeley Recent Style Name 6_1">
    <vt:lpwstr>IEEE</vt:lpwstr>
  </property>
  <property fmtid="{D5CDD505-2E9C-101B-9397-08002B2CF9AE}" pid="25" name="Mendeley Recent Style Name 7_1">
    <vt:lpwstr>Modern Humanities Research Association 3rd edition (note with bibliography)</vt:lpwstr>
  </property>
  <property fmtid="{D5CDD505-2E9C-101B-9397-08002B2CF9AE}" pid="26" name="Mendeley Recent Style Name 8_1">
    <vt:lpwstr>Modern Language Association 9th edition</vt:lpwstr>
  </property>
  <property fmtid="{D5CDD505-2E9C-101B-9397-08002B2CF9AE}" pid="27" name="Mendeley Recent Style Name 9_1">
    <vt:lpwstr>Nature</vt:lpwstr>
  </property>
  <property fmtid="{D5CDD505-2E9C-101B-9397-08002B2CF9AE}" pid="28" name="Mendeley Unique User Id_1">
    <vt:lpwstr>5f6191ca-df39-3506-b61b-e8f949982cb5</vt:lpwstr>
  </property>
</Properties>
</file>