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950A8" w14:textId="380BD5EE" w:rsidR="00CF0442" w:rsidRPr="003F6924" w:rsidRDefault="00B543E4" w:rsidP="004B3394">
      <w:pPr>
        <w:spacing w:beforeLines="150" w:before="360" w:after="0" w:line="520" w:lineRule="exact"/>
        <w:jc w:val="center"/>
        <w:rPr>
          <w:rFonts w:ascii="Times New Roman" w:hAnsi="Times New Roman" w:cs="Times New Roman"/>
          <w:color w:val="000000" w:themeColor="text1"/>
          <w:sz w:val="32"/>
          <w:szCs w:val="32"/>
          <w:lang w:val="en-US"/>
        </w:rPr>
      </w:pPr>
      <w:r w:rsidRPr="003F6924">
        <w:rPr>
          <w:rFonts w:ascii="Times New Roman" w:hAnsi="Times New Roman" w:cs="Times New Roman"/>
          <w:b/>
          <w:bCs/>
          <w:color w:val="000000" w:themeColor="text1"/>
          <w:sz w:val="32"/>
          <w:szCs w:val="32"/>
          <w:lang w:val="en-US"/>
        </w:rPr>
        <w:t>D</w:t>
      </w:r>
      <w:r w:rsidRPr="003F6924">
        <w:rPr>
          <w:rFonts w:ascii="Times New Roman" w:hAnsi="Times New Roman" w:cs="Times New Roman"/>
          <w:b/>
          <w:color w:val="000000" w:themeColor="text1"/>
          <w:sz w:val="32"/>
          <w:szCs w:val="32"/>
          <w:lang w:val="en-US"/>
        </w:rPr>
        <w:t xml:space="preserve">eterminants of Digital Transformation in the </w:t>
      </w:r>
      <w:r w:rsidR="00701D12" w:rsidRPr="003F6924">
        <w:rPr>
          <w:rFonts w:ascii="Times New Roman" w:hAnsi="Times New Roman" w:cs="Times New Roman"/>
          <w:b/>
          <w:color w:val="000000" w:themeColor="text1"/>
          <w:sz w:val="32"/>
          <w:szCs w:val="32"/>
          <w:lang w:val="en-US"/>
        </w:rPr>
        <w:t>Organization</w:t>
      </w:r>
      <w:r w:rsidRPr="003F6924">
        <w:rPr>
          <w:rFonts w:ascii="Times New Roman" w:hAnsi="Times New Roman" w:cs="Times New Roman"/>
          <w:b/>
          <w:color w:val="000000" w:themeColor="text1"/>
          <w:sz w:val="32"/>
          <w:szCs w:val="32"/>
          <w:lang w:val="en-US"/>
        </w:rPr>
        <w:t xml:space="preserve">: Empirical </w:t>
      </w:r>
      <w:r w:rsidR="00701D12" w:rsidRPr="003F6924">
        <w:rPr>
          <w:rFonts w:ascii="Times New Roman" w:hAnsi="Times New Roman" w:cs="Times New Roman"/>
          <w:b/>
          <w:color w:val="000000" w:themeColor="text1"/>
          <w:sz w:val="32"/>
          <w:szCs w:val="32"/>
          <w:lang w:val="en-US"/>
        </w:rPr>
        <w:t xml:space="preserve">Evidence </w:t>
      </w:r>
      <w:r w:rsidRPr="003F6924">
        <w:rPr>
          <w:rFonts w:ascii="Times New Roman" w:hAnsi="Times New Roman" w:cs="Times New Roman"/>
          <w:b/>
          <w:color w:val="000000" w:themeColor="text1"/>
          <w:sz w:val="32"/>
          <w:szCs w:val="32"/>
          <w:lang w:val="en-US"/>
        </w:rPr>
        <w:t xml:space="preserve">from the Vietnam Banking </w:t>
      </w:r>
      <w:r w:rsidR="00701D12" w:rsidRPr="003F6924">
        <w:rPr>
          <w:rFonts w:ascii="Times New Roman" w:hAnsi="Times New Roman" w:cs="Times New Roman"/>
          <w:b/>
          <w:color w:val="000000" w:themeColor="text1"/>
          <w:sz w:val="32"/>
          <w:szCs w:val="32"/>
          <w:lang w:val="en-US"/>
        </w:rPr>
        <w:t>Sector</w:t>
      </w:r>
    </w:p>
    <w:p w14:paraId="167832E5" w14:textId="77777777" w:rsidR="000146EE" w:rsidRPr="003F6924" w:rsidRDefault="000146EE" w:rsidP="005723B1">
      <w:pPr>
        <w:snapToGrid w:val="0"/>
        <w:spacing w:after="0" w:line="300" w:lineRule="auto"/>
        <w:jc w:val="center"/>
        <w:rPr>
          <w:rFonts w:ascii="Times New Roman" w:hAnsi="Times New Roman" w:cs="Times New Roman"/>
          <w:color w:val="000000" w:themeColor="text1"/>
          <w:sz w:val="26"/>
          <w:szCs w:val="26"/>
          <w:lang w:val="en-US"/>
        </w:rPr>
      </w:pPr>
    </w:p>
    <w:p w14:paraId="1C454A65" w14:textId="3B5A9010" w:rsidR="00E26534" w:rsidRPr="003F6924" w:rsidRDefault="00B543E4" w:rsidP="005723B1">
      <w:pPr>
        <w:snapToGrid w:val="0"/>
        <w:spacing w:after="0" w:line="300" w:lineRule="auto"/>
        <w:jc w:val="center"/>
        <w:rPr>
          <w:rFonts w:ascii="Times New Roman" w:hAnsi="Times New Roman" w:cs="Times New Roman"/>
          <w:color w:val="000000" w:themeColor="text1"/>
          <w:sz w:val="26"/>
          <w:szCs w:val="26"/>
          <w:lang w:val="en-US"/>
        </w:rPr>
      </w:pPr>
      <w:proofErr w:type="spellStart"/>
      <w:r w:rsidRPr="003F6924">
        <w:rPr>
          <w:rFonts w:ascii="Times New Roman" w:hAnsi="Times New Roman" w:cs="Times New Roman"/>
          <w:color w:val="000000" w:themeColor="text1"/>
          <w:sz w:val="26"/>
          <w:szCs w:val="26"/>
          <w:lang w:val="en-US"/>
        </w:rPr>
        <w:t>Huyen</w:t>
      </w:r>
      <w:proofErr w:type="spellEnd"/>
      <w:r w:rsidRPr="003F6924">
        <w:rPr>
          <w:rFonts w:ascii="Times New Roman" w:hAnsi="Times New Roman" w:cs="Times New Roman"/>
          <w:color w:val="000000" w:themeColor="text1"/>
          <w:sz w:val="26"/>
          <w:szCs w:val="26"/>
          <w:lang w:val="en-US"/>
        </w:rPr>
        <w:t xml:space="preserve"> Trang Le</w:t>
      </w:r>
    </w:p>
    <w:p w14:paraId="2943B7F2" w14:textId="7A4EFFA1" w:rsidR="00E26534" w:rsidRPr="003F6924" w:rsidRDefault="00B543E4" w:rsidP="005723B1">
      <w:pPr>
        <w:snapToGrid w:val="0"/>
        <w:spacing w:after="0" w:line="300" w:lineRule="auto"/>
        <w:jc w:val="center"/>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Faculty</w:t>
      </w:r>
      <w:r w:rsidRPr="003F6924">
        <w:rPr>
          <w:rFonts w:ascii="Times New Roman" w:hAnsi="Times New Roman" w:cs="Times New Roman"/>
          <w:color w:val="000000" w:themeColor="text1"/>
          <w:sz w:val="26"/>
          <w:szCs w:val="26"/>
          <w:lang w:val="vi-VN"/>
        </w:rPr>
        <w:t xml:space="preserve"> of </w:t>
      </w:r>
      <w:r w:rsidRPr="003F6924">
        <w:rPr>
          <w:rFonts w:ascii="Times New Roman" w:hAnsi="Times New Roman" w:cs="Times New Roman"/>
          <w:color w:val="000000" w:themeColor="text1"/>
          <w:sz w:val="26"/>
          <w:szCs w:val="26"/>
          <w:lang w:val="en-US"/>
        </w:rPr>
        <w:t>Economic</w:t>
      </w:r>
      <w:r w:rsidR="000E54E0" w:rsidRPr="003F6924">
        <w:rPr>
          <w:rFonts w:ascii="Times New Roman" w:hAnsi="Times New Roman" w:cs="Times New Roman"/>
          <w:color w:val="000000" w:themeColor="text1"/>
          <w:sz w:val="26"/>
          <w:szCs w:val="26"/>
          <w:lang w:val="en-US"/>
        </w:rPr>
        <w:t>s</w:t>
      </w:r>
      <w:r w:rsidRPr="003F6924">
        <w:rPr>
          <w:rFonts w:ascii="Times New Roman" w:hAnsi="Times New Roman" w:cs="Times New Roman"/>
          <w:color w:val="000000" w:themeColor="text1"/>
          <w:sz w:val="26"/>
          <w:szCs w:val="26"/>
          <w:lang w:val="en-US"/>
        </w:rPr>
        <w:t xml:space="preserve"> and Management, Thang Long University, Hanoi, Vietnam</w:t>
      </w:r>
    </w:p>
    <w:p w14:paraId="25F47BAF" w14:textId="77777777" w:rsidR="00E26534" w:rsidRPr="003F6924" w:rsidRDefault="00B543E4" w:rsidP="005723B1">
      <w:pPr>
        <w:snapToGrid w:val="0"/>
        <w:spacing w:after="0" w:line="300" w:lineRule="auto"/>
        <w:jc w:val="center"/>
        <w:rPr>
          <w:rFonts w:ascii="Times New Roman" w:hAnsi="Times New Roman" w:cs="Times New Roman"/>
          <w:color w:val="000000" w:themeColor="text1"/>
          <w:sz w:val="26"/>
          <w:szCs w:val="26"/>
          <w:lang w:val="vi-VN"/>
        </w:rPr>
      </w:pPr>
      <w:r w:rsidRPr="003F6924">
        <w:rPr>
          <w:rFonts w:ascii="Times New Roman" w:hAnsi="Times New Roman" w:cs="Times New Roman"/>
          <w:color w:val="000000" w:themeColor="text1"/>
          <w:sz w:val="26"/>
          <w:szCs w:val="26"/>
          <w:lang w:val="en-US"/>
        </w:rPr>
        <w:t xml:space="preserve">E-mail: </w:t>
      </w:r>
      <w:hyperlink r:id="rId8" w:history="1">
        <w:r w:rsidRPr="003F6924">
          <w:rPr>
            <w:rStyle w:val="a6"/>
            <w:rFonts w:ascii="Times New Roman" w:hAnsi="Times New Roman" w:cs="Times New Roman"/>
            <w:sz w:val="26"/>
            <w:szCs w:val="26"/>
            <w:lang w:val="en-US"/>
          </w:rPr>
          <w:t>tranglh</w:t>
        </w:r>
        <w:r w:rsidRPr="003F6924">
          <w:rPr>
            <w:rStyle w:val="a6"/>
            <w:rFonts w:ascii="Times New Roman" w:hAnsi="Times New Roman" w:cs="Times New Roman"/>
            <w:sz w:val="26"/>
            <w:szCs w:val="26"/>
            <w:lang w:val="vi-VN"/>
          </w:rPr>
          <w:t>@thanglong.edu.vn</w:t>
        </w:r>
      </w:hyperlink>
      <w:r w:rsidRPr="003F6924">
        <w:rPr>
          <w:rFonts w:ascii="Times New Roman" w:hAnsi="Times New Roman" w:cs="Times New Roman"/>
          <w:color w:val="000000" w:themeColor="text1"/>
          <w:sz w:val="26"/>
          <w:szCs w:val="26"/>
          <w:lang w:val="vi-VN"/>
        </w:rPr>
        <w:t xml:space="preserve"> </w:t>
      </w:r>
    </w:p>
    <w:p w14:paraId="2F39A7F7" w14:textId="77777777" w:rsidR="000E54E0" w:rsidRPr="003F6924" w:rsidRDefault="000E54E0" w:rsidP="005723B1">
      <w:pPr>
        <w:snapToGrid w:val="0"/>
        <w:spacing w:after="0" w:line="300" w:lineRule="auto"/>
        <w:jc w:val="center"/>
        <w:rPr>
          <w:rFonts w:ascii="Times New Roman" w:hAnsi="Times New Roman" w:cs="Times New Roman"/>
          <w:color w:val="000000" w:themeColor="text1"/>
          <w:sz w:val="26"/>
          <w:szCs w:val="26"/>
          <w:lang w:val="vi-VN"/>
        </w:rPr>
      </w:pPr>
    </w:p>
    <w:p w14:paraId="51ED7BD5" w14:textId="4807F817" w:rsidR="00E26534" w:rsidRPr="003F6924" w:rsidRDefault="00B543E4" w:rsidP="005723B1">
      <w:pPr>
        <w:snapToGrid w:val="0"/>
        <w:spacing w:after="0" w:line="300" w:lineRule="auto"/>
        <w:jc w:val="center"/>
        <w:rPr>
          <w:rFonts w:ascii="Times New Roman" w:hAnsi="Times New Roman" w:cs="Times New Roman"/>
          <w:color w:val="000000" w:themeColor="text1"/>
          <w:sz w:val="26"/>
          <w:szCs w:val="26"/>
          <w:lang w:val="vi-VN"/>
        </w:rPr>
      </w:pPr>
      <w:r w:rsidRPr="003F6924">
        <w:rPr>
          <w:rFonts w:ascii="Times New Roman" w:hAnsi="Times New Roman" w:cs="Times New Roman"/>
          <w:color w:val="000000" w:themeColor="text1"/>
          <w:sz w:val="26"/>
          <w:szCs w:val="26"/>
          <w:lang w:val="vi-VN"/>
        </w:rPr>
        <w:t>Le Duy Bui</w:t>
      </w:r>
    </w:p>
    <w:p w14:paraId="1EB470B3" w14:textId="77777777" w:rsidR="00E26534" w:rsidRPr="003F6924" w:rsidRDefault="00B543E4" w:rsidP="005723B1">
      <w:pPr>
        <w:snapToGrid w:val="0"/>
        <w:spacing w:after="0" w:line="300" w:lineRule="auto"/>
        <w:jc w:val="center"/>
        <w:rPr>
          <w:rFonts w:ascii="Times New Roman" w:hAnsi="Times New Roman" w:cs="Times New Roman"/>
          <w:color w:val="000000" w:themeColor="text1"/>
          <w:sz w:val="26"/>
          <w:szCs w:val="26"/>
          <w:lang w:val="vi-VN"/>
        </w:rPr>
      </w:pPr>
      <w:r w:rsidRPr="003F6924">
        <w:rPr>
          <w:rFonts w:ascii="Times New Roman" w:hAnsi="Times New Roman" w:cs="Times New Roman"/>
          <w:color w:val="000000" w:themeColor="text1"/>
          <w:sz w:val="26"/>
          <w:szCs w:val="26"/>
          <w:lang w:val="en-US"/>
        </w:rPr>
        <w:t>State Bank of Vietnam</w:t>
      </w:r>
      <w:r w:rsidRPr="003F6924">
        <w:rPr>
          <w:rFonts w:ascii="Times New Roman" w:hAnsi="Times New Roman" w:cs="Times New Roman"/>
          <w:color w:val="000000" w:themeColor="text1"/>
          <w:sz w:val="26"/>
          <w:szCs w:val="26"/>
          <w:lang w:val="vi-VN"/>
        </w:rPr>
        <w:t>, Hanoi, Vietnam</w:t>
      </w:r>
    </w:p>
    <w:p w14:paraId="0B544019" w14:textId="77777777" w:rsidR="00EF6E62" w:rsidRPr="003F6924" w:rsidRDefault="00B543E4" w:rsidP="005723B1">
      <w:pPr>
        <w:snapToGrid w:val="0"/>
        <w:spacing w:after="0" w:line="300" w:lineRule="auto"/>
        <w:jc w:val="center"/>
        <w:rPr>
          <w:rFonts w:ascii="Times New Roman" w:hAnsi="Times New Roman" w:cs="Times New Roman"/>
          <w:color w:val="000000" w:themeColor="text1"/>
          <w:sz w:val="26"/>
          <w:szCs w:val="26"/>
          <w:lang w:val="vi-VN"/>
        </w:rPr>
      </w:pPr>
      <w:r w:rsidRPr="003F6924">
        <w:rPr>
          <w:rFonts w:ascii="Times New Roman" w:hAnsi="Times New Roman" w:cs="Times New Roman"/>
          <w:color w:val="000000" w:themeColor="text1"/>
          <w:sz w:val="26"/>
          <w:szCs w:val="26"/>
          <w:lang w:val="vi-VN"/>
        </w:rPr>
        <w:t xml:space="preserve">E-mail: </w:t>
      </w:r>
      <w:hyperlink r:id="rId9" w:history="1">
        <w:r w:rsidRPr="003F6924">
          <w:rPr>
            <w:rStyle w:val="a6"/>
            <w:rFonts w:ascii="Times New Roman" w:hAnsi="Times New Roman" w:cs="Times New Roman"/>
            <w:sz w:val="26"/>
            <w:szCs w:val="26"/>
            <w:lang w:val="vi-VN"/>
          </w:rPr>
          <w:t>duybl@thanglong.edu.vn</w:t>
        </w:r>
      </w:hyperlink>
      <w:r w:rsidRPr="003F6924">
        <w:rPr>
          <w:rFonts w:ascii="Times New Roman" w:hAnsi="Times New Roman" w:cs="Times New Roman"/>
          <w:color w:val="000000" w:themeColor="text1"/>
          <w:sz w:val="26"/>
          <w:szCs w:val="26"/>
          <w:lang w:val="vi-VN"/>
        </w:rPr>
        <w:t xml:space="preserve"> </w:t>
      </w:r>
    </w:p>
    <w:p w14:paraId="3A2BB3FB" w14:textId="77777777" w:rsidR="000146EE" w:rsidRPr="003F6924" w:rsidRDefault="000146EE" w:rsidP="005723B1">
      <w:pPr>
        <w:snapToGrid w:val="0"/>
        <w:spacing w:after="0" w:line="300" w:lineRule="auto"/>
        <w:jc w:val="center"/>
        <w:rPr>
          <w:rFonts w:ascii="Times New Roman" w:hAnsi="Times New Roman" w:cs="Times New Roman"/>
          <w:color w:val="000000" w:themeColor="text1"/>
          <w:sz w:val="26"/>
          <w:szCs w:val="26"/>
          <w:lang w:val="vi-VN"/>
        </w:rPr>
      </w:pPr>
    </w:p>
    <w:p w14:paraId="39A4872A" w14:textId="019DF7E2" w:rsidR="00EF6E62" w:rsidRPr="003F6924" w:rsidRDefault="00B543E4" w:rsidP="005723B1">
      <w:pPr>
        <w:snapToGrid w:val="0"/>
        <w:spacing w:after="0" w:line="300" w:lineRule="auto"/>
        <w:jc w:val="center"/>
        <w:rPr>
          <w:rFonts w:ascii="Times New Roman" w:hAnsi="Times New Roman" w:cs="Times New Roman"/>
          <w:color w:val="000000" w:themeColor="text1"/>
          <w:sz w:val="26"/>
          <w:szCs w:val="26"/>
          <w:lang w:val="vi-VN"/>
        </w:rPr>
      </w:pPr>
      <w:r w:rsidRPr="003F6924">
        <w:rPr>
          <w:rFonts w:ascii="Times New Roman" w:hAnsi="Times New Roman" w:cs="Times New Roman"/>
          <w:color w:val="000000" w:themeColor="text1"/>
          <w:sz w:val="26"/>
          <w:szCs w:val="26"/>
          <w:lang w:val="vi-VN"/>
        </w:rPr>
        <w:t>Thi Van Anh Pham</w:t>
      </w:r>
    </w:p>
    <w:p w14:paraId="77E22E12" w14:textId="0ADA5B7D" w:rsidR="00EF6E62" w:rsidRPr="003F6924" w:rsidRDefault="00B543E4" w:rsidP="005723B1">
      <w:pPr>
        <w:snapToGrid w:val="0"/>
        <w:spacing w:after="0" w:line="300" w:lineRule="auto"/>
        <w:jc w:val="center"/>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Faculty</w:t>
      </w:r>
      <w:r w:rsidRPr="003F6924">
        <w:rPr>
          <w:rFonts w:ascii="Times New Roman" w:hAnsi="Times New Roman" w:cs="Times New Roman"/>
          <w:color w:val="000000" w:themeColor="text1"/>
          <w:sz w:val="26"/>
          <w:szCs w:val="26"/>
          <w:lang w:val="vi-VN"/>
        </w:rPr>
        <w:t xml:space="preserve"> of </w:t>
      </w:r>
      <w:r w:rsidRPr="003F6924">
        <w:rPr>
          <w:rFonts w:ascii="Times New Roman" w:hAnsi="Times New Roman" w:cs="Times New Roman"/>
          <w:color w:val="000000" w:themeColor="text1"/>
          <w:sz w:val="26"/>
          <w:szCs w:val="26"/>
          <w:lang w:val="en-US"/>
        </w:rPr>
        <w:t>Economic</w:t>
      </w:r>
      <w:r w:rsidR="000E54E0" w:rsidRPr="003F6924">
        <w:rPr>
          <w:rFonts w:ascii="Times New Roman" w:hAnsi="Times New Roman" w:cs="Times New Roman"/>
          <w:color w:val="000000" w:themeColor="text1"/>
          <w:sz w:val="26"/>
          <w:szCs w:val="26"/>
          <w:lang w:val="en-US"/>
        </w:rPr>
        <w:t>s</w:t>
      </w:r>
      <w:r w:rsidRPr="003F6924">
        <w:rPr>
          <w:rFonts w:ascii="Times New Roman" w:hAnsi="Times New Roman" w:cs="Times New Roman"/>
          <w:color w:val="000000" w:themeColor="text1"/>
          <w:sz w:val="26"/>
          <w:szCs w:val="26"/>
          <w:lang w:val="en-US"/>
        </w:rPr>
        <w:t xml:space="preserve"> and Management, Thang Long University, Hanoi, Vietnam</w:t>
      </w:r>
    </w:p>
    <w:p w14:paraId="3B0E643F" w14:textId="77777777" w:rsidR="00071B69" w:rsidRPr="003F6924" w:rsidRDefault="00B543E4" w:rsidP="005723B1">
      <w:pPr>
        <w:snapToGrid w:val="0"/>
        <w:spacing w:after="0" w:line="300" w:lineRule="auto"/>
        <w:jc w:val="center"/>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E-mail: </w:t>
      </w:r>
      <w:hyperlink r:id="rId10" w:history="1"/>
      <w:r w:rsidRPr="003F6924">
        <w:rPr>
          <w:rFonts w:ascii="Times New Roman" w:hAnsi="Times New Roman" w:cs="Times New Roman"/>
          <w:color w:val="000000" w:themeColor="text1"/>
          <w:sz w:val="26"/>
          <w:szCs w:val="26"/>
          <w:lang w:val="en-US"/>
        </w:rPr>
        <w:t xml:space="preserve"> </w:t>
      </w:r>
      <w:hyperlink r:id="rId11" w:history="1">
        <w:r w:rsidRPr="003F6924">
          <w:rPr>
            <w:rStyle w:val="a6"/>
            <w:rFonts w:ascii="Times New Roman" w:hAnsi="Times New Roman" w:cs="Times New Roman"/>
            <w:sz w:val="26"/>
            <w:szCs w:val="26"/>
            <w:lang w:val="en-US"/>
          </w:rPr>
          <w:t>anhptv2@thanglong.edu.vn</w:t>
        </w:r>
      </w:hyperlink>
      <w:r w:rsidRPr="003F6924">
        <w:rPr>
          <w:rFonts w:ascii="Times New Roman" w:hAnsi="Times New Roman" w:cs="Times New Roman"/>
          <w:color w:val="000000" w:themeColor="text1"/>
          <w:sz w:val="26"/>
          <w:szCs w:val="26"/>
          <w:lang w:val="en-US"/>
        </w:rPr>
        <w:t xml:space="preserve"> </w:t>
      </w:r>
    </w:p>
    <w:p w14:paraId="32289A88" w14:textId="77777777" w:rsidR="00B35555" w:rsidRPr="003F6924" w:rsidRDefault="00B35555" w:rsidP="005723B1">
      <w:pPr>
        <w:snapToGrid w:val="0"/>
        <w:spacing w:after="0" w:line="300" w:lineRule="auto"/>
        <w:rPr>
          <w:rFonts w:ascii="Times New Roman" w:hAnsi="Times New Roman" w:cs="Times New Roman"/>
          <w:b/>
          <w:bCs/>
          <w:color w:val="000000" w:themeColor="text1"/>
          <w:sz w:val="26"/>
          <w:szCs w:val="26"/>
          <w:lang w:val="en-US"/>
        </w:rPr>
      </w:pPr>
    </w:p>
    <w:p w14:paraId="5ABD1E7C" w14:textId="77777777" w:rsidR="000146EE" w:rsidRPr="003F6924" w:rsidRDefault="000146EE" w:rsidP="005723B1">
      <w:pPr>
        <w:snapToGrid w:val="0"/>
        <w:spacing w:after="0" w:line="300" w:lineRule="auto"/>
        <w:rPr>
          <w:rFonts w:ascii="Times New Roman" w:hAnsi="Times New Roman" w:cs="Times New Roman"/>
          <w:b/>
          <w:bCs/>
          <w:color w:val="000000" w:themeColor="text1"/>
          <w:sz w:val="26"/>
          <w:szCs w:val="26"/>
          <w:lang w:val="en-US"/>
        </w:rPr>
      </w:pPr>
    </w:p>
    <w:p w14:paraId="2447550A" w14:textId="77777777" w:rsidR="00F60165" w:rsidRPr="003F6924" w:rsidRDefault="00B543E4" w:rsidP="005723B1">
      <w:pPr>
        <w:snapToGrid w:val="0"/>
        <w:spacing w:after="0" w:line="300" w:lineRule="auto"/>
        <w:jc w:val="center"/>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ABSTRACT</w:t>
      </w:r>
    </w:p>
    <w:p w14:paraId="5F9619E0" w14:textId="77777777" w:rsidR="00973BF4" w:rsidRPr="003F6924" w:rsidRDefault="00B543E4" w:rsidP="004B3394">
      <w:pPr>
        <w:snapToGrid w:val="0"/>
        <w:spacing w:after="0" w:line="300" w:lineRule="auto"/>
        <w:ind w:firstLineChars="200" w:firstLine="520"/>
        <w:jc w:val="both"/>
        <w:rPr>
          <w:rFonts w:ascii="Times New Roman" w:hAnsi="Times New Roman" w:cs="Times New Roman"/>
          <w:color w:val="000000" w:themeColor="text1"/>
          <w:sz w:val="26"/>
          <w:szCs w:val="26"/>
          <w:lang w:val="vi-VN"/>
        </w:rPr>
      </w:pPr>
      <w:r w:rsidRPr="003F6924">
        <w:rPr>
          <w:rFonts w:ascii="Times New Roman" w:hAnsi="Times New Roman" w:cs="Times New Roman"/>
          <w:color w:val="000000" w:themeColor="text1"/>
          <w:sz w:val="26"/>
          <w:szCs w:val="26"/>
          <w:lang w:val="en-US"/>
        </w:rPr>
        <w:t>This study</w:t>
      </w:r>
      <w:r w:rsidRPr="003F6924">
        <w:rPr>
          <w:rFonts w:ascii="Times New Roman" w:hAnsi="Times New Roman" w:cs="Times New Roman"/>
          <w:color w:val="000000" w:themeColor="text1"/>
          <w:sz w:val="26"/>
          <w:szCs w:val="26"/>
          <w:lang w:val="vi-VN"/>
        </w:rPr>
        <w:t xml:space="preserve"> </w:t>
      </w:r>
      <w:r w:rsidRPr="003F6924">
        <w:rPr>
          <w:rFonts w:ascii="Times New Roman" w:hAnsi="Times New Roman" w:cs="Times New Roman"/>
          <w:color w:val="000000" w:themeColor="text1"/>
          <w:sz w:val="26"/>
          <w:szCs w:val="26"/>
          <w:lang w:val="en-US"/>
        </w:rPr>
        <w:t>examines the key factors influencing digital transformation within Vietnam’s banking sector.</w:t>
      </w:r>
      <w:r w:rsidRPr="003F6924">
        <w:rPr>
          <w:rFonts w:ascii="Times New Roman" w:hAnsi="Times New Roman" w:cs="Times New Roman"/>
          <w:color w:val="000000" w:themeColor="text1"/>
          <w:sz w:val="26"/>
          <w:szCs w:val="26"/>
          <w:lang w:val="vi-VN"/>
        </w:rPr>
        <w:t xml:space="preserve"> To achieve this objective, the authors employ a quantitative approach that integrates Structural Equation Modeling (SEM) and fuzzy-set Qualitative Comparative Analysis (fsQCA) to analyze data collected from 450 banking employees across Vietnam. </w:t>
      </w:r>
      <w:r w:rsidRPr="003F6924">
        <w:rPr>
          <w:rFonts w:ascii="Times New Roman" w:hAnsi="Times New Roman" w:cs="Times New Roman"/>
          <w:color w:val="000000" w:themeColor="text1"/>
          <w:sz w:val="26"/>
          <w:szCs w:val="26"/>
          <w:lang w:val="en-US"/>
        </w:rPr>
        <w:t>The findings reveal that factors such as technological infrastructure, leadership capability, employee competency, digital transformation strategy, and digital pressure significantly enhance a bank’s digital transformation capability (DTC), which in turn strongly predicts the overall level of digital transformation (LDT). However, factors such as risk management, financial capacity, organizational culture, and government support showed limited or negative influence. Furthermore, the study extends the linear findings by identifying multiple causal configurations that lead to a high level of digital transformation capability (DTC), highlighting the critical roles of strategic flexibility and internal readiness.</w:t>
      </w:r>
      <w:r w:rsidRPr="003F6924">
        <w:rPr>
          <w:rFonts w:ascii="Times New Roman" w:hAnsi="Times New Roman" w:cs="Times New Roman"/>
          <w:color w:val="000000" w:themeColor="text1"/>
          <w:sz w:val="26"/>
          <w:szCs w:val="26"/>
          <w:lang w:val="vi-VN"/>
        </w:rPr>
        <w:t xml:space="preserve"> The findings offer practical implications for banking executives and policymakers while advancing theoretical development of digital transformation through an integrated, context-specific model tailored to emerging markets.</w:t>
      </w:r>
    </w:p>
    <w:p w14:paraId="1C6B9DE3" w14:textId="2849DCEC" w:rsidR="00AC30FB" w:rsidRDefault="00B543E4" w:rsidP="006F3519">
      <w:pPr>
        <w:snapToGrid w:val="0"/>
        <w:spacing w:after="0" w:line="300" w:lineRule="auto"/>
        <w:ind w:left="1275" w:hangingChars="490" w:hanging="1275"/>
        <w:jc w:val="both"/>
        <w:rPr>
          <w:rFonts w:ascii="Times New Roman" w:hAnsi="Times New Roman" w:cs="Times New Roman"/>
          <w:color w:val="000000" w:themeColor="text1"/>
          <w:sz w:val="26"/>
          <w:szCs w:val="26"/>
          <w:lang w:val="en-US"/>
        </w:rPr>
      </w:pPr>
      <w:r w:rsidRPr="003F6924">
        <w:rPr>
          <w:rFonts w:ascii="Times New Roman" w:hAnsi="Times New Roman" w:cs="Times New Roman"/>
          <w:b/>
          <w:bCs/>
          <w:color w:val="000000" w:themeColor="text1"/>
          <w:sz w:val="26"/>
          <w:szCs w:val="26"/>
          <w:lang w:val="en-US"/>
        </w:rPr>
        <w:lastRenderedPageBreak/>
        <w:t xml:space="preserve">Keywords: </w:t>
      </w:r>
      <w:r w:rsidR="006F3519" w:rsidRPr="006F3519">
        <w:rPr>
          <w:rFonts w:ascii="Times New Roman" w:hAnsi="Times New Roman" w:cs="Times New Roman"/>
          <w:color w:val="000000" w:themeColor="text1"/>
          <w:sz w:val="26"/>
          <w:szCs w:val="26"/>
          <w:lang w:val="en-US"/>
        </w:rPr>
        <w:t>Digital transformation capability; Technology–Organization–Environment framework; Dynamic capabilities; PLS-SEM–</w:t>
      </w:r>
      <w:proofErr w:type="spellStart"/>
      <w:r w:rsidR="006F3519" w:rsidRPr="006F3519">
        <w:rPr>
          <w:rFonts w:ascii="Times New Roman" w:hAnsi="Times New Roman" w:cs="Times New Roman"/>
          <w:color w:val="000000" w:themeColor="text1"/>
          <w:sz w:val="26"/>
          <w:szCs w:val="26"/>
          <w:lang w:val="en-US"/>
        </w:rPr>
        <w:t>fsQCA</w:t>
      </w:r>
      <w:proofErr w:type="spellEnd"/>
      <w:r w:rsidR="006F3519" w:rsidRPr="006F3519">
        <w:rPr>
          <w:rFonts w:ascii="Times New Roman" w:hAnsi="Times New Roman" w:cs="Times New Roman"/>
          <w:color w:val="000000" w:themeColor="text1"/>
          <w:sz w:val="26"/>
          <w:szCs w:val="26"/>
          <w:lang w:val="en-US"/>
        </w:rPr>
        <w:t>; Vietnamese banking sector</w:t>
      </w:r>
    </w:p>
    <w:p w14:paraId="34AD0FDE" w14:textId="77777777" w:rsidR="00807B4B" w:rsidRPr="003F6924" w:rsidRDefault="00807B4B" w:rsidP="006F3519">
      <w:pPr>
        <w:snapToGrid w:val="0"/>
        <w:spacing w:after="0" w:line="300" w:lineRule="auto"/>
        <w:ind w:left="1274" w:hangingChars="490" w:hanging="1274"/>
        <w:jc w:val="both"/>
        <w:rPr>
          <w:rFonts w:ascii="Times New Roman" w:hAnsi="Times New Roman" w:cs="Times New Roman"/>
          <w:color w:val="000000" w:themeColor="text1"/>
          <w:sz w:val="26"/>
          <w:szCs w:val="26"/>
          <w:lang w:val="en-US"/>
        </w:rPr>
      </w:pPr>
    </w:p>
    <w:p w14:paraId="6794DC70" w14:textId="77777777" w:rsidR="00F65F90" w:rsidRPr="003F6924" w:rsidRDefault="00B543E4" w:rsidP="005723B1">
      <w:pPr>
        <w:snapToGrid w:val="0"/>
        <w:spacing w:after="0" w:line="300" w:lineRule="auto"/>
        <w:jc w:val="center"/>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INTRODUCTION</w:t>
      </w:r>
    </w:p>
    <w:p w14:paraId="54D99FC2" w14:textId="36456F6F" w:rsidR="004B385F" w:rsidRPr="003F6924" w:rsidRDefault="00B543E4" w:rsidP="004B3394">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Digital transformation (DT) is becoming a prevalent topic in current academic and professional discussions. DT is defined as “a key term to express organizational changes influenced by digital technologies”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{"citationID":"LkKa2KGD","properties":{"formattedCitation":"(Dethine et al., 2020, p. 20)","plainCitation":"(Dethine et al., 2020, p. 20)","noteIndex":0},"citationItems":[{"id":4312,"uris":["http://zotero.org/users/9020985/items/Z3VWFNSI"],"itemData":{"id":4312,"type":"article-journal","container-title":"Technology Innovation Management Review","DOI":"http://doi.org/10.22215/timreview/1344","ISSN":"1927-0321","issue":"4","note":"publisher-place: Ottawa\npublisher: Talent First Network","page":"18-34","source":"COinS","title":"Digitalization and SMEs’ Export Management: Impacts on Resources and Capabilities","title-short":"Digitalization and SMEs’ Export Management","volume":"10","author":[{"family":"Dethine","given":"Benjamin"},{"family":"Enjolras","given":"Manon"},{"family":"Monticolo","given":"Davy"}],"issued":{"date-parts":[["2020"]]}},"locator":"20","label":"page"}],"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(Dethine et al., 2020, p. 20)</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{"citationID":"uPMZFmKI","properties":{"formattedCitation":"(Correani et al., 2020)","plainCitation":"(Correani et al., 2020)","dontUpdate":true,"noteIndex":0},"citationItems":[{"id":4320,"uris":["http://zotero.org/users/9020985/items/XIVDXHJW"],"itemData":{"id":4320,"type":"article-journal","abstract":"The rapid growth of digital technologies and the extraordinary amount of data that devices and applications collect each day are increasingly driving companies to radically transform the business architecture through which they create and appropriate value. However, companies may fail to extract value from digital transformation due to the disconnection between strategy formulation and strategy implementation. Through the analysis of three case studies of firms that digitally transformed their business—namely ABB, CNH Industrial, and Vodafone—this article presents a framework than can help companies implement their digital transformation strategy and thereby renovate their business model.","container-title":"California Management Review","DOI":"10.1177/0008125620934864","ISSN":"0008-1256","issue":"4","language":"EN","note":"publisher: SAGE Publications Inc","page":"37-56","source":"SAGE Journals","title":"Implementing a Digital Strategy: Learning from the Experience of Three Digital Transformation Projects","title-short":"Implementing a Digital Strategy","volume":"62","author":[{"family":"Correani","given":"Alessia"},{"family":"De Massis","given":"Alfredo"},{"family":"Frattini","given":"Federico"},{"family":"Petruzzelli","given":"Antonio Messeni"},{"family":"Natalicchio","given":"Angelo"}],"issued":{"date-parts":[["2020",8,1]]}}}],"schema":"https://github.com/citation-style-language/schema/raw/master/csl-citation.json"}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Correani et al. (2020)</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indicated that digital transformation has become a pivotal force across sectors, altering conventional business models, operational structures, and competitive landscapes.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{"citationID":"JUOQZUrT","properties":{"formattedCitation":"(Carb\\uc0\\u243{}-Valverde et al., 2024)","plainCitation":"(Carbó-Valverde et al., 2024)","dontUpdate":true,"noteIndex":0},"citationItems":[{"id":4324,"uris":["http://zotero.org/users/9020985/items/74WKYV7P"],"itemData":{"id":4324,"type":"article-journal","abstract":"In the ever-changing landscape of the banking industry, digital transformation has become a major challenge. Banks are transitioning towards digitalisation by utilising information and digital technologies while reducing their branch networks. This paper investigates the relationship between technological innovation and banking customers' perception and satisfaction. By analysing a comprehensive consumer finance survey, we assess how the digital transformation of banks is perceived by customers and its impact on their satisfaction. Our results demonstrate that customer perceptions of a bank's digital innovativeness are positively associated with effective digital transformation. Customers tend to be more satisfied with banks that have a higher degree of digitalisation. Furthermore, our findings reveal that customers view banks as more innovative when the reduction in bank branches since the pandemic has been more intense. These insights shed light on the technological transformation of banks and its influence on their customers, providing valuable information for banks seeking to navigate the digital landscape and improve customer satisfaction.","container-title":"Global Policy","DOI":"10.1111/1758-5899.13313","ISSN":"1758-5899","issue":"S1","language":"en","license":"© 2024 Durham University and John Wiley &amp; Sons Ltd.","note":"_eprint: https://onlinelibrary.wiley.com/doi/pdf/10.1111/1758-5899.13313","page":"8-20","source":"Wiley Online Library","title":"Digital innovation and de-branching in the banking industry: Customer perception and satisfaction","title-short":"Digital innovation and de-branching in the banking industry","volume":"15","author":[{"family":"Carbó-Valverde","given":"Santiago"},{"family":"Cuadros-Solas","given":"Pedro J."},{"family":"Rodríguez-Fernández","given":"Francisco"},{"family":"Sánchez-Béjar","given":"José Juan"}],"issued":{"date-parts":[["2024"]]}}}],"schema":"https://github.com/citation-style-language/schema/raw/master/csl-citation.json"}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color w:val="000000" w:themeColor="text1"/>
          <w:sz w:val="26"/>
          <w:szCs w:val="26"/>
          <w:lang w:val="en-US"/>
        </w:rPr>
        <w:t>Carbó-Valverde et al. (2024)</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revealed that digital transformation is not merely a technological transition; it requires a fundamental reconfiguration of corporate strategies and operational frameworks, prompting companies to adapt to an increasingly digitalized market environment. </w:t>
      </w:r>
    </w:p>
    <w:p w14:paraId="3BD2C4F8" w14:textId="77777777" w:rsidR="004B385F" w:rsidRPr="003F6924" w:rsidRDefault="00B543E4" w:rsidP="004B3394">
      <w:pPr>
        <w:snapToGrid w:val="0"/>
        <w:spacing w:after="0" w:line="300" w:lineRule="auto"/>
        <w:ind w:firstLineChars="200" w:firstLine="520"/>
        <w:jc w:val="both"/>
        <w:rPr>
          <w:rFonts w:ascii="Times New Roman" w:hAnsi="Times New Roman" w:cs="Times New Roman"/>
          <w:color w:val="000000" w:themeColor="text1"/>
          <w:sz w:val="26"/>
          <w:szCs w:val="26"/>
          <w:lang w:val="vi-VN"/>
        </w:rPr>
      </w:pPr>
      <w:r w:rsidRPr="003F6924">
        <w:rPr>
          <w:rFonts w:ascii="Times New Roman" w:hAnsi="Times New Roman" w:cs="Times New Roman"/>
          <w:color w:val="000000" w:themeColor="text1"/>
          <w:sz w:val="26"/>
          <w:szCs w:val="26"/>
          <w:lang w:val="vi-VN"/>
        </w:rPr>
        <w:t xml:space="preserve">In the banking sector, digital transformation is no longer optional for banks. It is a strategic imperative driven by evolving customer expectations, regulatory change, competition from fintechs/neobanks, and technology advances. </w:t>
      </w:r>
      <w:r w:rsidR="00446326" w:rsidRPr="003F6924">
        <w:rPr>
          <w:rFonts w:ascii="Times New Roman" w:eastAsia="Times New Roman" w:hAnsi="Times New Roman" w:cs="Times New Roman"/>
          <w:sz w:val="26"/>
          <w:szCs w:val="26"/>
        </w:rPr>
        <w:t>However, the current state of digital transformation in banks has remained average</w:t>
      </w:r>
      <w:r w:rsidRPr="003F6924">
        <w:rPr>
          <w:rFonts w:ascii="Times New Roman" w:hAnsi="Times New Roman" w:cs="Times New Roman"/>
          <w:color w:val="000000" w:themeColor="text1"/>
          <w:sz w:val="26"/>
          <w:szCs w:val="26"/>
          <w:lang w:val="en-US"/>
        </w:rPr>
        <w:t xml:space="preserve">. For instance,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{"citationID":"1V9VAPXD","properties":{"formattedCitation":"(BCG, 2025)","plainCitation":"(BCG, 2025)","noteIndex":0},"citationItems":[{"id":4934,"uris":["http://zotero.org/users/9020985/items/HCDBJ3GU"],"itemData":{"id":4934,"type":"webpage","abstract":"Banks are investing more in tech than ever. With smarter spending and simplification, they can unlock innovation, resilience, and lasting competitive edge.","container-title":"BCG Global","language":"en","title":"Tech in Banking 2025: Transformation Starts with Smarter Tech Investment","title-short":"Tech in Banking 2025","URL":"https://www.bcg.com/publications/2025/tech-banking-transformation-starts-with-smarter-tech-investment","author":[{"family":"BCG","given":""}],"accessed":{"date-parts":[["2025",11,1]]},"issued":{"date-parts":[["2025",5,1]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 xml:space="preserve">BCG </w:t>
      </w:r>
      <w:r w:rsidR="00E010C3" w:rsidRPr="003F6924">
        <w:rPr>
          <w:rFonts w:ascii="Times New Roman" w:hAnsi="Times New Roman" w:cs="Times New Roman"/>
          <w:noProof/>
          <w:color w:val="000000" w:themeColor="text1"/>
          <w:sz w:val="26"/>
          <w:szCs w:val="26"/>
          <w:lang w:val="vi-VN"/>
        </w:rPr>
        <w:t>(</w:t>
      </w:r>
      <w:r w:rsidRPr="003F6924">
        <w:rPr>
          <w:rFonts w:ascii="Times New Roman" w:hAnsi="Times New Roman" w:cs="Times New Roman"/>
          <w:noProof/>
          <w:color w:val="000000" w:themeColor="text1"/>
          <w:sz w:val="26"/>
          <w:szCs w:val="26"/>
          <w:lang w:val="en-US"/>
        </w:rPr>
        <w:t>2025)</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shows that more than 60% of bank technology spend</w:t>
      </w:r>
      <w:r w:rsidR="00446326" w:rsidRPr="003F6924">
        <w:rPr>
          <w:rFonts w:ascii="Times New Roman" w:hAnsi="Times New Roman" w:cs="Times New Roman"/>
          <w:color w:val="000000" w:themeColor="text1"/>
          <w:sz w:val="26"/>
          <w:szCs w:val="26"/>
          <w:lang w:val="en-US"/>
        </w:rPr>
        <w:t>ing</w:t>
      </w:r>
      <w:r w:rsidRPr="003F6924">
        <w:rPr>
          <w:rFonts w:ascii="Times New Roman" w:hAnsi="Times New Roman" w:cs="Times New Roman"/>
          <w:color w:val="000000" w:themeColor="text1"/>
          <w:sz w:val="26"/>
          <w:szCs w:val="26"/>
          <w:lang w:val="en-US"/>
        </w:rPr>
        <w:t xml:space="preserve"> still goes to “run-the-bank” activities (maintenance, legacy systems) rather than innovation, which limits capacity for transformation. </w:t>
      </w:r>
      <w:r w:rsidR="001263DE" w:rsidRPr="003F6924">
        <w:rPr>
          <w:rFonts w:ascii="Times New Roman" w:hAnsi="Times New Roman" w:cs="Times New Roman"/>
          <w:color w:val="000000" w:themeColor="text1"/>
          <w:sz w:val="26"/>
          <w:szCs w:val="26"/>
          <w:lang w:val="en-US"/>
        </w:rPr>
        <w:t>Another</w:t>
      </w:r>
      <w:r w:rsidR="001263DE" w:rsidRPr="003F6924">
        <w:rPr>
          <w:rFonts w:ascii="Times New Roman" w:hAnsi="Times New Roman" w:cs="Times New Roman"/>
          <w:color w:val="000000" w:themeColor="text1"/>
          <w:sz w:val="26"/>
          <w:szCs w:val="26"/>
          <w:lang w:val="vi-VN"/>
        </w:rPr>
        <w:t xml:space="preserve"> report </w:t>
      </w:r>
      <w:r w:rsidRPr="003F6924">
        <w:rPr>
          <w:rFonts w:ascii="Times New Roman" w:hAnsi="Times New Roman" w:cs="Times New Roman"/>
          <w:color w:val="000000" w:themeColor="text1"/>
          <w:sz w:val="26"/>
          <w:szCs w:val="26"/>
          <w:lang w:val="en-US"/>
        </w:rPr>
        <w:t xml:space="preserve">notes that only 51% of institutions are actively implementing digital transformation initiatives. </w:t>
      </w:r>
      <w:r w:rsidR="00E010C3" w:rsidRPr="003F6924">
        <w:rPr>
          <w:rFonts w:ascii="Times New Roman" w:hAnsi="Times New Roman" w:cs="Times New Roman"/>
          <w:color w:val="000000" w:themeColor="text1"/>
          <w:sz w:val="26"/>
          <w:szCs w:val="26"/>
          <w:lang w:val="en-US"/>
        </w:rPr>
        <w:t>Therefore, investigating the factors influencing digital transformation has attracted significant attention from current scholars</w:t>
      </w:r>
      <w:r w:rsidRPr="003F6924">
        <w:rPr>
          <w:rFonts w:ascii="Times New Roman" w:hAnsi="Times New Roman" w:cs="Times New Roman"/>
          <w:color w:val="000000" w:themeColor="text1"/>
          <w:sz w:val="26"/>
          <w:szCs w:val="26"/>
          <w:lang w:val="en-US"/>
        </w:rPr>
        <w:t>.</w:t>
      </w:r>
    </w:p>
    <w:p w14:paraId="1FDB42BA" w14:textId="2A7BFE46" w:rsidR="004B385F" w:rsidRPr="003F6924" w:rsidRDefault="00B543E4" w:rsidP="004B3394">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We conducted a recent literature review to assess the current state of research on digital transformation in the banking sector (see Table 1). The review reveals that, although research on digital transformation in the banking sector has grown significantly, most studies have concentrated on its outcomes—such as profitability, operational efficiency, and risk mitigation—rather than its underlying determinants</w:t>
      </w:r>
      <w:r w:rsidR="00446326" w:rsidRPr="003F6924">
        <w:rPr>
          <w:rFonts w:ascii="Times New Roman" w:eastAsia="Times New Roman" w:hAnsi="Times New Roman" w:cs="Times New Roman"/>
          <w:sz w:val="26"/>
          <w:szCs w:val="26"/>
        </w:rPr>
        <w:t>.</w:t>
      </w:r>
      <w:r w:rsidR="00446326" w:rsidRPr="003F6924">
        <w:rPr>
          <w:rFonts w:ascii="Times New Roman" w:hAnsi="Times New Roman" w:cs="Times New Roman"/>
          <w:color w:val="000000" w:themeColor="text1"/>
          <w:sz w:val="26"/>
          <w:szCs w:val="26"/>
          <w:lang w:val="vi-VN"/>
        </w:rPr>
        <w:t xml:space="preserve"> </w:t>
      </w:r>
      <w:r w:rsidRPr="003F6924">
        <w:rPr>
          <w:rFonts w:ascii="Times New Roman" w:hAnsi="Times New Roman" w:cs="Times New Roman"/>
          <w:color w:val="000000" w:themeColor="text1"/>
          <w:sz w:val="26"/>
          <w:szCs w:val="26"/>
          <w:lang w:val="vi-VN"/>
        </w:rPr>
        <w:t xml:space="preserve">For example, </w:t>
      </w:r>
      <w:r w:rsidR="00031DF5" w:rsidRPr="003F6924">
        <w:rPr>
          <w:rFonts w:ascii="Times New Roman" w:hAnsi="Times New Roman" w:cs="Times New Roman"/>
          <w:color w:val="000000" w:themeColor="text1"/>
          <w:sz w:val="26"/>
          <w:szCs w:val="26"/>
          <w:lang w:val="vi-VN"/>
        </w:rPr>
        <w:t xml:space="preserve">Citterio et al. (2024), Podder and Ghosh (2025), and </w:t>
      </w:r>
      <w:r w:rsidRPr="003F6924">
        <w:rPr>
          <w:rFonts w:ascii="Times New Roman" w:hAnsi="Times New Roman" w:cs="Times New Roman"/>
          <w:color w:val="000000" w:themeColor="text1"/>
          <w:sz w:val="26"/>
          <w:szCs w:val="26"/>
          <w:lang w:val="vi-VN"/>
        </w:rPr>
        <w:t xml:space="preserve">Yang and Chen (2025) examined the impact of digital transformation (DT) on profitability, operational costs, and efficiency. </w:t>
      </w:r>
      <w:r w:rsidRPr="003F6924">
        <w:rPr>
          <w:rFonts w:ascii="Times New Roman" w:hAnsi="Times New Roman" w:cs="Times New Roman"/>
          <w:color w:val="000000" w:themeColor="text1"/>
          <w:sz w:val="26"/>
          <w:szCs w:val="26"/>
          <w:lang w:val="en-US"/>
        </w:rPr>
        <w:t>Similarly, Jia and Liu (202</w:t>
      </w:r>
      <w:r w:rsidR="00031DF5" w:rsidRPr="003F6924">
        <w:rPr>
          <w:rFonts w:ascii="Times New Roman" w:hAnsi="Times New Roman" w:cs="Times New Roman"/>
          <w:color w:val="000000" w:themeColor="text1"/>
          <w:sz w:val="26"/>
          <w:szCs w:val="26"/>
          <w:lang w:val="en-US"/>
        </w:rPr>
        <w:t>4</w:t>
      </w:r>
      <w:r w:rsidRPr="003F6924">
        <w:rPr>
          <w:rFonts w:ascii="Times New Roman" w:hAnsi="Times New Roman" w:cs="Times New Roman"/>
          <w:color w:val="000000" w:themeColor="text1"/>
          <w:sz w:val="26"/>
          <w:szCs w:val="26"/>
          <w:lang w:val="en-US"/>
        </w:rPr>
        <w:t xml:space="preserve">) </w:t>
      </w:r>
      <w:r w:rsidR="00031DF5" w:rsidRPr="003F6924">
        <w:rPr>
          <w:rFonts w:ascii="Times New Roman" w:hAnsi="Times New Roman" w:cs="Times New Roman"/>
          <w:color w:val="000000" w:themeColor="text1"/>
          <w:sz w:val="26"/>
          <w:szCs w:val="26"/>
          <w:lang w:val="en-US"/>
        </w:rPr>
        <w:t>and</w:t>
      </w:r>
      <w:r w:rsidR="00031DF5" w:rsidRPr="003F6924">
        <w:rPr>
          <w:rFonts w:ascii="Times New Roman" w:hAnsi="Times New Roman" w:cs="Times New Roman"/>
          <w:color w:val="000000" w:themeColor="text1"/>
          <w:sz w:val="26"/>
          <w:szCs w:val="26"/>
          <w:lang w:val="vi-VN"/>
        </w:rPr>
        <w:t xml:space="preserve"> </w:t>
      </w:r>
      <w:r w:rsidR="00031DF5" w:rsidRPr="003F6924">
        <w:rPr>
          <w:rFonts w:ascii="Times New Roman" w:hAnsi="Times New Roman" w:cs="Times New Roman"/>
          <w:color w:val="000000" w:themeColor="text1"/>
          <w:sz w:val="26"/>
          <w:szCs w:val="26"/>
          <w:lang w:val="en-US"/>
        </w:rPr>
        <w:t xml:space="preserve">Xu et al. (2025) </w:t>
      </w:r>
      <w:r w:rsidRPr="003F6924">
        <w:rPr>
          <w:rFonts w:ascii="Times New Roman" w:hAnsi="Times New Roman" w:cs="Times New Roman"/>
          <w:color w:val="000000" w:themeColor="text1"/>
          <w:sz w:val="26"/>
          <w:szCs w:val="26"/>
          <w:lang w:val="en-US"/>
        </w:rPr>
        <w:t xml:space="preserve">examined the role of DT in mitigating credit and systemic risks, while Huynh (2025) focused on its relationship with liquidity creation. These studies consistently demonstrate the positive effects of DT adoption but do not examine the organizational, technological, or environmental factors that drive its successful implementation. </w:t>
      </w:r>
    </w:p>
    <w:p w14:paraId="399B8AE0" w14:textId="6C1118A1" w:rsidR="004B385F" w:rsidRPr="003F6924" w:rsidRDefault="00B543E4" w:rsidP="004B3394">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vi-VN"/>
        </w:rPr>
        <w:t xml:space="preserve">Only a limited number of studies have shifted attention toward the antecedents of DT. </w:t>
      </w:r>
      <w:r w:rsidR="00973BF4" w:rsidRPr="003F6924">
        <w:rPr>
          <w:rFonts w:ascii="Times New Roman" w:hAnsi="Times New Roman" w:cs="Times New Roman"/>
          <w:color w:val="000000" w:themeColor="text1"/>
          <w:sz w:val="26"/>
          <w:szCs w:val="26"/>
          <w:lang w:val="vi-VN"/>
        </w:rPr>
        <w:t>Papathomas and Konteos (</w:t>
      </w:r>
      <w:r w:rsidR="00973BF4" w:rsidRPr="003F6924">
        <w:rPr>
          <w:rFonts w:ascii="Times New Roman" w:hAnsi="Times New Roman" w:cs="Times New Roman"/>
          <w:color w:val="000000" w:themeColor="text1"/>
          <w:sz w:val="26"/>
          <w:lang w:val="en-US"/>
        </w:rPr>
        <w:t>2024</w:t>
      </w:r>
      <w:r w:rsidR="00973BF4" w:rsidRPr="003F6924">
        <w:rPr>
          <w:rFonts w:ascii="Times New Roman" w:hAnsi="Times New Roman" w:cs="Times New Roman"/>
          <w:color w:val="000000" w:themeColor="text1"/>
          <w:sz w:val="26"/>
          <w:szCs w:val="26"/>
          <w:lang w:val="vi-VN"/>
        </w:rPr>
        <w:t>) examined leadership and strategic alignment as key enablers of transformation maturity, while Porf</w:t>
      </w:r>
      <w:r w:rsidR="001263DE" w:rsidRPr="003F6924">
        <w:rPr>
          <w:rFonts w:ascii="Times New Roman" w:hAnsi="Times New Roman" w:cs="Times New Roman"/>
          <w:color w:val="000000" w:themeColor="text1"/>
          <w:sz w:val="26"/>
          <w:szCs w:val="26"/>
          <w:lang w:val="vi-VN"/>
        </w:rPr>
        <w:t>í</w:t>
      </w:r>
      <w:r w:rsidR="00973BF4" w:rsidRPr="003F6924">
        <w:rPr>
          <w:rFonts w:ascii="Times New Roman" w:hAnsi="Times New Roman" w:cs="Times New Roman"/>
          <w:color w:val="000000" w:themeColor="text1"/>
          <w:sz w:val="26"/>
          <w:szCs w:val="26"/>
          <w:lang w:val="vi-VN"/>
        </w:rPr>
        <w:t>rio et al. (2024) analyzed both people-related and external factors influencing digitalization within firms.</w:t>
      </w:r>
      <w:r w:rsidRPr="003F6924">
        <w:rPr>
          <w:rFonts w:ascii="Times New Roman" w:hAnsi="Times New Roman" w:cs="Times New Roman"/>
          <w:color w:val="000000" w:themeColor="text1"/>
          <w:sz w:val="26"/>
          <w:szCs w:val="26"/>
          <w:lang w:val="vi-VN"/>
        </w:rPr>
        <w:t xml:space="preserve"> </w:t>
      </w:r>
      <w:r w:rsidRPr="003F6924">
        <w:rPr>
          <w:rFonts w:ascii="Times New Roman" w:hAnsi="Times New Roman" w:cs="Times New Roman"/>
          <w:color w:val="000000" w:themeColor="text1"/>
          <w:sz w:val="26"/>
          <w:szCs w:val="26"/>
          <w:lang w:val="en-US"/>
        </w:rPr>
        <w:t xml:space="preserve">The systematic review by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{"citationID":"EBVuVOVg","properties":{"formattedCitation":"(Feliciano-Cestero et al., 2023)","plainCitation":"(Feliciano-Cestero et al., 2023)","dontUpdate":true,"noteIndex":0},"citationItems":[{"id":4310,"uris":["http://zotero.org/users/9020985/items/Z636XHM9"],"itemData":{"id":4310,"type":"article-journal","abstract":"Digital transformation has a significant impact on firm internationalization. This paper aims to provide a systematic literature review to analyze two decades of literature on key issues related to digital transformation at the individual, firm, and macro (international) levels and its impact on firms’ internationalization process. We show the impact of human (soft side) and non-human components (i.e., knowledge, leadership, digital servitization, technological) of digital transformation that can either allow or threaten it and their impact on firms’ internationalization. In addition, our findings show that digital transformation can positively and negatively impact firm internationalization at the individual, firm, and macro levels. Moreover, we review the existing theories related to digital transformation and internationalization and identify the current gaps in these theories. Finally, we provide directions for future research to address these gaps.","container-title":"Journal of Business Research","DOI":"10.1016/j.jbusres.2022.113546","ISSN":"0148-2963","journalAbbreviation":"Journal of Business Research","page":"113546","source":"ScienceDirect","title":"Is digital transformation threatened? A systematic literature review of the factors influencing firms’ digital transformation and internationalization","title-short":"Is digital transformation threatened?","volume":"157","author":[{"family":"Feliciano-Cestero","given":"María M."},{"family":"Ameen","given":"Nisreen"},{"family":"Kotabe","given":"Masaaki"},{"family":"Paul","given":"Justin"},{"family":"Signoret","given":"Mario"}],"issued":{"date-parts":[["2023",3,1]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Feliciano-Cestero et al. (2023)</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revealed the influence of human (soft) and non-human elements (such as knowledge, leadership, digital servitization, and technology) on digital transformation, which may either facilitate or hinder the firm's digital transformation.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{"citationID":"9WCl3Ahe","properties":{"formattedCitation":"(Mo Bin et al., 2021)","plainCitation":"(Mo Bin et al., 2021)","dontUpdate":true,"noteIndex":0},"citationItems":[{"id":4309,"uris":["http://zotero.org/users/9020985/items/PAEVK2UK"],"itemData":{"id":4309,"type":"article-journal","abstract":"With the development of Information and communication technology in recent years, digital transformation and technology adoption have become crucial factors for small and medium business sustainability (SMEs). Though large multinational companies are well advanced in the early adoption of digital technologies, SMEs are relatively slow in adopting new technologies for various reasons. However, they are either in the early majority or in the late majority stage of the technology adoption life cycle. Such digital transformation of SMEs is significantly different from the large multinational enterprises due to various internal-external, micro-macro, and socio-economic factors. The researcher's view also broadly differs. Hence, understanding the factors influencing the SMEs' digital transformation is crucial in strategic decision making of digital companies, developing digital policies, and free trade agreements of International trade in services by Nations. Therefore, this study presents a systematic review of research conducted in the past 20 years and identifies the factors influencing SMEs' digital transformation. One hundred seventy-eight research articles published in academic databases of SCOPUS and Web of Science were identified and reviewed using the Preferred Reporting Items for Systematic Reviews and Meta-Analyses (PRISMA) approach. Managerial implications and further research directions in this domain were recommended from the research findings.","container-title":"Turkish Journal of Computer and Mathematics Education (TURCOMAT)","DOI":"10.17762/turcomat.v12i11.6102","ISSN":"1309-4653","issue":"11","journalAbbreviation":"TURCOMAT","language":"en","note":"publisher: Ninety Nine Publication","page":"1673-1686","source":"Crossref","title":"A Systematic Review of Factors Influencing Digital Transformation of SMEs","volume":"12","author":[{"family":"Mo Bin","given":"G.H"},{"family":"Wei","given":"Q"},{"family":"Yang","given":"K"}],"issued":{"date-parts":[["2021",5,10]]}}}],"schema":"https://github.com/citation-style-language/schema/raw/master/csl-citation.json"}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Mo Bin et al. (2021)</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categorized determinants of DT into internal and external factors. Accordingly, internal factors comprise leadership and management support, organizational culture, employee competency, and financial resources.</w:t>
      </w:r>
      <w:r w:rsidR="00E010C3" w:rsidRPr="003F6924">
        <w:rPr>
          <w:rFonts w:ascii="Times New Roman" w:hAnsi="Times New Roman" w:cs="Times New Roman"/>
          <w:color w:val="000000" w:themeColor="text1"/>
          <w:sz w:val="26"/>
          <w:szCs w:val="26"/>
          <w:lang w:val="en-US"/>
        </w:rPr>
        <w:t xml:space="preserve"> </w:t>
      </w:r>
      <w:r w:rsidR="005F5DD4" w:rsidRPr="003F6924">
        <w:rPr>
          <w:rFonts w:ascii="Times New Roman" w:hAnsi="Times New Roman" w:cs="Times New Roman"/>
          <w:color w:val="000000" w:themeColor="text1"/>
          <w:sz w:val="26"/>
          <w:szCs w:val="26"/>
          <w:lang w:val="vi-VN"/>
        </w:rPr>
        <w:t>E</w:t>
      </w:r>
      <w:r w:rsidR="00E010C3" w:rsidRPr="003F6924">
        <w:rPr>
          <w:rFonts w:ascii="Times New Roman" w:hAnsi="Times New Roman" w:cs="Times New Roman"/>
          <w:color w:val="000000" w:themeColor="text1"/>
          <w:sz w:val="26"/>
          <w:szCs w:val="26"/>
          <w:lang w:val="en-US"/>
        </w:rPr>
        <w:t>xternal factors encompass technological infrastructure, market dynamics, and the regulatory environment</w:t>
      </w:r>
      <w:r w:rsidRPr="003F6924">
        <w:rPr>
          <w:rFonts w:ascii="Times New Roman" w:hAnsi="Times New Roman" w:cs="Times New Roman"/>
          <w:color w:val="000000" w:themeColor="text1"/>
          <w:sz w:val="26"/>
          <w:szCs w:val="26"/>
          <w:lang w:val="en-US"/>
        </w:rPr>
        <w:t xml:space="preserve">. These researchers also noted that SMEs differ significantly from large enterprises in their digital transformation journeys due to resource constraints, organizational structures, and varying levels of technological readiness.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{"citationID":"fwPkwSk6","properties":{"formattedCitation":"(Werth et al., 2020)","plainCitation":"(Werth et al., 2020)","dontUpdate":true,"noteIndex":0},"citationItems":[{"id":4331,"uris":["http://zotero.org/users/9020985/items/BMUHS4NM"],"itemData":{"id":4331,"type":"article-journal","container-title":"Zeitschrift für die gesamte Versicherungswissenschaft","DOI":"https://doi.org/10.1007/s12297-020-00486-6","page":"155-179","title":"Influencing factors for the digital transformation in the financial services sector.","volume":"109","author":[{"family":"Werth","given":"O"},{"family":"Schwarzbach","given":"C"},{"family":"Rodríguez Cardona","given":"D"},{"family":"Breitner","given":"M. H"},{"family":"Graf von der Schulenburg","given":"J.M"}],"issued":{"date-parts":[["2020"]]}}}],"schema":"https://github.com/citation-style-language/schema/raw/master/csl-citation.json"}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Werth et al. (2020)</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t>
      </w:r>
      <w:r w:rsidR="005F5DD4" w:rsidRPr="003F6924">
        <w:rPr>
          <w:rFonts w:ascii="Times New Roman" w:hAnsi="Times New Roman" w:cs="Times New Roman"/>
          <w:color w:val="000000" w:themeColor="text1"/>
          <w:sz w:val="26"/>
          <w:szCs w:val="26"/>
          <w:lang w:val="en-US"/>
        </w:rPr>
        <w:t>conducted</w:t>
      </w:r>
      <w:r w:rsidRPr="003F6924">
        <w:rPr>
          <w:rFonts w:ascii="Times New Roman" w:hAnsi="Times New Roman" w:cs="Times New Roman"/>
          <w:color w:val="000000" w:themeColor="text1"/>
          <w:sz w:val="26"/>
          <w:szCs w:val="26"/>
          <w:lang w:val="en-US"/>
        </w:rPr>
        <w:t xml:space="preserve"> a qualitative analysis of the determinants affecting digital transformation (DT) in the financial services sector, </w:t>
      </w:r>
      <w:r w:rsidR="005F5DD4" w:rsidRPr="003F6924">
        <w:rPr>
          <w:rFonts w:ascii="Times New Roman" w:hAnsi="Times New Roman" w:cs="Times New Roman"/>
          <w:color w:val="000000" w:themeColor="text1"/>
          <w:sz w:val="26"/>
          <w:szCs w:val="26"/>
          <w:lang w:val="en-US"/>
        </w:rPr>
        <w:t>with</w:t>
      </w:r>
      <w:r w:rsidR="005F5DD4" w:rsidRPr="003F6924">
        <w:rPr>
          <w:rFonts w:ascii="Times New Roman" w:hAnsi="Times New Roman" w:cs="Times New Roman"/>
          <w:color w:val="000000" w:themeColor="text1"/>
          <w:sz w:val="26"/>
          <w:szCs w:val="26"/>
          <w:lang w:val="vi-VN"/>
        </w:rPr>
        <w:t xml:space="preserve"> </w:t>
      </w:r>
      <w:r w:rsidR="005F5DD4" w:rsidRPr="003F6924">
        <w:rPr>
          <w:rFonts w:ascii="Times New Roman" w:hAnsi="Times New Roman" w:cs="Times New Roman"/>
          <w:color w:val="000000" w:themeColor="text1"/>
          <w:sz w:val="26"/>
          <w:szCs w:val="26"/>
          <w:lang w:val="en-US"/>
        </w:rPr>
        <w:t>a particular emphasis on</w:t>
      </w:r>
      <w:r w:rsidRPr="003F6924">
        <w:rPr>
          <w:rFonts w:ascii="Times New Roman" w:hAnsi="Times New Roman" w:cs="Times New Roman"/>
          <w:color w:val="000000" w:themeColor="text1"/>
          <w:sz w:val="26"/>
          <w:szCs w:val="26"/>
          <w:lang w:val="en-US"/>
        </w:rPr>
        <w:t xml:space="preserve"> banking and insurance industries. Consequently, these scholars showed that although the digital transformation of </w:t>
      </w:r>
      <w:r w:rsidR="00E010C3" w:rsidRPr="003F6924">
        <w:rPr>
          <w:rFonts w:ascii="Times New Roman" w:hAnsi="Times New Roman" w:cs="Times New Roman"/>
          <w:color w:val="000000" w:themeColor="text1"/>
          <w:sz w:val="26"/>
          <w:szCs w:val="26"/>
          <w:lang w:val="vi-VN"/>
        </w:rPr>
        <w:t>b</w:t>
      </w:r>
      <w:r w:rsidRPr="003F6924">
        <w:rPr>
          <w:rFonts w:ascii="Times New Roman" w:hAnsi="Times New Roman" w:cs="Times New Roman"/>
          <w:color w:val="000000" w:themeColor="text1"/>
          <w:sz w:val="26"/>
          <w:szCs w:val="26"/>
          <w:lang w:val="en-US"/>
        </w:rPr>
        <w:t xml:space="preserve">anking and insurance industries has been influenced by factors (such as political, economic, social, technological, bargaining power of suppliers, and bargaining power of buyers), the impact of social factors and the bargaining power of buyers is perceived to be higher in the banking sector compared to insurance. </w:t>
      </w:r>
      <w:r w:rsidR="00E010C3" w:rsidRPr="003F6924">
        <w:rPr>
          <w:rFonts w:ascii="Times New Roman" w:hAnsi="Times New Roman" w:cs="Times New Roman"/>
          <w:color w:val="000000" w:themeColor="text1"/>
          <w:sz w:val="26"/>
          <w:szCs w:val="26"/>
          <w:lang w:val="vi-VN"/>
        </w:rPr>
        <w:t xml:space="preserve">However, these works primarily focus on conceptual issues and provide limited empirical validation. </w:t>
      </w:r>
      <w:r w:rsidR="005F5DD4" w:rsidRPr="003F6924">
        <w:rPr>
          <w:rFonts w:ascii="Times New Roman" w:hAnsi="Times New Roman" w:cs="Times New Roman"/>
          <w:color w:val="000000" w:themeColor="text1"/>
          <w:sz w:val="26"/>
          <w:szCs w:val="26"/>
          <w:lang w:val="vi-VN"/>
        </w:rPr>
        <w:t>Moreover, the majority of existing research has been conducted in developed economies (e.g., Europe, China, and India), with limited attention to Southeast Asian or Vietnamese contexts, where institutional structures, resource limitations, and regulatory dynamics differ markedly.</w:t>
      </w:r>
    </w:p>
    <w:p w14:paraId="1F2B7AC9" w14:textId="77777777" w:rsidR="004B385F" w:rsidRPr="003F6924" w:rsidRDefault="00B543E4" w:rsidP="004B3394">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From a contextual standpoint, the Vietnamese banking sector provides a compelling but under-researched environment for digital transformation studies. Despite strong national initiatives for digitalization—such as the National Digital Transformation Program to 2030 and the State Bank of Vietnam’s Strategy for Digital Banking Development—academic research on the determinants of digital transformation in Vietnamese financial institutions remains scarce. </w:t>
      </w:r>
      <w:r w:rsidR="005F5DD4" w:rsidRPr="003F6924">
        <w:rPr>
          <w:rFonts w:ascii="Times New Roman" w:hAnsi="Times New Roman" w:cs="Times New Roman"/>
          <w:color w:val="000000" w:themeColor="text1"/>
          <w:sz w:val="26"/>
          <w:szCs w:val="26"/>
          <w:lang w:val="en-US"/>
        </w:rPr>
        <w:t>Existing studies (e.g., Linh et al., 2025) have primarily focused on how digital transformation influences bank performance, with limited attention to the conditions that foster or hinder this process</w:t>
      </w:r>
      <w:r w:rsidRPr="003F6924">
        <w:rPr>
          <w:rFonts w:ascii="Times New Roman" w:hAnsi="Times New Roman" w:cs="Times New Roman"/>
          <w:color w:val="000000" w:themeColor="text1"/>
          <w:sz w:val="26"/>
          <w:szCs w:val="26"/>
          <w:lang w:val="en-US"/>
        </w:rPr>
        <w:t>.</w:t>
      </w:r>
    </w:p>
    <w:p w14:paraId="62122877" w14:textId="5AC367FD" w:rsidR="004B385F" w:rsidRPr="003F6924" w:rsidRDefault="00B543E4" w:rsidP="004B3394">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From a theoretical standpoint, the existing literature lacks an integrated framework that synthesizes multiple perspectives to explain the determinants of digital transformation.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{"citationID":"gPGmJEeA","properties":{"formattedCitation":"(Werth et al., 2020)","plainCitation":"(Werth et al., 2020)","noteIndex":0},"citationItems":[{"id":4331,"uris":["http://zotero.org/users/9020985/items/BMUHS4NM"],"itemData":{"id":4331,"type":"article-journal","container-title":"Zeitschrift für die gesamte Versicherungswissenschaft","DOI":"https://doi.org/10.1007/s12297-020-00486-6","page":"155-179","title":"Influencing factors for the digital transformation in the financial services sector.","volume":"109","author":[{"family":"Werth","given":"O"},{"family":"Schwarzbach","given":"C"},{"family":"Rodríguez Cardona","given":"D"},{"family":"Breitner","given":"M. H"},{"family":"Graf von der Schulenburg","given":"J.M"}],"issued":{"date-parts":[["2020"]]}}}],"schema":"https://github.com/citation-style-language/schema/raw/master/csl-citation.json"}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 xml:space="preserve">Werth et al. </w:t>
      </w:r>
      <w:r w:rsidR="00E010C3" w:rsidRPr="003F6924">
        <w:rPr>
          <w:rFonts w:ascii="Times New Roman" w:hAnsi="Times New Roman" w:cs="Times New Roman"/>
          <w:noProof/>
          <w:color w:val="000000" w:themeColor="text1"/>
          <w:sz w:val="26"/>
          <w:szCs w:val="26"/>
          <w:lang w:val="vi-VN"/>
        </w:rPr>
        <w:t>(</w:t>
      </w:r>
      <w:r w:rsidRPr="003F6924">
        <w:rPr>
          <w:rFonts w:ascii="Times New Roman" w:hAnsi="Times New Roman" w:cs="Times New Roman"/>
          <w:noProof/>
          <w:color w:val="000000" w:themeColor="text1"/>
          <w:sz w:val="26"/>
          <w:szCs w:val="26"/>
          <w:lang w:val="en-US"/>
        </w:rPr>
        <w:t>2020)</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revealed that a significant shortcoming is the lack of a comprehensive theoretical model that fully encompasses the intricate interactions among these components. Current frameworks are generally disjointed, frequently separating organizational, strategic, or technology elements without adequately considering their interactions across various industrial settings. Accordingly, developing differentiated models for specific industries</w:t>
      </w:r>
      <w:r w:rsidR="004B3394" w:rsidRPr="003F6924">
        <w:rPr>
          <w:rFonts w:ascii="Times New Roman" w:hAnsi="Times New Roman" w:cs="Times New Roman"/>
          <w:color w:val="000000" w:themeColor="text1"/>
          <w:sz w:val="26"/>
          <w:szCs w:val="26"/>
          <w:lang w:val="en-US"/>
        </w:rPr>
        <w:t>,</w:t>
      </w:r>
      <w:r w:rsidRPr="003F6924">
        <w:rPr>
          <w:rFonts w:ascii="Times New Roman" w:hAnsi="Times New Roman" w:cs="Times New Roman"/>
          <w:color w:val="000000" w:themeColor="text1"/>
          <w:sz w:val="26"/>
          <w:szCs w:val="26"/>
          <w:lang w:val="en-US"/>
        </w:rPr>
        <w:t xml:space="preserve"> such as banks, insurers, SMEs, and marketing departments that account for unique structural and regulatory environments</w:t>
      </w:r>
      <w:r w:rsidR="004B3394" w:rsidRPr="003F6924">
        <w:rPr>
          <w:rFonts w:ascii="Times New Roman" w:hAnsi="Times New Roman" w:cs="Times New Roman"/>
          <w:color w:val="000000" w:themeColor="text1"/>
          <w:sz w:val="26"/>
          <w:szCs w:val="26"/>
          <w:lang w:val="en-US"/>
        </w:rPr>
        <w:t>,</w:t>
      </w:r>
      <w:r w:rsidRPr="003F6924">
        <w:rPr>
          <w:rFonts w:ascii="Times New Roman" w:hAnsi="Times New Roman" w:cs="Times New Roman"/>
          <w:color w:val="000000" w:themeColor="text1"/>
          <w:sz w:val="26"/>
          <w:szCs w:val="26"/>
          <w:lang w:val="en-US"/>
        </w:rPr>
        <w:t xml:space="preserve"> </w:t>
      </w:r>
      <w:r w:rsidR="004B3394" w:rsidRPr="003F6924">
        <w:rPr>
          <w:rFonts w:ascii="Times New Roman" w:hAnsi="Times New Roman" w:cs="Times New Roman"/>
          <w:color w:val="000000" w:themeColor="text1"/>
          <w:sz w:val="26"/>
          <w:szCs w:val="26"/>
          <w:lang w:val="en-US"/>
        </w:rPr>
        <w:t>is</w:t>
      </w:r>
      <w:r w:rsidRPr="003F6924">
        <w:rPr>
          <w:rFonts w:ascii="Times New Roman" w:hAnsi="Times New Roman" w:cs="Times New Roman"/>
          <w:color w:val="000000" w:themeColor="text1"/>
          <w:sz w:val="26"/>
          <w:szCs w:val="26"/>
          <w:lang w:val="en-US"/>
        </w:rPr>
        <w:t xml:space="preserve"> necessary. </w:t>
      </w:r>
    </w:p>
    <w:p w14:paraId="6DA746F4" w14:textId="77777777" w:rsidR="004B385F" w:rsidRPr="003F6924" w:rsidRDefault="00B543E4" w:rsidP="004B3394">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Methodologically, most prior studies have relied on secondary data and econometric techniques such as GMM or panel regression (e.g., Citterio et al., 2024</w:t>
      </w:r>
      <w:r w:rsidR="00031DF5" w:rsidRPr="003F6924">
        <w:rPr>
          <w:rFonts w:ascii="Times New Roman" w:hAnsi="Times New Roman" w:cs="Times New Roman"/>
          <w:color w:val="000000" w:themeColor="text1"/>
          <w:sz w:val="26"/>
          <w:szCs w:val="26"/>
          <w:lang w:val="vi-VN"/>
        </w:rPr>
        <w:t xml:space="preserve">; </w:t>
      </w:r>
      <w:r w:rsidR="00031DF5" w:rsidRPr="003F6924">
        <w:rPr>
          <w:rFonts w:ascii="Times New Roman" w:hAnsi="Times New Roman" w:cs="Times New Roman"/>
          <w:color w:val="000000" w:themeColor="text1"/>
          <w:sz w:val="26"/>
          <w:szCs w:val="26"/>
          <w:lang w:val="en-US"/>
        </w:rPr>
        <w:t>Xu et al., 2025</w:t>
      </w:r>
      <w:r w:rsidRPr="003F6924">
        <w:rPr>
          <w:rFonts w:ascii="Times New Roman" w:hAnsi="Times New Roman" w:cs="Times New Roman"/>
          <w:color w:val="000000" w:themeColor="text1"/>
          <w:sz w:val="26"/>
          <w:szCs w:val="26"/>
          <w:lang w:val="en-US"/>
        </w:rPr>
        <w:t xml:space="preserve">), focusing on cross-country or macro-level financial indicators. Few studies employ primary data at the organizational level to capture the perceptions, capabilities, and strategic orientations that shape DT decisions within firms. Consequently, there is limited empirical evidence regarding how leadership commitment, human resource readiness, technological infrastructure, and regulatory pressure jointly influence digital transformation in banks. According to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{"citationID":"iIKz2QpH","properties":{"formattedCitation":"(Al-Faihani &amp; Al-Alawi, 2020)","plainCitation":"(Al-Faihani &amp; Al-Alawi, 2020)","dontUpdate":true,"noteIndex":0},"citationItems":[{"id":4330,"uris":["http://zotero.org/users/9020985/items/VAEMP832"],"itemData":{"id":4330,"type":"paper-conference","abstract":"The purpose of this research article is to review literature related to the organizational cultural drivers that affect digital transformation in the banking sector. This article focused on combining the research done in both the digital transformation and the organizational culture fields. The methodology used a conceptual approach to structure and analyzed the information obtained from different sources. The findings show the importance of considering organizational culture while implementing digital transformation initiatives. Future research should focus on building literature in the field, both from a quantitative and qualitative aspect and in different cultures and industries to gain a deeper understanding of the topic. The main contribution is to provide additional literature combining both organizational culture with digital transformation, while focusing on the banking sector as only a few studies currently address these two topics.","container-title":"2020 International Conference on Data Analytics for Business and Industry: Way Towards a Sustainable Economy (ICDABI)","DOI":"10.1109/ICDABI51230.2020.9325596","event-title":"2020 International Conference on Data Analytics for Business and Industry: Way Towards a Sustainable Economy (ICDABI)","page":"1-6","source":"IEEE Xplore","title":"A Literature Review of Organizational Cultural Drivers Affecting the Digital Transformation of the Banking Sector","URL":"https://ieeexplore.ieee.org/abstract/document/9325596","author":[{"family":"Al-Faihani","given":"Marwa"},{"family":"Al-Alawi","given":"Adel Ismail"}],"accessed":{"date-parts":[["2025",5,23]]},"issued":{"date-parts":[["2020",10]]}}}],"schema":"https://github.com/citation-style-language/schema/raw/master/csl-citation.json"}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Al-Faihani</w:t>
      </w:r>
      <w:r w:rsidR="0025775B" w:rsidRPr="003F6924">
        <w:rPr>
          <w:rFonts w:ascii="Times New Roman" w:hAnsi="Times New Roman" w:cs="Times New Roman"/>
          <w:noProof/>
          <w:color w:val="000000" w:themeColor="text1"/>
          <w:sz w:val="26"/>
          <w:szCs w:val="26"/>
          <w:lang w:val="vi-VN"/>
        </w:rPr>
        <w:t xml:space="preserve"> and</w:t>
      </w:r>
      <w:r w:rsidRPr="003F6924">
        <w:rPr>
          <w:rFonts w:ascii="Times New Roman" w:hAnsi="Times New Roman" w:cs="Times New Roman"/>
          <w:noProof/>
          <w:color w:val="000000" w:themeColor="text1"/>
          <w:sz w:val="26"/>
          <w:szCs w:val="26"/>
          <w:lang w:val="en-US"/>
        </w:rPr>
        <w:t xml:space="preserve"> Al-Alawi (2020)</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most current studies </w:t>
      </w:r>
      <w:r w:rsidR="005330B2" w:rsidRPr="003F6924">
        <w:rPr>
          <w:rFonts w:ascii="Times New Roman" w:hAnsi="Times New Roman" w:cs="Times New Roman"/>
          <w:color w:val="000000" w:themeColor="text1"/>
          <w:sz w:val="26"/>
          <w:szCs w:val="26"/>
          <w:lang w:val="en-US"/>
        </w:rPr>
        <w:t xml:space="preserve">have </w:t>
      </w:r>
      <w:r w:rsidRPr="003F6924">
        <w:rPr>
          <w:rFonts w:ascii="Times New Roman" w:hAnsi="Times New Roman" w:cs="Times New Roman"/>
          <w:color w:val="000000" w:themeColor="text1"/>
          <w:sz w:val="26"/>
          <w:szCs w:val="26"/>
          <w:lang w:val="en-US"/>
        </w:rPr>
        <w:t xml:space="preserve">concentrated on organizational or strategic factors. Consequently, the human side of transformation (such as employee adoption and customer trust) needs deeper exploration. </w:t>
      </w:r>
    </w:p>
    <w:p w14:paraId="4559E3CB" w14:textId="3EF27839" w:rsidR="004B385F" w:rsidRPr="003F6924" w:rsidRDefault="00B543E4" w:rsidP="004B3394">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In response to these research gaps, this study provides novel empirical evidence on the determinants of digital transformation in Vietnam’s banking sector—an underexplored yet strategically significant context within emerging economies. The study aims to address two research questions: </w:t>
      </w:r>
    </w:p>
    <w:p w14:paraId="76FAFBB8" w14:textId="77777777" w:rsidR="003F6924" w:rsidRPr="003F6924" w:rsidRDefault="003F6924" w:rsidP="004B3394">
      <w:pPr>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2484C4FB" w14:textId="77777777" w:rsidR="004B385F" w:rsidRPr="003F6924" w:rsidRDefault="00B543E4" w:rsidP="001418E6">
      <w:pPr>
        <w:snapToGrid w:val="0"/>
        <w:spacing w:after="0" w:line="300" w:lineRule="auto"/>
        <w:ind w:left="780" w:hangingChars="300" w:hanging="780"/>
        <w:jc w:val="both"/>
        <w:rPr>
          <w:rFonts w:ascii="Times New Roman" w:hAnsi="Times New Roman" w:cs="Times New Roman"/>
          <w:i/>
          <w:iCs/>
          <w:color w:val="000000" w:themeColor="text1"/>
          <w:sz w:val="26"/>
          <w:szCs w:val="26"/>
          <w:lang w:val="en-US"/>
        </w:rPr>
      </w:pPr>
      <w:r w:rsidRPr="003F6924">
        <w:rPr>
          <w:rFonts w:ascii="Times New Roman" w:hAnsi="Times New Roman" w:cs="Times New Roman"/>
          <w:i/>
          <w:iCs/>
          <w:color w:val="000000" w:themeColor="text1"/>
          <w:sz w:val="26"/>
          <w:szCs w:val="26"/>
          <w:lang w:val="en-US"/>
        </w:rPr>
        <w:t xml:space="preserve">RQ1. What </w:t>
      </w:r>
      <w:r w:rsidR="005F5DD4" w:rsidRPr="003F6924">
        <w:rPr>
          <w:rFonts w:ascii="Times New Roman" w:hAnsi="Times New Roman" w:cs="Times New Roman"/>
          <w:i/>
          <w:iCs/>
          <w:color w:val="000000" w:themeColor="text1"/>
          <w:sz w:val="26"/>
          <w:szCs w:val="26"/>
          <w:lang w:val="en-US"/>
        </w:rPr>
        <w:t>are</w:t>
      </w:r>
      <w:r w:rsidRPr="003F6924">
        <w:rPr>
          <w:rFonts w:ascii="Times New Roman" w:hAnsi="Times New Roman" w:cs="Times New Roman"/>
          <w:i/>
          <w:iCs/>
          <w:color w:val="000000" w:themeColor="text1"/>
          <w:sz w:val="26"/>
          <w:szCs w:val="26"/>
          <w:lang w:val="en-US"/>
        </w:rPr>
        <w:t xml:space="preserve"> the determinants regarding technological, organizational, and environmental factors for a bank’s digital transformation capability?</w:t>
      </w:r>
    </w:p>
    <w:p w14:paraId="148589AF" w14:textId="77777777" w:rsidR="004B385F" w:rsidRPr="003F6924" w:rsidRDefault="00B543E4" w:rsidP="001418E6">
      <w:pPr>
        <w:snapToGrid w:val="0"/>
        <w:spacing w:after="0" w:line="300" w:lineRule="auto"/>
        <w:ind w:left="780" w:hangingChars="300" w:hanging="780"/>
        <w:jc w:val="both"/>
        <w:rPr>
          <w:rFonts w:ascii="Times New Roman" w:hAnsi="Times New Roman" w:cs="Times New Roman"/>
          <w:color w:val="000000" w:themeColor="text1"/>
          <w:sz w:val="26"/>
          <w:szCs w:val="26"/>
          <w:lang w:val="en-US"/>
        </w:rPr>
      </w:pPr>
      <w:r w:rsidRPr="003F6924">
        <w:rPr>
          <w:rFonts w:ascii="Times New Roman" w:hAnsi="Times New Roman" w:cs="Times New Roman"/>
          <w:i/>
          <w:iCs/>
          <w:color w:val="000000" w:themeColor="text1"/>
          <w:sz w:val="26"/>
          <w:szCs w:val="26"/>
          <w:lang w:val="en-US"/>
        </w:rPr>
        <w:t xml:space="preserve">RQ2. </w:t>
      </w:r>
      <w:r w:rsidR="005F5DD4" w:rsidRPr="003F6924">
        <w:rPr>
          <w:rFonts w:ascii="Times New Roman" w:hAnsi="Times New Roman" w:cs="Times New Roman"/>
          <w:i/>
          <w:iCs/>
          <w:color w:val="000000" w:themeColor="text1"/>
          <w:sz w:val="26"/>
          <w:szCs w:val="26"/>
          <w:lang w:val="en-US"/>
        </w:rPr>
        <w:t>Which combinations of factors are most effective in enhancing banks’ digital transformation capability</w:t>
      </w:r>
      <w:r w:rsidRPr="003F6924">
        <w:rPr>
          <w:rFonts w:ascii="Times New Roman" w:hAnsi="Times New Roman" w:cs="Times New Roman"/>
          <w:i/>
          <w:iCs/>
          <w:color w:val="000000" w:themeColor="text1"/>
          <w:sz w:val="26"/>
          <w:szCs w:val="26"/>
          <w:lang w:val="en-US"/>
        </w:rPr>
        <w:t xml:space="preserve">? </w:t>
      </w:r>
    </w:p>
    <w:p w14:paraId="5E43AABD" w14:textId="77777777" w:rsidR="003F6924" w:rsidRPr="003F6924" w:rsidRDefault="003F6924" w:rsidP="004B3394">
      <w:pPr>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61FFB066" w14:textId="5CBA292B" w:rsidR="004B385F" w:rsidRPr="003F6924" w:rsidRDefault="00B543E4" w:rsidP="004B3394">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To address this question, the study integrates fuzzy-set Qualitative Comparative Analysis (fsQCA) with Structural Equation Modeling (SEM) to empirically examine how various determinants influence both digital transformation capability and the overall level of digital transformation within Vietnam’s banking sector. The study makes a significant </w:t>
      </w:r>
      <w:r w:rsidR="005330B2" w:rsidRPr="003F6924">
        <w:rPr>
          <w:rFonts w:ascii="Times New Roman" w:hAnsi="Times New Roman" w:cs="Times New Roman"/>
          <w:color w:val="000000" w:themeColor="text1"/>
          <w:sz w:val="26"/>
          <w:szCs w:val="26"/>
          <w:lang w:val="en-US"/>
        </w:rPr>
        <w:t>contribution to</w:t>
      </w:r>
      <w:r w:rsidRPr="003F6924">
        <w:rPr>
          <w:rFonts w:ascii="Times New Roman" w:hAnsi="Times New Roman" w:cs="Times New Roman"/>
          <w:color w:val="000000" w:themeColor="text1"/>
          <w:sz w:val="26"/>
          <w:szCs w:val="26"/>
          <w:lang w:val="en-US"/>
        </w:rPr>
        <w:t xml:space="preserve"> the current literature in several ways. </w:t>
      </w:r>
    </w:p>
    <w:p w14:paraId="291F313E" w14:textId="5ED32084" w:rsidR="004B385F" w:rsidRPr="003F6924" w:rsidRDefault="00B543E4" w:rsidP="004B3394">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First, the paper provides new empirical findings from Vietnam's banking industry, a crucial yet underexplored environment in digital transformation research. Most previous research has concentrated on developed economies or general industrial settings. However, this study targets a specific developing nation and sector. </w:t>
      </w:r>
      <w:r w:rsidR="00106D48" w:rsidRPr="003F6924">
        <w:rPr>
          <w:rFonts w:ascii="Times New Roman" w:hAnsi="Times New Roman" w:cs="Times New Roman"/>
          <w:color w:val="000000" w:themeColor="text1"/>
          <w:sz w:val="26"/>
          <w:szCs w:val="26"/>
          <w:lang w:val="en-US"/>
        </w:rPr>
        <w:t>Second, this study develops a comprehensive, sector-specific model that integrates multiple theoretical frameworks, including the Technology–Organization–Environment (TOE) framework, Diffusion of Innovation (DOI) theory, Resource-</w:t>
      </w:r>
      <w:r w:rsidR="004B3394" w:rsidRPr="003F6924">
        <w:rPr>
          <w:rFonts w:ascii="Times New Roman" w:hAnsi="Times New Roman" w:cs="Times New Roman"/>
          <w:color w:val="000000" w:themeColor="text1"/>
          <w:sz w:val="26"/>
          <w:szCs w:val="26"/>
          <w:lang w:val="en-US"/>
        </w:rPr>
        <w:t>b</w:t>
      </w:r>
      <w:r w:rsidR="00106D48" w:rsidRPr="003F6924">
        <w:rPr>
          <w:rFonts w:ascii="Times New Roman" w:hAnsi="Times New Roman" w:cs="Times New Roman"/>
          <w:color w:val="000000" w:themeColor="text1"/>
          <w:sz w:val="26"/>
          <w:szCs w:val="26"/>
          <w:lang w:val="en-US"/>
        </w:rPr>
        <w:t>ased View (RBV), and Dynamic Capabilities (DC) perspective.</w:t>
      </w:r>
      <w:r w:rsidRPr="003F6924">
        <w:rPr>
          <w:rFonts w:ascii="Times New Roman" w:hAnsi="Times New Roman" w:cs="Times New Roman"/>
          <w:color w:val="000000" w:themeColor="text1"/>
          <w:sz w:val="26"/>
          <w:szCs w:val="26"/>
          <w:lang w:val="en-US"/>
        </w:rPr>
        <w:t xml:space="preserve"> This holistic approach facilitates a multifaceted understanding of the drivers of DT, capturing both internal capabilities and external pressures that influence digital transformation. The study reframes the digital transformation discourse by positioning DT as a dependent variable—an outcome of various organizational, technological, and environmental determinants—thereby providing a more complete understanding of how and why DT occurs. </w:t>
      </w:r>
      <w:r w:rsidR="00E010C3" w:rsidRPr="003F6924">
        <w:rPr>
          <w:rFonts w:ascii="Times New Roman" w:hAnsi="Times New Roman" w:cs="Times New Roman"/>
          <w:color w:val="000000" w:themeColor="text1"/>
          <w:sz w:val="26"/>
          <w:szCs w:val="26"/>
          <w:lang w:val="vi-VN"/>
        </w:rPr>
        <w:t>T</w:t>
      </w:r>
      <w:r w:rsidRPr="003F6924">
        <w:rPr>
          <w:rFonts w:ascii="Times New Roman" w:hAnsi="Times New Roman" w:cs="Times New Roman"/>
          <w:color w:val="000000" w:themeColor="text1"/>
          <w:sz w:val="26"/>
          <w:szCs w:val="26"/>
          <w:lang w:val="en-US"/>
        </w:rPr>
        <w:t xml:space="preserve">he study utilizes both SEM and fsQCA models to address the research questions. </w:t>
      </w:r>
      <w:r w:rsidR="00E010C3" w:rsidRPr="003F6924">
        <w:rPr>
          <w:rFonts w:ascii="Times New Roman" w:hAnsi="Times New Roman" w:cs="Times New Roman"/>
          <w:color w:val="000000" w:themeColor="text1"/>
          <w:sz w:val="26"/>
          <w:szCs w:val="26"/>
          <w:lang w:val="en-US"/>
        </w:rPr>
        <w:t>The study employs PLS-SEM to test the structural model and hypotheses</w:t>
      </w:r>
      <w:r w:rsidRPr="003F6924">
        <w:rPr>
          <w:rFonts w:ascii="Times New Roman" w:hAnsi="Times New Roman" w:cs="Times New Roman"/>
          <w:color w:val="000000" w:themeColor="text1"/>
          <w:sz w:val="26"/>
          <w:szCs w:val="26"/>
          <w:lang w:val="en-US"/>
        </w:rPr>
        <w:t xml:space="preserve">. </w:t>
      </w:r>
      <w:r w:rsidR="00E010C3" w:rsidRPr="003F6924">
        <w:rPr>
          <w:rFonts w:ascii="Times New Roman" w:hAnsi="Times New Roman" w:cs="Times New Roman"/>
          <w:color w:val="000000" w:themeColor="text1"/>
          <w:sz w:val="26"/>
          <w:szCs w:val="26"/>
          <w:lang w:val="en-US"/>
        </w:rPr>
        <w:t>On the other hand, fuzzy-set Qualitative Comparative Analysis (fsQCA) reveals various configurations or causal paths that contribute to a high level of digital transformation capability</w:t>
      </w:r>
      <w:r w:rsidRPr="003F6924">
        <w:rPr>
          <w:rFonts w:ascii="Times New Roman" w:hAnsi="Times New Roman" w:cs="Times New Roman"/>
          <w:color w:val="000000" w:themeColor="text1"/>
          <w:sz w:val="26"/>
          <w:szCs w:val="26"/>
          <w:lang w:val="en-US"/>
        </w:rPr>
        <w:t>. This dual-method approach adds methodological rigor and helps capture causal complexity and equifinality, addressing the call for more nuanced, multi-path analysis in digital transformation research.</w:t>
      </w:r>
    </w:p>
    <w:p w14:paraId="2CB0D87D" w14:textId="77777777" w:rsidR="004B385F" w:rsidRPr="003F6924" w:rsidRDefault="00B543E4" w:rsidP="004B3394">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The overall structure of the research framework is outlined as follows</w:t>
      </w:r>
      <w:r w:rsidR="00E010C3" w:rsidRPr="003F6924">
        <w:rPr>
          <w:rFonts w:ascii="Times New Roman" w:hAnsi="Times New Roman" w:cs="Times New Roman"/>
          <w:color w:val="000000" w:themeColor="text1"/>
          <w:sz w:val="26"/>
          <w:szCs w:val="26"/>
          <w:lang w:val="en-US"/>
        </w:rPr>
        <w:t>. We present the theoretical framework, research model, and research evidence for the relationships in Section 2. Section 3 presents the research methodology. Sections 4 and 5 present the research findings, discussion, and implications</w:t>
      </w:r>
      <w:r w:rsidRPr="003F6924">
        <w:rPr>
          <w:rFonts w:ascii="Times New Roman" w:hAnsi="Times New Roman" w:cs="Times New Roman"/>
          <w:color w:val="000000" w:themeColor="text1"/>
          <w:sz w:val="26"/>
          <w:szCs w:val="26"/>
          <w:lang w:val="en-US"/>
        </w:rPr>
        <w:t xml:space="preserve">.  </w:t>
      </w:r>
    </w:p>
    <w:p w14:paraId="176DF965" w14:textId="77777777" w:rsidR="005723B1" w:rsidRPr="003F6924" w:rsidRDefault="005723B1" w:rsidP="005723B1">
      <w:pPr>
        <w:snapToGrid w:val="0"/>
        <w:spacing w:after="0" w:line="300" w:lineRule="auto"/>
        <w:jc w:val="both"/>
        <w:rPr>
          <w:rFonts w:ascii="Times New Roman" w:hAnsi="Times New Roman" w:cs="Times New Roman"/>
          <w:color w:val="000000" w:themeColor="text1"/>
          <w:sz w:val="26"/>
          <w:szCs w:val="26"/>
          <w:lang w:val="en-US"/>
        </w:rPr>
      </w:pPr>
    </w:p>
    <w:p w14:paraId="2185CA4A" w14:textId="77777777" w:rsidR="00807B4B" w:rsidRDefault="00807B4B">
      <w:pPr>
        <w:rPr>
          <w:rFonts w:ascii="Times New Roman" w:eastAsia="Times New Roman" w:hAnsi="Times New Roman" w:cs="Times New Roman"/>
          <w:b/>
          <w:bCs/>
          <w:color w:val="000000" w:themeColor="text1"/>
          <w:sz w:val="26"/>
          <w:szCs w:val="26"/>
        </w:rPr>
      </w:pPr>
      <w:r>
        <w:rPr>
          <w:b/>
          <w:bCs/>
          <w:i/>
          <w:iCs/>
          <w:color w:val="000000" w:themeColor="text1"/>
          <w:sz w:val="26"/>
          <w:szCs w:val="26"/>
        </w:rPr>
        <w:br w:type="page"/>
      </w:r>
    </w:p>
    <w:p w14:paraId="71056431" w14:textId="5056F135" w:rsidR="00EF6E62" w:rsidRPr="003F6924" w:rsidRDefault="00B543E4" w:rsidP="001418E6">
      <w:pPr>
        <w:pStyle w:val="af8"/>
        <w:snapToGrid w:val="0"/>
        <w:spacing w:after="0" w:line="300" w:lineRule="auto"/>
        <w:ind w:leftChars="1" w:left="994" w:hangingChars="381" w:hanging="992"/>
        <w:rPr>
          <w:color w:val="000000" w:themeColor="text1"/>
          <w:sz w:val="26"/>
          <w:szCs w:val="26"/>
          <w:lang w:val="en-US"/>
        </w:rPr>
      </w:pPr>
      <w:r w:rsidRPr="00807B4B">
        <w:rPr>
          <w:b/>
          <w:bCs/>
          <w:i w:val="0"/>
          <w:iCs w:val="0"/>
          <w:color w:val="000000" w:themeColor="text1"/>
          <w:sz w:val="26"/>
          <w:szCs w:val="26"/>
        </w:rPr>
        <w:t xml:space="preserve">Table </w:t>
      </w:r>
      <w:r w:rsidRPr="00807B4B">
        <w:rPr>
          <w:b/>
          <w:bCs/>
          <w:i w:val="0"/>
          <w:iCs w:val="0"/>
          <w:color w:val="000000" w:themeColor="text1"/>
          <w:sz w:val="26"/>
          <w:szCs w:val="26"/>
        </w:rPr>
        <w:fldChar w:fldCharType="begin"/>
      </w:r>
      <w:r w:rsidRPr="00807B4B">
        <w:rPr>
          <w:b/>
          <w:bCs/>
          <w:i w:val="0"/>
          <w:iCs w:val="0"/>
          <w:color w:val="000000" w:themeColor="text1"/>
          <w:sz w:val="26"/>
          <w:szCs w:val="26"/>
        </w:rPr>
        <w:instrText xml:space="preserve"> SEQ Table \* ARABIC </w:instrText>
      </w:r>
      <w:r w:rsidRPr="00807B4B">
        <w:rPr>
          <w:b/>
          <w:bCs/>
          <w:i w:val="0"/>
          <w:iCs w:val="0"/>
          <w:color w:val="000000" w:themeColor="text1"/>
          <w:sz w:val="26"/>
          <w:szCs w:val="26"/>
        </w:rPr>
        <w:fldChar w:fldCharType="separate"/>
      </w:r>
      <w:r w:rsidR="0058062D">
        <w:rPr>
          <w:b/>
          <w:bCs/>
          <w:i w:val="0"/>
          <w:iCs w:val="0"/>
          <w:noProof/>
          <w:color w:val="000000" w:themeColor="text1"/>
          <w:sz w:val="26"/>
          <w:szCs w:val="26"/>
        </w:rPr>
        <w:t>1</w:t>
      </w:r>
      <w:r w:rsidRPr="00807B4B">
        <w:rPr>
          <w:b/>
          <w:bCs/>
          <w:i w:val="0"/>
          <w:iCs w:val="0"/>
          <w:color w:val="000000" w:themeColor="text1"/>
          <w:sz w:val="26"/>
          <w:szCs w:val="26"/>
        </w:rPr>
        <w:fldChar w:fldCharType="end"/>
      </w:r>
      <w:r w:rsidRPr="003F6924">
        <w:rPr>
          <w:color w:val="000000" w:themeColor="text1"/>
          <w:sz w:val="26"/>
          <w:szCs w:val="26"/>
          <w:lang w:val="en-US"/>
        </w:rPr>
        <w:t xml:space="preserve"> Studies </w:t>
      </w:r>
      <w:r w:rsidR="00807B4B" w:rsidRPr="003F6924">
        <w:rPr>
          <w:color w:val="000000" w:themeColor="text1"/>
          <w:sz w:val="26"/>
          <w:szCs w:val="26"/>
          <w:lang w:val="en-US"/>
        </w:rPr>
        <w:t>abou</w:t>
      </w:r>
      <w:r w:rsidR="004B3394" w:rsidRPr="003F6924">
        <w:rPr>
          <w:color w:val="000000" w:themeColor="text1"/>
          <w:sz w:val="26"/>
          <w:szCs w:val="26"/>
          <w:lang w:val="en-US"/>
        </w:rPr>
        <w:t>t Digital Transformation</w:t>
      </w:r>
      <w:r w:rsidRPr="003F6924">
        <w:rPr>
          <w:color w:val="000000" w:themeColor="text1"/>
          <w:sz w:val="26"/>
          <w:szCs w:val="26"/>
          <w:lang w:val="en-US"/>
        </w:rPr>
        <w:t xml:space="preserve"> in the </w:t>
      </w:r>
      <w:r w:rsidR="004B3394" w:rsidRPr="003F6924">
        <w:rPr>
          <w:color w:val="000000" w:themeColor="text1"/>
          <w:sz w:val="26"/>
          <w:szCs w:val="26"/>
          <w:lang w:val="en-US"/>
        </w:rPr>
        <w:t>Banking Sector</w:t>
      </w:r>
      <w:r w:rsidRPr="003F6924">
        <w:rPr>
          <w:color w:val="000000" w:themeColor="text1"/>
          <w:sz w:val="26"/>
          <w:szCs w:val="26"/>
          <w:lang w:val="en-US"/>
        </w:rPr>
        <w:t xml:space="preserve">. </w:t>
      </w:r>
    </w:p>
    <w:tbl>
      <w:tblPr>
        <w:tblW w:w="9214" w:type="dxa"/>
        <w:tblBorders>
          <w:top w:val="single" w:sz="4" w:space="0" w:color="auto"/>
          <w:bottom w:val="single" w:sz="4" w:space="0" w:color="auto"/>
        </w:tblBorders>
        <w:tblLook w:val="04A0" w:firstRow="1" w:lastRow="0" w:firstColumn="1" w:lastColumn="0" w:noHBand="0" w:noVBand="1"/>
      </w:tblPr>
      <w:tblGrid>
        <w:gridCol w:w="2268"/>
        <w:gridCol w:w="3119"/>
        <w:gridCol w:w="3827"/>
      </w:tblGrid>
      <w:tr w:rsidR="0046229B" w:rsidRPr="003F6924" w14:paraId="2FA0D6EB" w14:textId="77777777" w:rsidTr="00645E51">
        <w:trPr>
          <w:trHeight w:val="340"/>
        </w:trPr>
        <w:tc>
          <w:tcPr>
            <w:tcW w:w="2268" w:type="dxa"/>
            <w:tcBorders>
              <w:top w:val="single" w:sz="4" w:space="0" w:color="auto"/>
              <w:bottom w:val="single" w:sz="4" w:space="0" w:color="auto"/>
            </w:tcBorders>
            <w:shd w:val="clear" w:color="auto" w:fill="auto"/>
            <w:vAlign w:val="center"/>
            <w:hideMark/>
          </w:tcPr>
          <w:p w14:paraId="76E19718" w14:textId="77777777" w:rsidR="00EF6E62" w:rsidRPr="003F6924" w:rsidRDefault="00B543E4" w:rsidP="003F6924">
            <w:pPr>
              <w:spacing w:after="0" w:line="240" w:lineRule="auto"/>
              <w:jc w:val="center"/>
              <w:rPr>
                <w:rFonts w:ascii="Times New Roman" w:hAnsi="Times New Roman" w:cs="Times New Roman"/>
                <w:color w:val="000000" w:themeColor="text1"/>
                <w:sz w:val="24"/>
                <w:szCs w:val="24"/>
              </w:rPr>
            </w:pPr>
            <w:r w:rsidRPr="003F6924">
              <w:rPr>
                <w:rFonts w:ascii="Times New Roman" w:hAnsi="Times New Roman" w:cs="Times New Roman"/>
                <w:color w:val="000000" w:themeColor="text1"/>
                <w:sz w:val="24"/>
                <w:szCs w:val="24"/>
              </w:rPr>
              <w:t>Study</w:t>
            </w:r>
          </w:p>
        </w:tc>
        <w:tc>
          <w:tcPr>
            <w:tcW w:w="3119" w:type="dxa"/>
            <w:tcBorders>
              <w:top w:val="single" w:sz="4" w:space="0" w:color="auto"/>
              <w:bottom w:val="single" w:sz="4" w:space="0" w:color="auto"/>
            </w:tcBorders>
            <w:shd w:val="clear" w:color="auto" w:fill="auto"/>
            <w:vAlign w:val="center"/>
            <w:hideMark/>
          </w:tcPr>
          <w:p w14:paraId="476E781E" w14:textId="77777777" w:rsidR="00EF6E62" w:rsidRPr="003F6924" w:rsidRDefault="00B543E4" w:rsidP="003F6924">
            <w:pPr>
              <w:spacing w:after="0" w:line="240" w:lineRule="auto"/>
              <w:jc w:val="center"/>
              <w:rPr>
                <w:rFonts w:ascii="Times New Roman" w:hAnsi="Times New Roman" w:cs="Times New Roman"/>
                <w:color w:val="000000" w:themeColor="text1"/>
                <w:sz w:val="24"/>
                <w:szCs w:val="24"/>
              </w:rPr>
            </w:pPr>
            <w:r w:rsidRPr="003F6924">
              <w:rPr>
                <w:rFonts w:ascii="Times New Roman" w:hAnsi="Times New Roman" w:cs="Times New Roman"/>
                <w:color w:val="000000" w:themeColor="text1"/>
                <w:sz w:val="24"/>
                <w:szCs w:val="24"/>
              </w:rPr>
              <w:t>Dependent Variable(s)</w:t>
            </w:r>
          </w:p>
        </w:tc>
        <w:tc>
          <w:tcPr>
            <w:tcW w:w="3827" w:type="dxa"/>
            <w:tcBorders>
              <w:top w:val="single" w:sz="4" w:space="0" w:color="auto"/>
              <w:bottom w:val="single" w:sz="4" w:space="0" w:color="auto"/>
            </w:tcBorders>
            <w:shd w:val="clear" w:color="auto" w:fill="auto"/>
            <w:vAlign w:val="center"/>
            <w:hideMark/>
          </w:tcPr>
          <w:p w14:paraId="7402EF3C" w14:textId="77777777" w:rsidR="00EF6E62" w:rsidRPr="003F6924" w:rsidRDefault="00B543E4" w:rsidP="003F6924">
            <w:pPr>
              <w:spacing w:after="0" w:line="240" w:lineRule="auto"/>
              <w:jc w:val="center"/>
              <w:rPr>
                <w:rFonts w:ascii="Times New Roman" w:hAnsi="Times New Roman" w:cs="Times New Roman"/>
                <w:color w:val="000000" w:themeColor="text1"/>
                <w:sz w:val="24"/>
                <w:szCs w:val="24"/>
              </w:rPr>
            </w:pPr>
            <w:r w:rsidRPr="003F6924">
              <w:rPr>
                <w:rFonts w:ascii="Times New Roman" w:hAnsi="Times New Roman" w:cs="Times New Roman"/>
                <w:color w:val="000000" w:themeColor="text1"/>
                <w:sz w:val="24"/>
                <w:szCs w:val="24"/>
              </w:rPr>
              <w:t>Independent Variable(s)</w:t>
            </w:r>
          </w:p>
        </w:tc>
      </w:tr>
      <w:tr w:rsidR="0046229B" w:rsidRPr="003F6924" w14:paraId="68F10654" w14:textId="77777777" w:rsidTr="00645E51">
        <w:trPr>
          <w:trHeight w:val="340"/>
        </w:trPr>
        <w:tc>
          <w:tcPr>
            <w:tcW w:w="2268" w:type="dxa"/>
            <w:tcBorders>
              <w:top w:val="single" w:sz="4" w:space="0" w:color="auto"/>
            </w:tcBorders>
            <w:shd w:val="clear" w:color="auto" w:fill="auto"/>
            <w:vAlign w:val="center"/>
            <w:hideMark/>
          </w:tcPr>
          <w:p w14:paraId="4861D49B" w14:textId="77777777" w:rsidR="00EF6E62" w:rsidRPr="003F6924" w:rsidRDefault="00B543E4" w:rsidP="00D55894">
            <w:pPr>
              <w:spacing w:after="0" w:line="240" w:lineRule="auto"/>
              <w:rPr>
                <w:rFonts w:ascii="Times New Roman" w:hAnsi="Times New Roman" w:cs="Times New Roman"/>
                <w:color w:val="000000" w:themeColor="text1"/>
                <w:lang w:eastAsia="zh-TW"/>
              </w:rPr>
            </w:pPr>
            <w:r w:rsidRPr="003F6924">
              <w:rPr>
                <w:rFonts w:ascii="Times New Roman" w:hAnsi="Times New Roman" w:cs="Times New Roman"/>
                <w:color w:val="000000" w:themeColor="text1"/>
              </w:rPr>
              <w:fldChar w:fldCharType="begin"/>
            </w:r>
            <w:r w:rsidRPr="003F6924">
              <w:rPr>
                <w:rFonts w:ascii="Times New Roman" w:hAnsi="Times New Roman" w:cs="Times New Roman"/>
                <w:color w:val="000000" w:themeColor="text1"/>
              </w:rPr>
              <w:instrText xml:space="preserve"> ADDIN ZOTERO_ITEM CSL_CITATION {"citationID":"wFjyBslH","properties":{"formattedCitation":"(Yang &amp; Chen, 2025)","plainCitation":"(Yang &amp; Chen, 2025)","noteIndex":0},"citationItems":[{"id":4908,"uris":["http://zotero.org/users/9020985/items/HB64UUXA"],"itemData":{"id":4908,"type":"article-journal","abstract":"Digital transformation is widely acknowledged as a pivotal factor in reducing banks’ marginal costs and enhancing the efficiency of credit risk management. Concurrently, it allows banks greater flexibility to adapt to shifts in market conditions, thereby optimizing adjustments to credit scale and structure. Despite these recognized benefits, the extant literature has yet to comprehensively analyze the specific mechanisms through which digital transformation impacts banks’ credit operations. This study addresses this research gap by examining how digital transformation dynamically affects the supply of bank credit, with the objective of offering valuable insights to bank management and policymakers. This study utilizes panel data from commercial banks and employs a nonlinear difference-in-differences (DID) approach to analyze the mechanisms and determinants of how digital transformation affects the credit supply scale and structure. The findings indicate that while digital transformation via policy guarantees does not significantly alter the overall credit scale, it significantly influences the credit structure, encouraging banks to enhance credit provision to small and micro-enterprises (SMEs). These findings are robust to various tests. This study reveals that the digital transformation me</w:instrText>
            </w:r>
            <w:r w:rsidRPr="003F6924">
              <w:rPr>
                <w:rFonts w:ascii="Times New Roman" w:hAnsi="Times New Roman" w:cs="Times New Roman"/>
                <w:color w:val="000000" w:themeColor="text1"/>
                <w:lang w:eastAsia="zh-TW"/>
              </w:rPr>
              <w:instrText xml:space="preserve">chanism introduces novel data elements for policy guarantees, facilitates the digitalization of banking operations, reduces costs, and improves risk management, thereby steering the credit structure toward SMEs. The impact of digital transformation is not uniform across banks; differences in management and information-screening capabilities lead to heterogeneous effects on credit structures. Notably, the impact of policy-guaranteed digital transformation on credit structure is more pronounced in non-local commercial banks with regional operations. To validate these conclusions, this study examines 2061 loan records from 42 banks, confirming that digital transformation effectively redirects commercial banks’ credit supply towards enterprises and the real economy. This research offers theoretical insights for refining policy guarantee frameworks, accelerating the digital transformation of commercial banks, and bolstering their credit support for SMEs.","container-title":"Journal of Innovation &amp; Knowledge","DOI":"10.1016/j.jik.2025.100703","ISSN":"2444-569X","issue":"3","journalAbbreviation":"Journal of Innovation &amp; Knowledge","page":"100703","source":"ScienceDirect","title":"Digital transformation of commercial banks with innovative credit structure","volume":"10","author":[{"family":"Yang","given":"Jingwen"},{"family":"Chen","given":"Xiaohui"}],"issued":{"date-parts":[["2025",5,1]]}}}],"schema":"https://github.com/citation-style-language/schema/raw/master/csl-citation.json"} </w:instrText>
            </w:r>
            <w:r w:rsidRPr="003F6924">
              <w:rPr>
                <w:rFonts w:ascii="Times New Roman" w:hAnsi="Times New Roman" w:cs="Times New Roman"/>
                <w:color w:val="000000" w:themeColor="text1"/>
              </w:rPr>
              <w:fldChar w:fldCharType="separate"/>
            </w:r>
            <w:r w:rsidRPr="003F6924">
              <w:rPr>
                <w:rFonts w:ascii="Times New Roman" w:hAnsi="Times New Roman" w:cs="Times New Roman"/>
                <w:noProof/>
                <w:color w:val="000000" w:themeColor="text1"/>
                <w:lang w:eastAsia="zh-TW"/>
              </w:rPr>
              <w:t xml:space="preserve">Yang </w:t>
            </w:r>
            <w:r w:rsidR="0025775B" w:rsidRPr="003F6924">
              <w:rPr>
                <w:rFonts w:ascii="Times New Roman" w:hAnsi="Times New Roman" w:cs="Times New Roman"/>
                <w:noProof/>
                <w:color w:val="000000" w:themeColor="text1"/>
                <w:lang w:eastAsia="zh-TW"/>
              </w:rPr>
              <w:t>and</w:t>
            </w:r>
            <w:r w:rsidRPr="003F6924">
              <w:rPr>
                <w:rFonts w:ascii="Times New Roman" w:hAnsi="Times New Roman" w:cs="Times New Roman"/>
                <w:noProof/>
                <w:color w:val="000000" w:themeColor="text1"/>
                <w:lang w:eastAsia="zh-TW"/>
              </w:rPr>
              <w:t xml:space="preserve"> Chen </w:t>
            </w:r>
            <w:r w:rsidR="00071B69" w:rsidRPr="003F6924">
              <w:rPr>
                <w:rFonts w:ascii="Times New Roman" w:hAnsi="Times New Roman" w:cs="Times New Roman"/>
                <w:noProof/>
                <w:color w:val="000000" w:themeColor="text1"/>
                <w:lang w:eastAsia="zh-TW"/>
              </w:rPr>
              <w:t>(</w:t>
            </w:r>
            <w:r w:rsidRPr="003F6924">
              <w:rPr>
                <w:rFonts w:ascii="Times New Roman" w:hAnsi="Times New Roman" w:cs="Times New Roman"/>
                <w:noProof/>
                <w:color w:val="000000" w:themeColor="text1"/>
                <w:lang w:eastAsia="zh-TW"/>
              </w:rPr>
              <w:t>2025)</w:t>
            </w:r>
            <w:r w:rsidRPr="003F6924">
              <w:rPr>
                <w:rFonts w:ascii="Times New Roman" w:hAnsi="Times New Roman" w:cs="Times New Roman"/>
                <w:color w:val="000000" w:themeColor="text1"/>
              </w:rPr>
              <w:fldChar w:fldCharType="end"/>
            </w:r>
          </w:p>
        </w:tc>
        <w:tc>
          <w:tcPr>
            <w:tcW w:w="3119" w:type="dxa"/>
            <w:tcBorders>
              <w:top w:val="single" w:sz="4" w:space="0" w:color="auto"/>
            </w:tcBorders>
            <w:shd w:val="clear" w:color="auto" w:fill="auto"/>
            <w:vAlign w:val="center"/>
            <w:hideMark/>
          </w:tcPr>
          <w:p w14:paraId="6C2612FA" w14:textId="77777777" w:rsidR="00EF6E62" w:rsidRPr="003F6924" w:rsidRDefault="00B543E4" w:rsidP="00D55894">
            <w:pPr>
              <w:spacing w:after="0" w:line="240" w:lineRule="auto"/>
              <w:rPr>
                <w:rFonts w:ascii="Times New Roman" w:hAnsi="Times New Roman" w:cs="Times New Roman"/>
                <w:color w:val="000000" w:themeColor="text1"/>
                <w:lang w:eastAsia="zh-TW"/>
              </w:rPr>
            </w:pPr>
            <w:r w:rsidRPr="003F6924">
              <w:rPr>
                <w:rFonts w:ascii="Times New Roman" w:hAnsi="Times New Roman" w:cs="Times New Roman"/>
                <w:color w:val="000000" w:themeColor="text1"/>
                <w:lang w:eastAsia="zh-TW"/>
              </w:rPr>
              <w:t xml:space="preserve">Operational cost, credit risk, </w:t>
            </w:r>
            <w:r w:rsidR="00106D48" w:rsidRPr="003F6924">
              <w:rPr>
                <w:rFonts w:ascii="Times New Roman" w:hAnsi="Times New Roman" w:cs="Times New Roman"/>
                <w:color w:val="000000" w:themeColor="text1"/>
                <w:lang w:eastAsia="zh-TW"/>
              </w:rPr>
              <w:t xml:space="preserve">and </w:t>
            </w:r>
            <w:r w:rsidRPr="003F6924">
              <w:rPr>
                <w:rFonts w:ascii="Times New Roman" w:hAnsi="Times New Roman" w:cs="Times New Roman"/>
                <w:color w:val="000000" w:themeColor="text1"/>
                <w:lang w:eastAsia="zh-TW"/>
              </w:rPr>
              <w:t>flexibility</w:t>
            </w:r>
          </w:p>
        </w:tc>
        <w:tc>
          <w:tcPr>
            <w:tcW w:w="3827" w:type="dxa"/>
            <w:tcBorders>
              <w:top w:val="single" w:sz="4" w:space="0" w:color="auto"/>
            </w:tcBorders>
            <w:shd w:val="clear" w:color="auto" w:fill="auto"/>
            <w:vAlign w:val="center"/>
            <w:hideMark/>
          </w:tcPr>
          <w:p w14:paraId="0BB2E467" w14:textId="77777777" w:rsidR="00EF6E62" w:rsidRPr="003F6924" w:rsidRDefault="00B543E4" w:rsidP="00D55894">
            <w:pPr>
              <w:spacing w:after="0" w:line="240" w:lineRule="auto"/>
              <w:rPr>
                <w:rFonts w:ascii="Times New Roman" w:hAnsi="Times New Roman" w:cs="Times New Roman"/>
                <w:color w:val="000000" w:themeColor="text1"/>
                <w:lang w:eastAsia="zh-TW"/>
              </w:rPr>
            </w:pPr>
            <w:r w:rsidRPr="003F6924">
              <w:rPr>
                <w:rFonts w:ascii="Times New Roman" w:hAnsi="Times New Roman" w:cs="Times New Roman"/>
                <w:color w:val="000000" w:themeColor="text1"/>
                <w:lang w:eastAsia="zh-TW"/>
              </w:rPr>
              <w:t>AI, blockchain, automation</w:t>
            </w:r>
          </w:p>
        </w:tc>
      </w:tr>
      <w:tr w:rsidR="0046229B" w:rsidRPr="003F6924" w14:paraId="5CF15C2B" w14:textId="77777777" w:rsidTr="00645E51">
        <w:trPr>
          <w:trHeight w:val="340"/>
        </w:trPr>
        <w:tc>
          <w:tcPr>
            <w:tcW w:w="2268" w:type="dxa"/>
            <w:shd w:val="clear" w:color="auto" w:fill="auto"/>
            <w:vAlign w:val="center"/>
            <w:hideMark/>
          </w:tcPr>
          <w:p w14:paraId="018CA63A"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fldChar w:fldCharType="begin"/>
            </w:r>
            <w:r w:rsidRPr="003F6924">
              <w:rPr>
                <w:rFonts w:ascii="Times New Roman" w:hAnsi="Times New Roman" w:cs="Times New Roman"/>
                <w:color w:val="000000" w:themeColor="text1"/>
                <w:lang w:eastAsia="zh-TW"/>
              </w:rPr>
              <w:instrText xml:space="preserve"> ADDIN ZOTERO_ITEM CSL_CITATION {"citationID":"cEvwYxAJ","properties":{"formattedCitation":"(Podder &amp; Ghosh, 2025)","plainCitation":"(Podder &amp; Ghosh, 2025)","noteIndex":0},"citationItems":[{"id":4925,"uris":["http://zotero.org/users/9020985/items/IIEB7Z99"],"itemData":{"id":4925,"type":"article-journal","abstract":"This paper investigates the impact of digital transformation (DT) on the performance of commercial banks in the context of an important emerging economy. From a theoretical perspective, it exposes a major dilemma of bank management concerning the benefits of investment in DT. Also, to gain a clear understanding with robust empirical evidence, it introduces critical moderators in the relationship between bank performance and DT.We examined the impacts of DT on component-wise bank performance indicators using panel data analysis for all 32 commercial banks </w:instrText>
            </w:r>
            <w:r w:rsidRPr="003F6924">
              <w:rPr>
                <w:rFonts w:ascii="Times New Roman" w:hAnsi="Times New Roman" w:cs="Times New Roman"/>
                <w:color w:val="000000" w:themeColor="text1"/>
              </w:rPr>
              <w:instrText xml:space="preserve">listed on the Indian Stock Exchanges, covering the period from 2016 to 2021. We have considered both fixed and random effects in analyzing secondary data of the Indian banks. We also explored the moderating factors by adding interaction terms in our models.Our results confirm that DT increases bank performance, particularly in terms of revenue and profitability. For a short initial span, it incurs a rise in cost. Soon thereafter, the cost is significantly reduced. Moreover, bank size, bank age and customers’ technological literacy levels serve as important moderators in the positive relationship between bank performance and DT.The originality of this study lies in an in-depth investigation of the effects of DT on various component-wise bank performance parameters with a well-structured DT index at a country level. It also contributes to the finance and banking literature of the emerging economies in highlighting the role of a number of critical moderators in the fundamental relationship between bank performance and DT.","container-title":"International Journal of Emerging Markets","DOI":"10.1108/IJOEM-05-2025-1108","ISSN":"1746-8809","journalAbbreviation":"International Journal of Emerging Markets","page":"1-21","source":"Silverchair","title":"Digital transformation: how it impacts bank performance for emerging economies","title-short":"Digital transformation","author":[{"family":"Podder","given":"Bhaskar"},{"family":"Ghosh","given":"Jaideep"}],"issued":{"date-parts":[["2025",9,26]]}}}],"schema":"https://github.com/citation-style-language/schema/raw/master/csl-citation.json"} </w:instrText>
            </w:r>
            <w:r w:rsidRPr="003F6924">
              <w:rPr>
                <w:rFonts w:ascii="Times New Roman" w:hAnsi="Times New Roman" w:cs="Times New Roman"/>
                <w:color w:val="000000" w:themeColor="text1"/>
              </w:rPr>
              <w:fldChar w:fldCharType="separate"/>
            </w:r>
            <w:r w:rsidRPr="003F6924">
              <w:rPr>
                <w:rFonts w:ascii="Times New Roman" w:hAnsi="Times New Roman" w:cs="Times New Roman"/>
                <w:noProof/>
                <w:color w:val="000000" w:themeColor="text1"/>
              </w:rPr>
              <w:t xml:space="preserve">Podder </w:t>
            </w:r>
            <w:r w:rsidR="0025775B" w:rsidRPr="003F6924">
              <w:rPr>
                <w:rFonts w:ascii="Times New Roman" w:hAnsi="Times New Roman" w:cs="Times New Roman"/>
                <w:noProof/>
                <w:color w:val="000000" w:themeColor="text1"/>
              </w:rPr>
              <w:t>and</w:t>
            </w:r>
            <w:r w:rsidRPr="003F6924">
              <w:rPr>
                <w:rFonts w:ascii="Times New Roman" w:hAnsi="Times New Roman" w:cs="Times New Roman"/>
                <w:noProof/>
                <w:color w:val="000000" w:themeColor="text1"/>
              </w:rPr>
              <w:t xml:space="preserve"> Ghosh </w:t>
            </w:r>
            <w:r w:rsidR="00071B69" w:rsidRPr="003F6924">
              <w:rPr>
                <w:rFonts w:ascii="Times New Roman" w:hAnsi="Times New Roman" w:cs="Times New Roman"/>
                <w:noProof/>
                <w:color w:val="000000" w:themeColor="text1"/>
              </w:rPr>
              <w:t>(</w:t>
            </w:r>
            <w:r w:rsidRPr="003F6924">
              <w:rPr>
                <w:rFonts w:ascii="Times New Roman" w:hAnsi="Times New Roman" w:cs="Times New Roman"/>
                <w:noProof/>
                <w:color w:val="000000" w:themeColor="text1"/>
              </w:rPr>
              <w:t>2025)</w:t>
            </w:r>
            <w:r w:rsidRPr="003F6924">
              <w:rPr>
                <w:rFonts w:ascii="Times New Roman" w:hAnsi="Times New Roman" w:cs="Times New Roman"/>
                <w:color w:val="000000" w:themeColor="text1"/>
              </w:rPr>
              <w:fldChar w:fldCharType="end"/>
            </w:r>
          </w:p>
        </w:tc>
        <w:tc>
          <w:tcPr>
            <w:tcW w:w="3119" w:type="dxa"/>
            <w:shd w:val="clear" w:color="auto" w:fill="auto"/>
            <w:vAlign w:val="center"/>
            <w:hideMark/>
          </w:tcPr>
          <w:p w14:paraId="0BD1AD28"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Profitability, efficiency</w:t>
            </w:r>
          </w:p>
        </w:tc>
        <w:tc>
          <w:tcPr>
            <w:tcW w:w="3827" w:type="dxa"/>
            <w:shd w:val="clear" w:color="auto" w:fill="auto"/>
            <w:vAlign w:val="center"/>
            <w:hideMark/>
          </w:tcPr>
          <w:p w14:paraId="05EC7FD9"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IT investment, online services, automation</w:t>
            </w:r>
          </w:p>
        </w:tc>
      </w:tr>
      <w:tr w:rsidR="0046229B" w:rsidRPr="003F6924" w14:paraId="2B931AFE" w14:textId="77777777" w:rsidTr="00645E51">
        <w:trPr>
          <w:trHeight w:val="340"/>
        </w:trPr>
        <w:tc>
          <w:tcPr>
            <w:tcW w:w="2268" w:type="dxa"/>
            <w:shd w:val="clear" w:color="auto" w:fill="auto"/>
            <w:vAlign w:val="center"/>
            <w:hideMark/>
          </w:tcPr>
          <w:p w14:paraId="3269C5E3"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lang w:val="vi-VN"/>
              </w:rPr>
              <w:t>W.</w:t>
            </w:r>
            <w:r w:rsidRPr="003F6924">
              <w:rPr>
                <w:rFonts w:ascii="Times New Roman" w:hAnsi="Times New Roman" w:cs="Times New Roman"/>
                <w:color w:val="000000" w:themeColor="text1"/>
                <w:lang w:val="en-US"/>
              </w:rPr>
              <w:t xml:space="preserve"> </w:t>
            </w:r>
            <w:r w:rsidRPr="003F6924">
              <w:rPr>
                <w:rFonts w:ascii="Times New Roman" w:hAnsi="Times New Roman" w:cs="Times New Roman"/>
                <w:color w:val="000000" w:themeColor="text1"/>
              </w:rPr>
              <w:fldChar w:fldCharType="begin"/>
            </w:r>
            <w:r w:rsidRPr="003F6924">
              <w:rPr>
                <w:rFonts w:ascii="Times New Roman" w:hAnsi="Times New Roman" w:cs="Times New Roman"/>
                <w:color w:val="000000" w:themeColor="text1"/>
              </w:rPr>
              <w:instrText xml:space="preserve"> ADDIN ZOTERO_ITEM CSL_CITATION {"citationID":"LNVtWzhe","properties":{"formattedCitation":"(W. Wang et al., 2025)","plainCitation":"(W. Wang et al., 2025)","noteIndex":0},"citationItems":[{"id":4898,"uris":["http://zotero.org/users/9020985/items/FBAI85RU"],"itemData":{"id":4898,"type":"article-journal","abstract":"This paper examines the impact of digital transformation on bank violations, offering insights for proactive compliance within banks. It assesses bank violations through penalty information obtained via web scraping technology from regulatory authorities, based on a sample of 181 large and medium-sized banks in China from 2011 to 2022. Estimates derived from a double fixed effects model indicate that for every one standard deviation increase in digital transformation, the incidence of bank violations decreases by 7.27 %. Business digitalization has played a key role, and digital transformation has a significant inhibitory effect on credit violations. The capacity of digital transformation to mitigate bank violations is more pronounced when banks demonstrate higher operational efficiency, regional financial regulatory intensity, and levels of financial development. The potential mechanisms are that digital transformation enhances banks' information discernment capabilities and improves the internal control quality, thereby reducing the frequency of bank violations. These findings underscore the importance of digital transformation in the governance of bank violations and extend the literature on the micro-effects of digital transformation.","container-title":"International Review of Economics &amp; Finance","DOI":"10.1016/j.iref.2025.104707","ISSN":"1059-0560","journalAbbreviation":"International Review of Economics &amp; Finance","page":"104707","source":"ScienceDirect","title":"Can digital transformation reduce bank violations? Evidence from China","title-short":"Can digital transformation reduce bank violations?","volume":"104","author":[{"family":"Wang","given":"Wei"},{"family":"Wen","given":"Jie"},{"family":"Liu","given":"Mengjie"},{"family":"Du","given":"Manyu"}],"issued":{"date-parts":[["2025",12,1]]}}}],"schema":"https://github.com/citation-style-language/schema/raw/master/csl-citation.json"} </w:instrText>
            </w:r>
            <w:r w:rsidRPr="003F6924">
              <w:rPr>
                <w:rFonts w:ascii="Times New Roman" w:hAnsi="Times New Roman" w:cs="Times New Roman"/>
                <w:color w:val="000000" w:themeColor="text1"/>
              </w:rPr>
              <w:fldChar w:fldCharType="separate"/>
            </w:r>
            <w:r w:rsidRPr="003F6924">
              <w:rPr>
                <w:rFonts w:ascii="Times New Roman" w:hAnsi="Times New Roman" w:cs="Times New Roman"/>
                <w:noProof/>
                <w:color w:val="000000" w:themeColor="text1"/>
              </w:rPr>
              <w:t xml:space="preserve">Wang et al. </w:t>
            </w:r>
            <w:r w:rsidR="00071B69" w:rsidRPr="003F6924">
              <w:rPr>
                <w:rFonts w:ascii="Times New Roman" w:hAnsi="Times New Roman" w:cs="Times New Roman"/>
                <w:noProof/>
                <w:color w:val="000000" w:themeColor="text1"/>
              </w:rPr>
              <w:t>(</w:t>
            </w:r>
            <w:r w:rsidRPr="003F6924">
              <w:rPr>
                <w:rFonts w:ascii="Times New Roman" w:hAnsi="Times New Roman" w:cs="Times New Roman"/>
                <w:noProof/>
                <w:color w:val="000000" w:themeColor="text1"/>
              </w:rPr>
              <w:t>2025)</w:t>
            </w:r>
            <w:r w:rsidRPr="003F6924">
              <w:rPr>
                <w:rFonts w:ascii="Times New Roman" w:hAnsi="Times New Roman" w:cs="Times New Roman"/>
                <w:color w:val="000000" w:themeColor="text1"/>
              </w:rPr>
              <w:fldChar w:fldCharType="end"/>
            </w:r>
            <w:r w:rsidRPr="003F6924">
              <w:rPr>
                <w:rFonts w:ascii="Times New Roman" w:hAnsi="Times New Roman" w:cs="Times New Roman"/>
                <w:color w:val="000000" w:themeColor="text1"/>
              </w:rPr>
              <w:t xml:space="preserve"> </w:t>
            </w:r>
          </w:p>
        </w:tc>
        <w:tc>
          <w:tcPr>
            <w:tcW w:w="3119" w:type="dxa"/>
            <w:shd w:val="clear" w:color="auto" w:fill="auto"/>
            <w:vAlign w:val="center"/>
            <w:hideMark/>
          </w:tcPr>
          <w:p w14:paraId="1ED9529C"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Bank regulatory violations</w:t>
            </w:r>
          </w:p>
        </w:tc>
        <w:tc>
          <w:tcPr>
            <w:tcW w:w="3827" w:type="dxa"/>
            <w:shd w:val="clear" w:color="auto" w:fill="auto"/>
            <w:vAlign w:val="center"/>
            <w:hideMark/>
          </w:tcPr>
          <w:p w14:paraId="1242E68B"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DT level (digital processes, monitoring)</w:t>
            </w:r>
          </w:p>
        </w:tc>
      </w:tr>
      <w:tr w:rsidR="0046229B" w:rsidRPr="003F6924" w14:paraId="30F8CBB5" w14:textId="77777777" w:rsidTr="00645E51">
        <w:trPr>
          <w:trHeight w:val="680"/>
        </w:trPr>
        <w:tc>
          <w:tcPr>
            <w:tcW w:w="2268" w:type="dxa"/>
            <w:shd w:val="clear" w:color="auto" w:fill="auto"/>
            <w:vAlign w:val="center"/>
            <w:hideMark/>
          </w:tcPr>
          <w:p w14:paraId="457F5A77"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fldChar w:fldCharType="begin"/>
            </w:r>
            <w:r w:rsidRPr="003F6924">
              <w:rPr>
                <w:rFonts w:ascii="Times New Roman" w:hAnsi="Times New Roman" w:cs="Times New Roman"/>
                <w:color w:val="000000" w:themeColor="text1"/>
              </w:rPr>
              <w:instrText xml:space="preserve"> ADDIN ZOTERO_ITEM CSL_CITATION {"citationID":"hcYGemem","properties":{"formattedCitation":"(Felipe et al., 2025)","plainCitation":"(Felipe et al., 2025)","noteIndex":0},"citationItems":[{"id":4921,"uris":["http://zotero.org/users/9020985/items/UIKPERDR"],"itemData":{"id":4921,"type":"article-journal","abstract":"This study investigates the strategies employed by commercial banks during their digital transformation, particularly regarding the integration of Industry 4.0 technologies. A systematic literature review of 287 articles was conducted to identify strategies at micro, meso, and macro levels. At the micro level, three key strategies emerged: value co-creation, security, and inclusion, aiming to enhance customer experience, secure data, and improve digital accessibility. At the meso level, banks adopt agile organisational structures, automation, and expand digital platforms to optimise internal processes and foster external collaborations. At the macro level, strategies include establishing fully digital banks, incorporating digital features into traditional operations, or collaborating with other stakeholders to innovate business models. A conceptual framework is presented to illustrate the dynamic interaction between these levels, emphasising the importance of a holistic approach for successful digital transformation. The research connects its findings to theories of general-purpose technology and dynamic capabilities. Implications highlight the need for overcoming challenges such as legacy systems, regulatory complexities, and internal resistance. These findings offer valuable insights for banks implementing Industry 4.0 technologies, with a focus on strategic alignment, organisational readiness, and technological innovation.","container-title":"Digital Business","DOI":"10.1016/j.digbus.2025.100129","ISSN":"2666-9544","issue":"2","journalAbbreviation":"Digital Business","page":"100129","source":"ScienceDirect","title":"Digital transformation in commercial banks: Unraveling the flow of Industry 4.0","title-short":"Digital transformation in commercial banks","volume":"5","author":[{"family":"Felipe","given":"Thiago"},{"family":"Torres de Oliveira","given":"Rui"},{"family":"Toth-Peter","given":"Agnes"},{"family":"Mathews","given":"Shane"},{"family":"Dulleck","given":"Uwe"}],"issued":{"date-parts":[["2025",12,1]]}}}],"schema":"https://github.com/citation-style-language/schema/raw/master/csl-citation.json"} </w:instrText>
            </w:r>
            <w:r w:rsidRPr="003F6924">
              <w:rPr>
                <w:rFonts w:ascii="Times New Roman" w:hAnsi="Times New Roman" w:cs="Times New Roman"/>
                <w:color w:val="000000" w:themeColor="text1"/>
              </w:rPr>
              <w:fldChar w:fldCharType="separate"/>
            </w:r>
            <w:r w:rsidRPr="003F6924">
              <w:rPr>
                <w:rFonts w:ascii="Times New Roman" w:hAnsi="Times New Roman" w:cs="Times New Roman"/>
                <w:noProof/>
                <w:color w:val="000000" w:themeColor="text1"/>
              </w:rPr>
              <w:t xml:space="preserve">Felipe et al. </w:t>
            </w:r>
            <w:r w:rsidR="00071B69" w:rsidRPr="003F6924">
              <w:rPr>
                <w:rFonts w:ascii="Times New Roman" w:hAnsi="Times New Roman" w:cs="Times New Roman"/>
                <w:noProof/>
                <w:color w:val="000000" w:themeColor="text1"/>
              </w:rPr>
              <w:t>(</w:t>
            </w:r>
            <w:r w:rsidRPr="003F6924">
              <w:rPr>
                <w:rFonts w:ascii="Times New Roman" w:hAnsi="Times New Roman" w:cs="Times New Roman"/>
                <w:noProof/>
                <w:color w:val="000000" w:themeColor="text1"/>
              </w:rPr>
              <w:t>2025)</w:t>
            </w:r>
            <w:r w:rsidRPr="003F6924">
              <w:rPr>
                <w:rFonts w:ascii="Times New Roman" w:hAnsi="Times New Roman" w:cs="Times New Roman"/>
                <w:color w:val="000000" w:themeColor="text1"/>
              </w:rPr>
              <w:fldChar w:fldCharType="end"/>
            </w:r>
            <w:r w:rsidRPr="003F6924">
              <w:rPr>
                <w:rFonts w:ascii="Times New Roman" w:hAnsi="Times New Roman" w:cs="Times New Roman"/>
                <w:color w:val="000000" w:themeColor="text1"/>
              </w:rPr>
              <w:t xml:space="preserve"> </w:t>
            </w:r>
          </w:p>
        </w:tc>
        <w:tc>
          <w:tcPr>
            <w:tcW w:w="3119" w:type="dxa"/>
            <w:shd w:val="clear" w:color="auto" w:fill="auto"/>
            <w:vAlign w:val="center"/>
            <w:hideMark/>
          </w:tcPr>
          <w:p w14:paraId="41BE590D"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Operational efficiency, service innovation</w:t>
            </w:r>
          </w:p>
        </w:tc>
        <w:tc>
          <w:tcPr>
            <w:tcW w:w="3827" w:type="dxa"/>
            <w:shd w:val="clear" w:color="auto" w:fill="auto"/>
            <w:vAlign w:val="center"/>
            <w:hideMark/>
          </w:tcPr>
          <w:p w14:paraId="3E6B2F0D"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Adoption of Industry 4.0 tech (AI, IoT, automation)</w:t>
            </w:r>
          </w:p>
        </w:tc>
      </w:tr>
      <w:tr w:rsidR="0046229B" w:rsidRPr="003F6924" w14:paraId="1AF6D28E" w14:textId="77777777" w:rsidTr="00645E51">
        <w:trPr>
          <w:trHeight w:val="340"/>
        </w:trPr>
        <w:tc>
          <w:tcPr>
            <w:tcW w:w="2268" w:type="dxa"/>
            <w:shd w:val="clear" w:color="auto" w:fill="auto"/>
            <w:vAlign w:val="center"/>
            <w:hideMark/>
          </w:tcPr>
          <w:p w14:paraId="53ABAB41"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fldChar w:fldCharType="begin"/>
            </w:r>
            <w:r w:rsidRPr="003F6924">
              <w:rPr>
                <w:rFonts w:ascii="Times New Roman" w:hAnsi="Times New Roman" w:cs="Times New Roman"/>
                <w:color w:val="000000" w:themeColor="text1"/>
              </w:rPr>
              <w:instrText xml:space="preserve"> ADDIN ZOTERO_ITEM CSL_CITATION {"citationID":"5TFdrFVC","properties":{"formattedCitation":"(Linh et al., 2025, p. 20)","plainCitation":"(Linh et al., 2025, p. 20)","noteIndex":0},"citationItems":[{"id":4918,"uris":["http://zotero.org/users/9020985/items/PUFL9TAB"],"itemData":{"id":4918,"type":"article-journal","abstract":"Digital Transformation has attracted the attention of researchers and managers for a long time. The study aims to investigate the impact of digital transformation on bank performance in emerging countries such as Vietnam. The Feasible Generalized Least Square (FGLS) regression method was employed to test the research hypotheses and determine variables relationships in the proposed model. A panel data collected from 17 joint-stock commercial banks in Vietnam in the period between 2013 and 2022. The empirical results show that Digital Transformation has a significant and positive impact on the profitability of commercial banks while having a significant but negative effect on operational costs. However, the moderating variable, COVID-19 pandemic, is not statistically significant, showing that COVID-19 pandemic does not stimulate the positive outcomes of Digital Transformation regarding profit-making capability and cost efficiency within commercial banks in the data sample. Control variables such as Credit Risk, Solvency, and GDP exert certain significant influences on bank performance. Therefore, these findings provide new insights that help financial institutions compete and adapt to continuously changing conditions resulting in competitive advantages and success of Vietnam commercial banks in modern days.","container-title":"Journal of Organizational Behavior Research","DOI":"10.51847/7zp2D0z0iJ","ISSN":"2528-9705","issue":"1","journalAbbreviation":"J Organ Behav Res","language":"en","page":"83-96","source":"DOI.org (Crossref)","title":"Digital Transformation in Vietnam Commerical Banks: Moderating Effect of COVID-19 Pandemic","title-short":"Digital Transformation in Vietnam Commerical Banks","volume":"10","author":[{"family":"Linh","given":"Do Hoai"},{"family":"Chau","given":"Le Phong"},{"family":"Huong","given":"Nguyen Mai"},{"family":"Huyen","given":"Pham Thi Ngoc"},{"family":"Khue","given":"Tran Minh"},{"family":"Mai","given":"Nguyen Thi Tuyet"},{"family":"Yen","given":"Nguyen Thi Hai"}],"issued":{"date-parts":[["2025"]]}},"locator":"20"}],"schema":"https://github.com/citation-style-language/schema/raw/master/csl-citation.json"} </w:instrText>
            </w:r>
            <w:r w:rsidRPr="003F6924">
              <w:rPr>
                <w:rFonts w:ascii="Times New Roman" w:hAnsi="Times New Roman" w:cs="Times New Roman"/>
                <w:color w:val="000000" w:themeColor="text1"/>
              </w:rPr>
              <w:fldChar w:fldCharType="separate"/>
            </w:r>
            <w:r w:rsidRPr="003F6924">
              <w:rPr>
                <w:rFonts w:ascii="Times New Roman" w:hAnsi="Times New Roman" w:cs="Times New Roman"/>
                <w:noProof/>
                <w:color w:val="000000" w:themeColor="text1"/>
              </w:rPr>
              <w:t>Linh et al.</w:t>
            </w:r>
            <w:r w:rsidR="00071B69" w:rsidRPr="003F6924">
              <w:rPr>
                <w:rFonts w:ascii="Times New Roman" w:hAnsi="Times New Roman" w:cs="Times New Roman"/>
                <w:noProof/>
                <w:color w:val="000000" w:themeColor="text1"/>
              </w:rPr>
              <w:t xml:space="preserve"> (</w:t>
            </w:r>
            <w:r w:rsidRPr="003F6924">
              <w:rPr>
                <w:rFonts w:ascii="Times New Roman" w:hAnsi="Times New Roman" w:cs="Times New Roman"/>
                <w:noProof/>
                <w:color w:val="000000" w:themeColor="text1"/>
              </w:rPr>
              <w:t>2025)</w:t>
            </w:r>
            <w:r w:rsidRPr="003F6924">
              <w:rPr>
                <w:rFonts w:ascii="Times New Roman" w:hAnsi="Times New Roman" w:cs="Times New Roman"/>
                <w:color w:val="000000" w:themeColor="text1"/>
              </w:rPr>
              <w:fldChar w:fldCharType="end"/>
            </w:r>
          </w:p>
        </w:tc>
        <w:tc>
          <w:tcPr>
            <w:tcW w:w="3119" w:type="dxa"/>
            <w:shd w:val="clear" w:color="auto" w:fill="auto"/>
            <w:vAlign w:val="center"/>
            <w:hideMark/>
          </w:tcPr>
          <w:p w14:paraId="7BD5C7E8"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Bank performance, stability</w:t>
            </w:r>
          </w:p>
        </w:tc>
        <w:tc>
          <w:tcPr>
            <w:tcW w:w="3827" w:type="dxa"/>
            <w:shd w:val="clear" w:color="auto" w:fill="auto"/>
            <w:vAlign w:val="center"/>
            <w:hideMark/>
          </w:tcPr>
          <w:p w14:paraId="536313AE"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DT level, big-data mining indicators</w:t>
            </w:r>
          </w:p>
        </w:tc>
      </w:tr>
      <w:tr w:rsidR="0046229B" w:rsidRPr="003F6924" w14:paraId="2EB7D4EF" w14:textId="77777777" w:rsidTr="00645E51">
        <w:trPr>
          <w:trHeight w:val="340"/>
        </w:trPr>
        <w:tc>
          <w:tcPr>
            <w:tcW w:w="2268" w:type="dxa"/>
            <w:shd w:val="clear" w:color="auto" w:fill="auto"/>
            <w:vAlign w:val="center"/>
            <w:hideMark/>
          </w:tcPr>
          <w:p w14:paraId="09F84AFC"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fldChar w:fldCharType="begin"/>
            </w:r>
            <w:r w:rsidRPr="003F6924">
              <w:rPr>
                <w:rFonts w:ascii="Times New Roman" w:hAnsi="Times New Roman" w:cs="Times New Roman"/>
                <w:color w:val="000000" w:themeColor="text1"/>
              </w:rPr>
              <w:instrText xml:space="preserve"> ADDIN ZOTERO_ITEM CSL_CITATION {"citationID":"05O5hiIw","properties":{"formattedCitation":"(Hoque et al., 2024)","plainCitation":"(Hoque et al., 2024)","noteIndex":0},"citationItems":[{"id":4900,"uris":["http://zotero.org/users/9020985/items/S5DU87AI"],"itemData":{"id":4900,"type":"article-journal","abstract":"This study examines whether digital transformation reduces banks' risk-taking in the Vietnamese commercial banking sector. Our research sheds light on how banks' digital transformation affects their risks, specifically regarding credit, insolvency, and liquidity. The study utilizes the readiness index for the Vietnamese commercial banks' Information and Communication Technology (ICT) Index, which the Vietnamese government has officially constructed. The OLS, PCSE, and FGLS models are employed to analyze how digital transformation reduces banks' risk-taking based on the longitudinal data from 26 commercial banks in Vietnam from 2013 to 2022. The results indicate that digital transformation significantly reduces credit risk by improving risk management capacity and reducing asymmetric information. It also helps mitigate insolvency risk by lowering costs and increasing profitability. However, digitalization does not significantly impact liquidity risk as digital channels leverage banks' lending and deposit activities. This research provides empirical evidence on the role of bank digitalization in risk-taking and concludes with recommendations for developing bank digital transformation in Vietnam and other developing countries, including suggestions for further research in this area.","container-title":"Journal of Open Innovation: Technology, Market, and Complexity","DOI":"10.1016/j.joitmc.2024.100260","ISSN":"2199-8531","issue":"2","journalAbbreviation":"Journal of Open Innovation: Technology, Market, and Complexity","page":"100260","source":"ScienceDirect","title":"Does digital transformation reduce bank's risk-taking? evidence from vietnamese commercial banks","title-short":"Does digital transformation reduce bank's risk-taking?","volume":"10","author":[{"family":"Hoque","given":"Ariful"},{"family":"Le","given":"Duong Thuy"},{"family":"Le","given":"Thi"}],"issued":{"date-parts":[["2024",6,1]]}}}],"schema":"https://github.com/citation-style-language/schema/raw/master/csl-citation.json"} </w:instrText>
            </w:r>
            <w:r w:rsidRPr="003F6924">
              <w:rPr>
                <w:rFonts w:ascii="Times New Roman" w:hAnsi="Times New Roman" w:cs="Times New Roman"/>
                <w:color w:val="000000" w:themeColor="text1"/>
              </w:rPr>
              <w:fldChar w:fldCharType="separate"/>
            </w:r>
            <w:r w:rsidRPr="003F6924">
              <w:rPr>
                <w:rFonts w:ascii="Times New Roman" w:hAnsi="Times New Roman" w:cs="Times New Roman"/>
                <w:noProof/>
                <w:color w:val="000000" w:themeColor="text1"/>
              </w:rPr>
              <w:t xml:space="preserve">Hoque et al. </w:t>
            </w:r>
            <w:r w:rsidR="00071B69" w:rsidRPr="003F6924">
              <w:rPr>
                <w:rFonts w:ascii="Times New Roman" w:hAnsi="Times New Roman" w:cs="Times New Roman"/>
                <w:noProof/>
                <w:color w:val="000000" w:themeColor="text1"/>
              </w:rPr>
              <w:t>(</w:t>
            </w:r>
            <w:r w:rsidRPr="003F6924">
              <w:rPr>
                <w:rFonts w:ascii="Times New Roman" w:hAnsi="Times New Roman" w:cs="Times New Roman"/>
                <w:noProof/>
                <w:color w:val="000000" w:themeColor="text1"/>
              </w:rPr>
              <w:t>2024)</w:t>
            </w:r>
            <w:r w:rsidRPr="003F6924">
              <w:rPr>
                <w:rFonts w:ascii="Times New Roman" w:hAnsi="Times New Roman" w:cs="Times New Roman"/>
                <w:color w:val="000000" w:themeColor="text1"/>
              </w:rPr>
              <w:fldChar w:fldCharType="end"/>
            </w:r>
            <w:r w:rsidRPr="003F6924">
              <w:rPr>
                <w:rFonts w:ascii="Times New Roman" w:hAnsi="Times New Roman" w:cs="Times New Roman"/>
                <w:color w:val="000000" w:themeColor="text1"/>
              </w:rPr>
              <w:t xml:space="preserve"> </w:t>
            </w:r>
          </w:p>
        </w:tc>
        <w:tc>
          <w:tcPr>
            <w:tcW w:w="3119" w:type="dxa"/>
            <w:shd w:val="clear" w:color="auto" w:fill="auto"/>
            <w:vAlign w:val="center"/>
            <w:hideMark/>
          </w:tcPr>
          <w:p w14:paraId="15615E45"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Bank risk</w:t>
            </w:r>
          </w:p>
        </w:tc>
        <w:tc>
          <w:tcPr>
            <w:tcW w:w="3827" w:type="dxa"/>
            <w:shd w:val="clear" w:color="auto" w:fill="auto"/>
            <w:vAlign w:val="center"/>
            <w:hideMark/>
          </w:tcPr>
          <w:p w14:paraId="536A43CC"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Digital transformation factors</w:t>
            </w:r>
          </w:p>
        </w:tc>
      </w:tr>
      <w:tr w:rsidR="0046229B" w:rsidRPr="003F6924" w14:paraId="0A7424A6" w14:textId="77777777" w:rsidTr="00645E51">
        <w:trPr>
          <w:trHeight w:val="340"/>
        </w:trPr>
        <w:tc>
          <w:tcPr>
            <w:tcW w:w="2268" w:type="dxa"/>
            <w:shd w:val="clear" w:color="auto" w:fill="auto"/>
            <w:vAlign w:val="center"/>
            <w:hideMark/>
          </w:tcPr>
          <w:p w14:paraId="5D7096E9"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fldChar w:fldCharType="begin"/>
            </w:r>
            <w:r w:rsidRPr="003F6924">
              <w:rPr>
                <w:rFonts w:ascii="Times New Roman" w:hAnsi="Times New Roman" w:cs="Times New Roman"/>
                <w:color w:val="000000" w:themeColor="text1"/>
              </w:rPr>
              <w:instrText xml:space="preserve"> ADDIN ZOTERO_ITEM CSL_CITATION {"citationID":"ipIxGRN9","properties":{"formattedCitation":"(Xu et al., 2025)","plainCitation":"(Xu et al., 2025)","noteIndex":0},"citationItems":[{"id":4904,"uris":["http://zotero.org/users/9020985/items/XBQKPYKL"],"itemData":{"id":4904,"type":"article-journal","abstract":"The financial sector plays a pivotal role in fostering economic stability. Nevertheless, when compared to other countries, the credit risk associated with conventional commercial banks in China remains a notable concern. This study employs the Generalized Method of Moments (GMM) to examine this issue by analyzing data from 114 Chinese banks over the period from 2014 to 2021. The empirical evidence suggests that digital transformation has a significant and dynamic impact on reducing credit risks associated with banks. Additionally, market concentration appears to play an interactive role in this process. As market concentration increases, the risk-reducing effect of digital transformation is likely to diminish. Heterogeneity analysis shows that the impact is stronger in small and medium-sized banks, indicating that digital transformation has higher marginal governance benefits for banks with limited resources and capabilities. Subsequent interactive regression analyses indicate that bank market concentration significantly moderates the relationship between digital transformation and credit risk. In environments characterized by high market concentration, particularly among small banks, digital transformation exerts a more pronounced mitigating effect on non-performing loans. Conversely, in large banks, excessive market concentration may diminish the efficacy of strategic digitalization. Thus, banks may gain advantages by using market concentration to improve risk mitigation and achieve more precise risk evaluation. Policymakers ought to augment market regulation to guarantee a just competitive landscape, avert market monopolies, foster increased competition, and eventually mitigate credit risk.","container-title":"Humanities and Social Sciences Communications","DOI":"10.1057/s41599-025-05319-4","ISSN":"2662-9992","issue":"1","journalAbbreviation":"Humanit Soc Sci Commun","language":"en","license":"2025 The Author(s)","note":"publisher: Palgrave","page":"990","source":"www.nature.com","title":"Market concentration, digital transformation, and bank credit risk in China: evidence from GMM estimation","title-short":"Market concentration, digital transformation, and bank credit risk in China","volume":"12","author":[{"family":"Xu","given":"YingShan"},{"family":"Mohsein bt Abdul Mohsin","given":"Ainul"},{"family":"Yang","given":"Fan"}],"issued":{"date-parts":[["2025",7,3]]}}}],"schema":"https://github.com/citation-style-language/schema/raw/master/csl-citation.json"} </w:instrText>
            </w:r>
            <w:r w:rsidRPr="003F6924">
              <w:rPr>
                <w:rFonts w:ascii="Times New Roman" w:hAnsi="Times New Roman" w:cs="Times New Roman"/>
                <w:color w:val="000000" w:themeColor="text1"/>
              </w:rPr>
              <w:fldChar w:fldCharType="separate"/>
            </w:r>
            <w:r w:rsidRPr="003F6924">
              <w:rPr>
                <w:rFonts w:ascii="Times New Roman" w:hAnsi="Times New Roman" w:cs="Times New Roman"/>
                <w:noProof/>
                <w:color w:val="000000" w:themeColor="text1"/>
              </w:rPr>
              <w:t xml:space="preserve">Xu et al. </w:t>
            </w:r>
            <w:r w:rsidR="00071B69" w:rsidRPr="003F6924">
              <w:rPr>
                <w:rFonts w:ascii="Times New Roman" w:hAnsi="Times New Roman" w:cs="Times New Roman"/>
                <w:noProof/>
                <w:color w:val="000000" w:themeColor="text1"/>
              </w:rPr>
              <w:t>(</w:t>
            </w:r>
            <w:r w:rsidRPr="003F6924">
              <w:rPr>
                <w:rFonts w:ascii="Times New Roman" w:hAnsi="Times New Roman" w:cs="Times New Roman"/>
                <w:noProof/>
                <w:color w:val="000000" w:themeColor="text1"/>
              </w:rPr>
              <w:t>2025)</w:t>
            </w:r>
            <w:r w:rsidRPr="003F6924">
              <w:rPr>
                <w:rFonts w:ascii="Times New Roman" w:hAnsi="Times New Roman" w:cs="Times New Roman"/>
                <w:color w:val="000000" w:themeColor="text1"/>
              </w:rPr>
              <w:fldChar w:fldCharType="end"/>
            </w:r>
            <w:r w:rsidRPr="003F6924">
              <w:rPr>
                <w:rFonts w:ascii="Times New Roman" w:hAnsi="Times New Roman" w:cs="Times New Roman"/>
                <w:color w:val="000000" w:themeColor="text1"/>
              </w:rPr>
              <w:t xml:space="preserve"> </w:t>
            </w:r>
          </w:p>
        </w:tc>
        <w:tc>
          <w:tcPr>
            <w:tcW w:w="3119" w:type="dxa"/>
            <w:shd w:val="clear" w:color="auto" w:fill="auto"/>
            <w:vAlign w:val="center"/>
            <w:hideMark/>
          </w:tcPr>
          <w:p w14:paraId="435A4A6D"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 xml:space="preserve">Bank credit risk </w:t>
            </w:r>
          </w:p>
        </w:tc>
        <w:tc>
          <w:tcPr>
            <w:tcW w:w="3827" w:type="dxa"/>
            <w:shd w:val="clear" w:color="auto" w:fill="auto"/>
            <w:vAlign w:val="center"/>
            <w:hideMark/>
          </w:tcPr>
          <w:p w14:paraId="79E61302"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Degree of digital transformation</w:t>
            </w:r>
          </w:p>
        </w:tc>
      </w:tr>
      <w:tr w:rsidR="0046229B" w:rsidRPr="003F6924" w14:paraId="69F826EE" w14:textId="77777777" w:rsidTr="00645E51">
        <w:trPr>
          <w:trHeight w:val="340"/>
        </w:trPr>
        <w:tc>
          <w:tcPr>
            <w:tcW w:w="2268" w:type="dxa"/>
            <w:shd w:val="clear" w:color="auto" w:fill="auto"/>
            <w:vAlign w:val="center"/>
            <w:hideMark/>
          </w:tcPr>
          <w:p w14:paraId="24AE9D98"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fldChar w:fldCharType="begin"/>
            </w:r>
            <w:r w:rsidRPr="003F6924">
              <w:rPr>
                <w:rFonts w:ascii="Times New Roman" w:hAnsi="Times New Roman" w:cs="Times New Roman"/>
                <w:color w:val="000000" w:themeColor="text1"/>
              </w:rPr>
              <w:instrText xml:space="preserve"> ADDIN ZOTERO_ITEM CSL_CITATION {"citationID":"VDvTsDqS","properties":{"formattedCitation":"(Huynh, 2025)","plainCitation":"(Huynh, 2025)","noteIndex":0},"citationItems":[{"id":4912,"uris":["http://zotero.org/users/9020985/items/UUY7CNNL"],"itemData":{"id":4912,"type":"article-journal","abstract":"This study explores how digital transformation influences the ability of Vietnamese commercial banks to generate liquidity, utilizing panel data from 2007 to 2022. We adopt rigorous econometric methodologies, including dynamic panel models estimated via the generalized method of moments (GMM) and instrumental variable (IV) techniques, to address potential endogeneity. The analysis reveals that digital innovation in banking significantly boosts liquidity provision through assets, liabilities, and off-balance-sheet instruments. Moreover, the four facets of digitalization—technological infrastructure, skilled personnel, internal system upgrades, and online customer interfaces—all exhibit positive effects on liquidity creation. These outcomes remain robust after applying multiple econometric strategies to mitigate endogeneity concerns. Heterogeneity analysis indicates that banks with diverse operations benefit more from digital advances in terms of liquidity generation. Furthermore, the relationship between digitalization and liquidity creation intensifies in more competitive banking environments and becomes particularly evident during the COVID-19 pandemic, whereas the global financial crisis does not notably alter this linkage.","container-title":"Sage Open","DOI":"10.1177/21582440251390670","ISSN":"2158-2440","issue":"4","language":"EN","note":"publisher: SAGE Publications","page":"21582440251390670","source":"SAGE Journals","title":"Digital Transformation and Bank Liquidity Creation: Evidence From a Bank-Based Market","title-short":"Digital Transformation and Bank Liquidity Creation","volume":"15","author":[{"family":"Huynh","given":"Japan"}],"issued":{"date-parts":[["2025",10,1]]}}}],"schema":"https://github.com/citation-style-language/schema/raw/master/csl-citation.json"} </w:instrText>
            </w:r>
            <w:r w:rsidRPr="003F6924">
              <w:rPr>
                <w:rFonts w:ascii="Times New Roman" w:hAnsi="Times New Roman" w:cs="Times New Roman"/>
                <w:color w:val="000000" w:themeColor="text1"/>
              </w:rPr>
              <w:fldChar w:fldCharType="separate"/>
            </w:r>
            <w:r w:rsidRPr="003F6924">
              <w:rPr>
                <w:rFonts w:ascii="Times New Roman" w:hAnsi="Times New Roman" w:cs="Times New Roman"/>
                <w:noProof/>
                <w:color w:val="000000" w:themeColor="text1"/>
              </w:rPr>
              <w:t xml:space="preserve">Huynh </w:t>
            </w:r>
            <w:r w:rsidR="00071B69" w:rsidRPr="003F6924">
              <w:rPr>
                <w:rFonts w:ascii="Times New Roman" w:hAnsi="Times New Roman" w:cs="Times New Roman"/>
                <w:noProof/>
                <w:color w:val="000000" w:themeColor="text1"/>
              </w:rPr>
              <w:t>(</w:t>
            </w:r>
            <w:r w:rsidRPr="003F6924">
              <w:rPr>
                <w:rFonts w:ascii="Times New Roman" w:hAnsi="Times New Roman" w:cs="Times New Roman"/>
                <w:noProof/>
                <w:color w:val="000000" w:themeColor="text1"/>
              </w:rPr>
              <w:t>2025)</w:t>
            </w:r>
            <w:r w:rsidRPr="003F6924">
              <w:rPr>
                <w:rFonts w:ascii="Times New Roman" w:hAnsi="Times New Roman" w:cs="Times New Roman"/>
                <w:color w:val="000000" w:themeColor="text1"/>
              </w:rPr>
              <w:fldChar w:fldCharType="end"/>
            </w:r>
          </w:p>
        </w:tc>
        <w:tc>
          <w:tcPr>
            <w:tcW w:w="3119" w:type="dxa"/>
            <w:shd w:val="clear" w:color="auto" w:fill="auto"/>
            <w:vAlign w:val="center"/>
            <w:hideMark/>
          </w:tcPr>
          <w:p w14:paraId="59E086EA"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liquidity creation</w:t>
            </w:r>
          </w:p>
        </w:tc>
        <w:tc>
          <w:tcPr>
            <w:tcW w:w="3827" w:type="dxa"/>
            <w:shd w:val="clear" w:color="auto" w:fill="auto"/>
            <w:vAlign w:val="center"/>
            <w:hideMark/>
          </w:tcPr>
          <w:p w14:paraId="15A4AFC7"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Bank digitalization</w:t>
            </w:r>
          </w:p>
        </w:tc>
      </w:tr>
      <w:tr w:rsidR="0046229B" w:rsidRPr="003F6924" w14:paraId="4DBC8B16" w14:textId="77777777" w:rsidTr="00645E51">
        <w:trPr>
          <w:trHeight w:val="340"/>
        </w:trPr>
        <w:tc>
          <w:tcPr>
            <w:tcW w:w="2268" w:type="dxa"/>
            <w:shd w:val="clear" w:color="auto" w:fill="auto"/>
            <w:vAlign w:val="center"/>
            <w:hideMark/>
          </w:tcPr>
          <w:p w14:paraId="6FFA56CB"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fldChar w:fldCharType="begin"/>
            </w:r>
            <w:r w:rsidRPr="003F6924">
              <w:rPr>
                <w:rFonts w:ascii="Times New Roman" w:hAnsi="Times New Roman" w:cs="Times New Roman"/>
                <w:color w:val="000000" w:themeColor="text1"/>
              </w:rPr>
              <w:instrText xml:space="preserve"> ADDIN ZOTERO_ITEM CSL_CITATION {"citationID":"xr9uOiG0","properties":{"formattedCitation":"(Papathomas &amp; Konteos, 2024)","plainCitation":"(Papathomas &amp; Konteos, 2024)","noteIndex":0},"citationItems":[{"id":4927,"uris":["http://zotero.org/users/9020985/items/NRCIMYVZ"],"itemData":{"id":4927,"type":"article-journal","abstract":"This paper examines the stages of the digital transformational path that lies in front of incumbent banks in their conversion into digitally driven institutions and contributes by providing clarity in the parameters that define each stage and the key metrics to be tracked. It is a general review paper, with main tools employed the relevant scholar and grey literature &amp; field observations. The paper identifies three phases for banking institutions’ digital transformation and proceeds with defining the characteristics of the phases and the distinct actions required for an institution to progress through them, employing a set of proposed key tracking indicators. The outcome adds to the, rather limited, academic literature on the subject and can be applied to all relevant banking institutions. Research needs further insides to articulate better the findings and expand them on a cross-examination of relevant theories and approaches. This paper aims at contributing to a growing, contemporary discussion, hopefully assisting in greater collaboration between practitioners and academics.","container-title":"Journal of Financial Services Marketing","DOI":"10.1057/s41264-023-00223-x","ISSN":"1479-1846","issue":"2","journalAbbreviation":"J Financ Serv Mark","language":"en","page":"590-606","source":"Springer Link","title":"Financial institutions digital transformation: the stages of the journey and business metrics to follow","title-short":"Financial institutions digital transformation","volume":"29","author":[{"family":"Papathomas","given":"Aristides"},{"family":"Konteos","given":"George"}],"issued":{"date-parts":[["2024",6,1]]}}}],"schema":"https://github.com/citation-style-language/schema/raw/master/csl-citation.json"} </w:instrText>
            </w:r>
            <w:r w:rsidRPr="003F6924">
              <w:rPr>
                <w:rFonts w:ascii="Times New Roman" w:hAnsi="Times New Roman" w:cs="Times New Roman"/>
                <w:color w:val="000000" w:themeColor="text1"/>
              </w:rPr>
              <w:fldChar w:fldCharType="separate"/>
            </w:r>
            <w:r w:rsidRPr="003F6924">
              <w:rPr>
                <w:rFonts w:ascii="Times New Roman" w:hAnsi="Times New Roman" w:cs="Times New Roman"/>
                <w:noProof/>
                <w:color w:val="000000" w:themeColor="text1"/>
              </w:rPr>
              <w:t xml:space="preserve">Papathomas </w:t>
            </w:r>
            <w:r w:rsidR="0025775B" w:rsidRPr="003F6924">
              <w:rPr>
                <w:rFonts w:ascii="Times New Roman" w:hAnsi="Times New Roman" w:cs="Times New Roman"/>
                <w:noProof/>
                <w:color w:val="000000" w:themeColor="text1"/>
              </w:rPr>
              <w:t>and</w:t>
            </w:r>
            <w:r w:rsidRPr="003F6924">
              <w:rPr>
                <w:rFonts w:ascii="Times New Roman" w:hAnsi="Times New Roman" w:cs="Times New Roman"/>
                <w:noProof/>
                <w:color w:val="000000" w:themeColor="text1"/>
              </w:rPr>
              <w:t xml:space="preserve"> Konteos </w:t>
            </w:r>
            <w:r w:rsidR="00071B69" w:rsidRPr="003F6924">
              <w:rPr>
                <w:rFonts w:ascii="Times New Roman" w:hAnsi="Times New Roman" w:cs="Times New Roman"/>
                <w:noProof/>
                <w:color w:val="000000" w:themeColor="text1"/>
              </w:rPr>
              <w:t>(</w:t>
            </w:r>
            <w:r w:rsidRPr="003F6924">
              <w:rPr>
                <w:rFonts w:ascii="Times New Roman" w:hAnsi="Times New Roman" w:cs="Times New Roman"/>
                <w:noProof/>
                <w:color w:val="000000" w:themeColor="text1"/>
              </w:rPr>
              <w:t>2024)</w:t>
            </w:r>
            <w:r w:rsidRPr="003F6924">
              <w:rPr>
                <w:rFonts w:ascii="Times New Roman" w:hAnsi="Times New Roman" w:cs="Times New Roman"/>
                <w:color w:val="000000" w:themeColor="text1"/>
              </w:rPr>
              <w:fldChar w:fldCharType="end"/>
            </w:r>
            <w:r w:rsidRPr="003F6924">
              <w:rPr>
                <w:rFonts w:ascii="Times New Roman" w:hAnsi="Times New Roman" w:cs="Times New Roman"/>
                <w:color w:val="000000" w:themeColor="text1"/>
              </w:rPr>
              <w:t xml:space="preserve"> </w:t>
            </w:r>
          </w:p>
        </w:tc>
        <w:tc>
          <w:tcPr>
            <w:tcW w:w="3119" w:type="dxa"/>
            <w:shd w:val="clear" w:color="auto" w:fill="auto"/>
            <w:vAlign w:val="center"/>
            <w:hideMark/>
          </w:tcPr>
          <w:p w14:paraId="71E09DE2"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Transformation maturity stage</w:t>
            </w:r>
          </w:p>
        </w:tc>
        <w:tc>
          <w:tcPr>
            <w:tcW w:w="3827" w:type="dxa"/>
            <w:shd w:val="clear" w:color="auto" w:fill="auto"/>
            <w:vAlign w:val="center"/>
            <w:hideMark/>
          </w:tcPr>
          <w:p w14:paraId="5115D5EB"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Strategy, leadership, infrastructure</w:t>
            </w:r>
          </w:p>
        </w:tc>
      </w:tr>
      <w:tr w:rsidR="0046229B" w:rsidRPr="003F6924" w14:paraId="7378954A" w14:textId="77777777" w:rsidTr="00645E51">
        <w:trPr>
          <w:trHeight w:val="564"/>
        </w:trPr>
        <w:tc>
          <w:tcPr>
            <w:tcW w:w="2268" w:type="dxa"/>
            <w:shd w:val="clear" w:color="auto" w:fill="auto"/>
            <w:vAlign w:val="center"/>
            <w:hideMark/>
          </w:tcPr>
          <w:p w14:paraId="5530A85A"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fldChar w:fldCharType="begin"/>
            </w:r>
            <w:r w:rsidRPr="003F6924">
              <w:rPr>
                <w:rFonts w:ascii="Times New Roman" w:hAnsi="Times New Roman" w:cs="Times New Roman"/>
                <w:color w:val="000000" w:themeColor="text1"/>
              </w:rPr>
              <w:instrText xml:space="preserve"> ADDIN ZOTERO_ITEM CSL_CITATION {"citationID":"yTDCOeWg","properties":{"formattedCitation":"(Citterio et al., 2024)","plainCitation":"(Citterio et al., 2024)","noteIndex":0},"citationItems":[{"id":4902,"uris":["http://zotero.org/users/9020985/items/IPF5QEC8"],"itemData":{"id":4902,"type":"article-journal","abstract":"Studies on the impact of digital transformation (DT) on bank performance are typically restricted to single countries and present mixed findings. Using data on 279 EU-27 banks from 2017 to 2022 and employing a novel DT index, we demonstrate that DT is associated with higher bank profitability, and that IT and network efficiency are key drivers. Furthermore, Covid-19 and the level of country IT positively moderate this relationship. Interestingly, additional analyses also reveal nonlinear relationships, which suggest that profitability gains from DT investments can take time to materialize and that there are diminishing marginal returns to some DT investments.","container-title":"Finance Research Letters","DOI":"10.1016/j.frl.2024.106269","ISSN":"1544-6123","journalAbbreviation":"Finance Research Letters","page":"106269","source":"ScienceDirect","title":"Is digital transformation profitable for banks? Evidence from Europe","title-short":"Is digital transformation profitable for banks?","volume":"70","author":[{"family":"Citterio","given":"Alberto"},{"family":"King","given":"Timothy"},{"family":"Locatelli","given":"Rossella"}],"issued":{"date-parts":[["2024",12,1]]}}}],"schema":"https://github.com/citation-style-language/schema/raw/master/csl-citation.json"} </w:instrText>
            </w:r>
            <w:r w:rsidRPr="003F6924">
              <w:rPr>
                <w:rFonts w:ascii="Times New Roman" w:hAnsi="Times New Roman" w:cs="Times New Roman"/>
                <w:color w:val="000000" w:themeColor="text1"/>
              </w:rPr>
              <w:fldChar w:fldCharType="separate"/>
            </w:r>
            <w:r w:rsidRPr="003F6924">
              <w:rPr>
                <w:rFonts w:ascii="Times New Roman" w:hAnsi="Times New Roman" w:cs="Times New Roman"/>
                <w:noProof/>
                <w:color w:val="000000" w:themeColor="text1"/>
              </w:rPr>
              <w:t xml:space="preserve">Citterio et al. </w:t>
            </w:r>
            <w:r w:rsidR="00071B69" w:rsidRPr="003F6924">
              <w:rPr>
                <w:rFonts w:ascii="Times New Roman" w:hAnsi="Times New Roman" w:cs="Times New Roman"/>
                <w:noProof/>
                <w:color w:val="000000" w:themeColor="text1"/>
              </w:rPr>
              <w:t>(</w:t>
            </w:r>
            <w:r w:rsidRPr="003F6924">
              <w:rPr>
                <w:rFonts w:ascii="Times New Roman" w:hAnsi="Times New Roman" w:cs="Times New Roman"/>
                <w:noProof/>
                <w:color w:val="000000" w:themeColor="text1"/>
              </w:rPr>
              <w:t>2024)</w:t>
            </w:r>
            <w:r w:rsidRPr="003F6924">
              <w:rPr>
                <w:rFonts w:ascii="Times New Roman" w:hAnsi="Times New Roman" w:cs="Times New Roman"/>
                <w:color w:val="000000" w:themeColor="text1"/>
              </w:rPr>
              <w:fldChar w:fldCharType="end"/>
            </w:r>
            <w:r w:rsidRPr="003F6924">
              <w:rPr>
                <w:rFonts w:ascii="Times New Roman" w:hAnsi="Times New Roman" w:cs="Times New Roman"/>
                <w:color w:val="000000" w:themeColor="text1"/>
              </w:rPr>
              <w:t xml:space="preserve"> </w:t>
            </w:r>
          </w:p>
        </w:tc>
        <w:tc>
          <w:tcPr>
            <w:tcW w:w="3119" w:type="dxa"/>
            <w:shd w:val="clear" w:color="auto" w:fill="auto"/>
            <w:vAlign w:val="center"/>
            <w:hideMark/>
          </w:tcPr>
          <w:p w14:paraId="46B76AF9"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Profitability (ROA, ROE)</w:t>
            </w:r>
          </w:p>
        </w:tc>
        <w:tc>
          <w:tcPr>
            <w:tcW w:w="3827" w:type="dxa"/>
            <w:shd w:val="clear" w:color="auto" w:fill="auto"/>
            <w:vAlign w:val="center"/>
            <w:hideMark/>
          </w:tcPr>
          <w:p w14:paraId="058FA9FA"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DT adoption index, IT efficiency, network efficiency</w:t>
            </w:r>
          </w:p>
        </w:tc>
      </w:tr>
      <w:tr w:rsidR="0046229B" w:rsidRPr="003F6924" w14:paraId="05BBE0EC" w14:textId="77777777" w:rsidTr="00645E51">
        <w:trPr>
          <w:trHeight w:val="340"/>
        </w:trPr>
        <w:tc>
          <w:tcPr>
            <w:tcW w:w="2268" w:type="dxa"/>
            <w:shd w:val="clear" w:color="auto" w:fill="auto"/>
            <w:vAlign w:val="center"/>
            <w:hideMark/>
          </w:tcPr>
          <w:p w14:paraId="74041DEF"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 xml:space="preserve">X. </w:t>
            </w:r>
            <w:r w:rsidRPr="003F6924">
              <w:rPr>
                <w:rFonts w:ascii="Times New Roman" w:hAnsi="Times New Roman" w:cs="Times New Roman"/>
                <w:color w:val="000000" w:themeColor="text1"/>
              </w:rPr>
              <w:fldChar w:fldCharType="begin"/>
            </w:r>
            <w:r w:rsidRPr="003F6924">
              <w:rPr>
                <w:rFonts w:ascii="Times New Roman" w:hAnsi="Times New Roman" w:cs="Times New Roman"/>
                <w:color w:val="000000" w:themeColor="text1"/>
              </w:rPr>
              <w:instrText xml:space="preserve"> ADDIN ZOTERO_ITEM CSL_CITATION {"citationID":"k40PLhAL","properties":{"formattedCitation":"(X. Wang et al., 2024)","plainCitation":"(X. Wang et al., 2024)","noteIndex":0},"citationItems":[{"id":4910,"uris":["http://zotero.org/users/9020985/items/VZUK6HSI"],"itemData":{"id":4910,"type":"article-journal","abstract":"In the evolving digital economy, digital transformation has emerged as an important strategic choice for enterprises. Their comprehensive and innovative characteristics have instigated a paradigm shift in enterprise governance ideologies and models. However, this transformation has also introduced heightened demands and challenges to enterprise governance mechanisms during the transitional phase. This study examined the influence of digital transformation on enterprise violation risk using data from Chinese A-share listed companies from 2017 to 2021. The analysis revealed an inverted U-shaped relationship between the degree of digital transformation and enterprise violation risk. This relationship was underpinned by three fundamental dimensions: motivation, opportunity, and management attitude. These dimensions were elucidated through mechanisms involving risk perception, management agency costs, and management responsibilities. These conclusions were reached even after rigorous tests for endogeneity and stability. Furthermore, this study probed specific scenarios in which digital transformation influences enterprise violation risk. This finding revealed that internal control mechanisms and external analysts’ attention moderate this relationship. As the effectiveness of internal controls and the attention of external analysts increase, the inflection point of the inverted U-shaped curve shifts to the left, and the curve progressively smoothens. Thus, greater internal control effectiveness and the governance impact of external analysts can positively affect the correlation between digital transformation and enterprise violation risk, thereby facilitating digital resources to empower enterprise governance. This study contributes to the theoretical discourse on the implications of digital transformation for enterprise governance, particularly in the context of evolving market dynamics. It offers valuable insights and recommendations for effectively driving digital transformation processes.","container-title":"Heliyon","DOI":"10.1016/j.heliyon.2024.e39125","ISSN":"2405-8440","issue":"20","journalAbbreviation":"Heliyon","page":"e39125","source":"ScienceDirect","title":"Digital transformation and enterprise violation risk: A ‘motivation-opportunity-attitude’ framework","title-short":"Digital transformation and enterprise violation risk","volume":"10","author":[{"family":"Wang","given":"Xinlan"},{"family":"Wang","given":"Nan"},{"family":"Sun","given":"Weizhang"},{"family":"Xu","given":"Andi"},{"family":"Zhang","given":"Zhiguo"}],"issued":{"date-parts":[["2024",10,30]]}}}],"schema":"https://github.com/citation-style-language/schema/raw/master/csl-citation.json"} </w:instrText>
            </w:r>
            <w:r w:rsidRPr="003F6924">
              <w:rPr>
                <w:rFonts w:ascii="Times New Roman" w:hAnsi="Times New Roman" w:cs="Times New Roman"/>
                <w:color w:val="000000" w:themeColor="text1"/>
              </w:rPr>
              <w:fldChar w:fldCharType="separate"/>
            </w:r>
            <w:r w:rsidRPr="003F6924">
              <w:rPr>
                <w:rFonts w:ascii="Times New Roman" w:hAnsi="Times New Roman" w:cs="Times New Roman"/>
                <w:noProof/>
                <w:color w:val="000000" w:themeColor="text1"/>
              </w:rPr>
              <w:t xml:space="preserve">Wang et al. </w:t>
            </w:r>
            <w:r w:rsidR="00071B69" w:rsidRPr="003F6924">
              <w:rPr>
                <w:rFonts w:ascii="Times New Roman" w:hAnsi="Times New Roman" w:cs="Times New Roman"/>
                <w:noProof/>
                <w:color w:val="000000" w:themeColor="text1"/>
              </w:rPr>
              <w:t>(</w:t>
            </w:r>
            <w:r w:rsidRPr="003F6924">
              <w:rPr>
                <w:rFonts w:ascii="Times New Roman" w:hAnsi="Times New Roman" w:cs="Times New Roman"/>
                <w:noProof/>
                <w:color w:val="000000" w:themeColor="text1"/>
              </w:rPr>
              <w:t>2024)</w:t>
            </w:r>
            <w:r w:rsidRPr="003F6924">
              <w:rPr>
                <w:rFonts w:ascii="Times New Roman" w:hAnsi="Times New Roman" w:cs="Times New Roman"/>
                <w:color w:val="000000" w:themeColor="text1"/>
              </w:rPr>
              <w:fldChar w:fldCharType="end"/>
            </w:r>
          </w:p>
        </w:tc>
        <w:tc>
          <w:tcPr>
            <w:tcW w:w="3119" w:type="dxa"/>
            <w:shd w:val="clear" w:color="auto" w:fill="auto"/>
            <w:vAlign w:val="center"/>
            <w:hideMark/>
          </w:tcPr>
          <w:p w14:paraId="5CFD42F2"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enterprise violation risk</w:t>
            </w:r>
          </w:p>
        </w:tc>
        <w:tc>
          <w:tcPr>
            <w:tcW w:w="3827" w:type="dxa"/>
            <w:shd w:val="clear" w:color="auto" w:fill="auto"/>
            <w:vAlign w:val="center"/>
            <w:hideMark/>
          </w:tcPr>
          <w:p w14:paraId="7AFE381E"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 xml:space="preserve">level of digital transformation </w:t>
            </w:r>
          </w:p>
        </w:tc>
      </w:tr>
      <w:tr w:rsidR="0046229B" w:rsidRPr="003F6924" w14:paraId="2D6136BF" w14:textId="77777777" w:rsidTr="00645E51">
        <w:trPr>
          <w:trHeight w:val="1020"/>
        </w:trPr>
        <w:tc>
          <w:tcPr>
            <w:tcW w:w="2268" w:type="dxa"/>
            <w:shd w:val="clear" w:color="auto" w:fill="auto"/>
            <w:vAlign w:val="center"/>
            <w:hideMark/>
          </w:tcPr>
          <w:p w14:paraId="13B06154"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fldChar w:fldCharType="begin"/>
            </w:r>
            <w:r w:rsidRPr="003F6924">
              <w:rPr>
                <w:rFonts w:ascii="Times New Roman" w:hAnsi="Times New Roman" w:cs="Times New Roman"/>
                <w:color w:val="000000" w:themeColor="text1"/>
              </w:rPr>
              <w:instrText xml:space="preserve"> ADDIN ZOTERO_ITEM CSL_CITATION {"citationID":"7ZQ6IIJb","properties":{"formattedCitation":"(Porf\\uc0\\u237{}rio et al., 2024)","plainCitation":"(Porfírio et al., 2024)","noteIndex":0},"citationItems":[{"id":4932,"uris":["http://zotero.org/users/9020985/items/R369KC2X"],"itemData":{"id":4932,"type":"article-journal","abstract":"This study analyzes the perceived impacts of Digital Transformation (DT) in the banking industry, identifying the factors that most affect banking performance and business volume. Based on the opinion of some board members and the perceptions of 50 bank employees, ground theory is used and fsQCA is applied to identify the factors and configurations between Employees, Internal, and External factors that influence the impact of DT on the performance of Portuguese banks. Research is developed at a micro level putting in evidence the holistic comprehension of the DT process and concluding on the importance of flexibility and management capacity to potentiate the impact of DT in banking, highlighting the crucial importance of the employees’ skills and stakeholders’ digital experience to bypass drawbacks to its potential and contributing to improve management and human resource policies to address DT in the banking industry.","container-title":"Journal of Business Research","DOI":"10.1016/j.jbusres.2023.114393","ISSN":"0148-2963","journalAbbreviation":"Journal of Business Research","page":"114393","source":"ScienceDirect","title":"Factors affecting digital transformation in banking","volume":"171","author":[{"family":"Porfírio","given":"A.J"},{"family":"Felício","given":"A.J"},{"family":"Carrilho","given":"Tiago"}],"issued":{"date-parts":[["2024",1,1]]}}}],"schema":"https://github.com/citation-style-language/schema/raw/master/csl-citation.json"} </w:instrText>
            </w:r>
            <w:r w:rsidRPr="003F6924">
              <w:rPr>
                <w:rFonts w:ascii="Times New Roman" w:hAnsi="Times New Roman" w:cs="Times New Roman"/>
                <w:color w:val="000000" w:themeColor="text1"/>
              </w:rPr>
              <w:fldChar w:fldCharType="separate"/>
            </w:r>
            <w:r w:rsidRPr="003F6924">
              <w:rPr>
                <w:rFonts w:ascii="Times New Roman" w:eastAsiaTheme="minorHAnsi" w:hAnsi="Times New Roman" w:cs="Times New Roman"/>
                <w:color w:val="000000" w:themeColor="text1"/>
                <w:lang w:val="en-US"/>
              </w:rPr>
              <w:t xml:space="preserve">Porfírio et al. </w:t>
            </w:r>
            <w:r w:rsidR="00071B69" w:rsidRPr="003F6924">
              <w:rPr>
                <w:rFonts w:ascii="Times New Roman" w:eastAsiaTheme="minorHAnsi" w:hAnsi="Times New Roman" w:cs="Times New Roman"/>
                <w:color w:val="000000" w:themeColor="text1"/>
                <w:lang w:val="en-US"/>
              </w:rPr>
              <w:t>(</w:t>
            </w:r>
            <w:r w:rsidRPr="003F6924">
              <w:rPr>
                <w:rFonts w:ascii="Times New Roman" w:eastAsiaTheme="minorHAnsi" w:hAnsi="Times New Roman" w:cs="Times New Roman"/>
                <w:color w:val="000000" w:themeColor="text1"/>
                <w:lang w:val="en-US"/>
              </w:rPr>
              <w:t>2024)</w:t>
            </w:r>
            <w:r w:rsidRPr="003F6924">
              <w:rPr>
                <w:rFonts w:ascii="Times New Roman" w:hAnsi="Times New Roman" w:cs="Times New Roman"/>
                <w:color w:val="000000" w:themeColor="text1"/>
              </w:rPr>
              <w:fldChar w:fldCharType="end"/>
            </w:r>
          </w:p>
        </w:tc>
        <w:tc>
          <w:tcPr>
            <w:tcW w:w="3119" w:type="dxa"/>
            <w:shd w:val="clear" w:color="auto" w:fill="auto"/>
            <w:vAlign w:val="center"/>
            <w:hideMark/>
          </w:tcPr>
          <w:p w14:paraId="709291B4"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perceived impact on digital transformation in organizational performance and in business volume</w:t>
            </w:r>
          </w:p>
        </w:tc>
        <w:tc>
          <w:tcPr>
            <w:tcW w:w="3827" w:type="dxa"/>
            <w:shd w:val="clear" w:color="auto" w:fill="auto"/>
            <w:vAlign w:val="center"/>
            <w:hideMark/>
          </w:tcPr>
          <w:p w14:paraId="41EC9D74"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 xml:space="preserve">People, Internal factors, external factors </w:t>
            </w:r>
          </w:p>
        </w:tc>
      </w:tr>
      <w:tr w:rsidR="0046229B" w:rsidRPr="003F6924" w14:paraId="08FEC483" w14:textId="77777777" w:rsidTr="00645E51">
        <w:trPr>
          <w:trHeight w:val="340"/>
        </w:trPr>
        <w:tc>
          <w:tcPr>
            <w:tcW w:w="2268" w:type="dxa"/>
            <w:shd w:val="clear" w:color="auto" w:fill="auto"/>
            <w:vAlign w:val="center"/>
            <w:hideMark/>
          </w:tcPr>
          <w:p w14:paraId="057DFB6E"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fldChar w:fldCharType="begin"/>
            </w:r>
            <w:r w:rsidRPr="003F6924">
              <w:rPr>
                <w:rFonts w:ascii="Times New Roman" w:hAnsi="Times New Roman" w:cs="Times New Roman"/>
                <w:color w:val="000000" w:themeColor="text1"/>
              </w:rPr>
              <w:instrText xml:space="preserve"> ADDIN ZOTERO_ITEM CSL_CITATION {"citationID":"nbzPPPv9","properties":{"formattedCitation":"(Jia &amp; Liu, 2024)","plainCitation":"(Jia &amp; Liu, 2024)","noteIndex":0},"citationItems":[{"id":4906,"uris":["http://zotero.org/users/9020985/items/KDIEBWV7"],"itemData":{"id":4906,"type":"article-journal","abstract":"The aim of this paper is to analyze the impact of the digital transformation of banks on their systemic risks.We find that the digital transformation of commercial banks can significantly inhibit the systemic risk of banks, and this conclusion is still valid after considering the endogeneity of the model. The bank's digital transformation reduces its systemic risk by increasing its own competitiveness. Further analysis shows that the reduction of banks' marginal costs due to digital transformation is a key factor in promoting banks' competitiveness as the mechanism by which digital transformation reduces banks' systemic risk. The role of bank digital transformation in reducing systemic risk is heterogeneous, which is more obvious in large commercial banks, commercial banks that have not established financial technology subsidiaries, and systemically important banks.","container-title":"Frontiers in Physics","DOI":"10.3389/fphy.2023.1297912","ISSN":"2296-424X","journalAbbreviation":"Front. Phys.","language":"English","note":"publisher: Frontiers","source":"Frontiers","title":"Bank digital transformation, bank competitiveness and systemic risk","URL":"https://www.frontiersin.org/journals/physics/articles/10.3389/fphy.2023.1297912/full","volume":"11","author":[{"family":"Jia","given":"Kaiwei"},{"family":"Liu","given":"Xinbei"}],"accessed":{"date-parts":[["2025",11,1]]},"issued":{"date-parts":[["2024",1,11]]}}}],"schema":"https://github.com/citation-style-language/schema/raw/master/csl-citation.json"} </w:instrText>
            </w:r>
            <w:r w:rsidRPr="003F6924">
              <w:rPr>
                <w:rFonts w:ascii="Times New Roman" w:hAnsi="Times New Roman" w:cs="Times New Roman"/>
                <w:color w:val="000000" w:themeColor="text1"/>
              </w:rPr>
              <w:fldChar w:fldCharType="separate"/>
            </w:r>
            <w:r w:rsidRPr="003F6924">
              <w:rPr>
                <w:rFonts w:ascii="Times New Roman" w:hAnsi="Times New Roman" w:cs="Times New Roman"/>
                <w:noProof/>
                <w:color w:val="000000" w:themeColor="text1"/>
              </w:rPr>
              <w:t xml:space="preserve">Jia </w:t>
            </w:r>
            <w:r w:rsidR="0025775B" w:rsidRPr="003F6924">
              <w:rPr>
                <w:rFonts w:ascii="Times New Roman" w:hAnsi="Times New Roman" w:cs="Times New Roman"/>
                <w:noProof/>
                <w:color w:val="000000" w:themeColor="text1"/>
              </w:rPr>
              <w:t>and</w:t>
            </w:r>
            <w:r w:rsidRPr="003F6924">
              <w:rPr>
                <w:rFonts w:ascii="Times New Roman" w:hAnsi="Times New Roman" w:cs="Times New Roman"/>
                <w:noProof/>
                <w:color w:val="000000" w:themeColor="text1"/>
              </w:rPr>
              <w:t xml:space="preserve"> Liu </w:t>
            </w:r>
            <w:r w:rsidR="00071B69" w:rsidRPr="003F6924">
              <w:rPr>
                <w:rFonts w:ascii="Times New Roman" w:hAnsi="Times New Roman" w:cs="Times New Roman"/>
                <w:noProof/>
                <w:color w:val="000000" w:themeColor="text1"/>
              </w:rPr>
              <w:t>(</w:t>
            </w:r>
            <w:r w:rsidRPr="003F6924">
              <w:rPr>
                <w:rFonts w:ascii="Times New Roman" w:hAnsi="Times New Roman" w:cs="Times New Roman"/>
                <w:noProof/>
                <w:color w:val="000000" w:themeColor="text1"/>
              </w:rPr>
              <w:t>2024)</w:t>
            </w:r>
            <w:r w:rsidRPr="003F6924">
              <w:rPr>
                <w:rFonts w:ascii="Times New Roman" w:hAnsi="Times New Roman" w:cs="Times New Roman"/>
                <w:color w:val="000000" w:themeColor="text1"/>
              </w:rPr>
              <w:fldChar w:fldCharType="end"/>
            </w:r>
          </w:p>
        </w:tc>
        <w:tc>
          <w:tcPr>
            <w:tcW w:w="3119" w:type="dxa"/>
            <w:shd w:val="clear" w:color="auto" w:fill="auto"/>
            <w:vAlign w:val="center"/>
            <w:hideMark/>
          </w:tcPr>
          <w:p w14:paraId="4D236DB9"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Systemic risk, market share volatility</w:t>
            </w:r>
          </w:p>
        </w:tc>
        <w:tc>
          <w:tcPr>
            <w:tcW w:w="3827" w:type="dxa"/>
            <w:shd w:val="clear" w:color="auto" w:fill="auto"/>
            <w:vAlign w:val="center"/>
            <w:hideMark/>
          </w:tcPr>
          <w:p w14:paraId="633525FA"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DT intensity (AI, cloud)</w:t>
            </w:r>
          </w:p>
        </w:tc>
      </w:tr>
      <w:tr w:rsidR="0046229B" w:rsidRPr="003F6924" w14:paraId="55BB60B1" w14:textId="77777777" w:rsidTr="00645E51">
        <w:trPr>
          <w:trHeight w:val="340"/>
        </w:trPr>
        <w:tc>
          <w:tcPr>
            <w:tcW w:w="2268" w:type="dxa"/>
            <w:shd w:val="clear" w:color="auto" w:fill="auto"/>
            <w:vAlign w:val="center"/>
            <w:hideMark/>
          </w:tcPr>
          <w:p w14:paraId="30C57D27"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fldChar w:fldCharType="begin"/>
            </w:r>
            <w:r w:rsidRPr="003F6924">
              <w:rPr>
                <w:rFonts w:ascii="Times New Roman" w:hAnsi="Times New Roman" w:cs="Times New Roman"/>
                <w:color w:val="000000" w:themeColor="text1"/>
              </w:rPr>
              <w:instrText xml:space="preserve"> ADDIN ZOTERO_ITEM CSL_CITATION {"citationID":"FONS24K1","properties":{"formattedCitation":"(Cao et al., 2022)","plainCitation":"(Cao et al., 2022)","noteIndex":0},"citationItems":[{"id":4929,"uris":["http://zotero.org/users/9020985/items/8HK2UZ9L"],"itemData":{"id":4929,"type":"article-journal","abstract":"This paper studies the impact of digital transformation on the ex post risk differentiation of large and small banks, measured by nonperforming loan (NPL) ratios. It uses the Digital Transformation Index of Commercial Banks compiled by the Institute of Digital Finance of Peking University, which contains data on three dimensions—cognition, organization and products—for 97 banks from 2011 to 2018. The three main findings are: (1) the digital transformation of cognition and organization only affects the NPL ratio through the digital transformation of products; (2) the digital transformation of products only increases the NPL ratio of small banks, but not large banks; and (3) the reason for the above results is that, in fulfillment of the mandatory requirement of lending to the micro-, small, and medium-sized enterprises (MSMEs), digital transformation makes it easier for large banks to discount commercial bills held by MSMEs, thereby pushing small banks to extend corporate loans to MSMEs, which have higher risks.","container-title":"Asian Economic Papers","DOI":"10.1162/asep_a_00853","ISSN":"1535-3516","issue":"3","journalAbbreviation":"Asian Economic Papers","page":"1-21","source":"Silverchair","title":"Digital Transformation and Risk Differentiation in the Banking Industry: Evidence from Chinese Commercial Banks","title-short":"Digital Transformation and Risk Differentiation in the Banking Industry","volume":"21","author":[{"family":"Cao","given":"Xinran"},{"family":"Han","given":"Boyu"},{"family":"Huang","given":"Yiping"},{"family":"Xie","given":"Xuanli"}],"issued":{"date-parts":[["2022",10,5]]}}}],"schema":"https://github.com/citation-style-language/schema/raw/master/csl-citation.json"} </w:instrText>
            </w:r>
            <w:r w:rsidRPr="003F6924">
              <w:rPr>
                <w:rFonts w:ascii="Times New Roman" w:hAnsi="Times New Roman" w:cs="Times New Roman"/>
                <w:color w:val="000000" w:themeColor="text1"/>
              </w:rPr>
              <w:fldChar w:fldCharType="separate"/>
            </w:r>
            <w:r w:rsidRPr="003F6924">
              <w:rPr>
                <w:rFonts w:ascii="Times New Roman" w:hAnsi="Times New Roman" w:cs="Times New Roman"/>
                <w:noProof/>
                <w:color w:val="000000" w:themeColor="text1"/>
              </w:rPr>
              <w:t xml:space="preserve">Cao et al. </w:t>
            </w:r>
            <w:r w:rsidR="00071B69" w:rsidRPr="003F6924">
              <w:rPr>
                <w:rFonts w:ascii="Times New Roman" w:hAnsi="Times New Roman" w:cs="Times New Roman"/>
                <w:noProof/>
                <w:color w:val="000000" w:themeColor="text1"/>
              </w:rPr>
              <w:t>(</w:t>
            </w:r>
            <w:r w:rsidRPr="003F6924">
              <w:rPr>
                <w:rFonts w:ascii="Times New Roman" w:hAnsi="Times New Roman" w:cs="Times New Roman"/>
                <w:noProof/>
                <w:color w:val="000000" w:themeColor="text1"/>
              </w:rPr>
              <w:t>2022)</w:t>
            </w:r>
            <w:r w:rsidRPr="003F6924">
              <w:rPr>
                <w:rFonts w:ascii="Times New Roman" w:hAnsi="Times New Roman" w:cs="Times New Roman"/>
                <w:color w:val="000000" w:themeColor="text1"/>
              </w:rPr>
              <w:fldChar w:fldCharType="end"/>
            </w:r>
          </w:p>
        </w:tc>
        <w:tc>
          <w:tcPr>
            <w:tcW w:w="3119" w:type="dxa"/>
            <w:shd w:val="clear" w:color="auto" w:fill="auto"/>
            <w:vAlign w:val="center"/>
            <w:hideMark/>
          </w:tcPr>
          <w:p w14:paraId="235F176A"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Non-performing loan ratio</w:t>
            </w:r>
          </w:p>
        </w:tc>
        <w:tc>
          <w:tcPr>
            <w:tcW w:w="3827" w:type="dxa"/>
            <w:shd w:val="clear" w:color="auto" w:fill="auto"/>
            <w:vAlign w:val="center"/>
            <w:hideMark/>
          </w:tcPr>
          <w:p w14:paraId="1211F39C" w14:textId="77777777" w:rsidR="00EF6E62" w:rsidRPr="003F6924" w:rsidRDefault="00B543E4" w:rsidP="00D55894">
            <w:pPr>
              <w:spacing w:after="0" w:line="240" w:lineRule="auto"/>
              <w:rPr>
                <w:rFonts w:ascii="Times New Roman" w:hAnsi="Times New Roman" w:cs="Times New Roman"/>
                <w:color w:val="000000" w:themeColor="text1"/>
              </w:rPr>
            </w:pPr>
            <w:r w:rsidRPr="003F6924">
              <w:rPr>
                <w:rFonts w:ascii="Times New Roman" w:hAnsi="Times New Roman" w:cs="Times New Roman"/>
                <w:color w:val="000000" w:themeColor="text1"/>
              </w:rPr>
              <w:t>DT index (digital investment, analytics)</w:t>
            </w:r>
          </w:p>
        </w:tc>
      </w:tr>
    </w:tbl>
    <w:p w14:paraId="107948E9" w14:textId="201C1B87" w:rsidR="00EF6E62" w:rsidRPr="003F6924" w:rsidRDefault="004B3394" w:rsidP="005723B1">
      <w:pPr>
        <w:snapToGrid w:val="0"/>
        <w:spacing w:after="0" w:line="300" w:lineRule="auto"/>
        <w:rPr>
          <w:rFonts w:ascii="Times New Roman" w:hAnsi="Times New Roman" w:cs="Times New Roman"/>
          <w:color w:val="000000" w:themeColor="text1"/>
          <w:sz w:val="24"/>
          <w:szCs w:val="24"/>
          <w:lang w:val="en-US"/>
        </w:rPr>
      </w:pPr>
      <w:r w:rsidRPr="003F6924">
        <w:rPr>
          <w:rFonts w:ascii="Times New Roman" w:hAnsi="Times New Roman" w:cs="Times New Roman"/>
          <w:i/>
          <w:iCs/>
          <w:color w:val="000000" w:themeColor="text1"/>
          <w:sz w:val="24"/>
          <w:szCs w:val="24"/>
          <w:lang w:val="en-US"/>
        </w:rPr>
        <w:t>Source</w:t>
      </w:r>
      <w:r w:rsidR="003F6924" w:rsidRPr="003F6924">
        <w:rPr>
          <w:rFonts w:ascii="Times New Roman" w:hAnsi="Times New Roman" w:cs="Times New Roman" w:hint="eastAsia"/>
          <w:i/>
          <w:iCs/>
          <w:color w:val="000000" w:themeColor="text1"/>
          <w:sz w:val="24"/>
          <w:szCs w:val="24"/>
          <w:lang w:val="en-US" w:eastAsia="zh-TW"/>
        </w:rPr>
        <w:t>.</w:t>
      </w:r>
      <w:r w:rsidRPr="003F6924">
        <w:rPr>
          <w:rFonts w:ascii="Times New Roman" w:hAnsi="Times New Roman" w:cs="Times New Roman"/>
          <w:color w:val="000000" w:themeColor="text1"/>
          <w:sz w:val="24"/>
          <w:szCs w:val="24"/>
          <w:lang w:val="en-US"/>
        </w:rPr>
        <w:t xml:space="preserve"> Authors</w:t>
      </w:r>
      <w:r w:rsidR="003F6924" w:rsidRPr="003F6924">
        <w:rPr>
          <w:rFonts w:ascii="Times New Roman" w:hAnsi="Times New Roman" w:cs="Times New Roman"/>
          <w:color w:val="000000" w:themeColor="text1"/>
          <w:sz w:val="24"/>
          <w:szCs w:val="24"/>
          <w:lang w:val="en-US" w:eastAsia="zh-TW"/>
        </w:rPr>
        <w:t>’</w:t>
      </w:r>
      <w:r w:rsidRPr="003F6924">
        <w:rPr>
          <w:rFonts w:ascii="Times New Roman" w:hAnsi="Times New Roman" w:cs="Times New Roman"/>
          <w:color w:val="000000" w:themeColor="text1"/>
          <w:sz w:val="24"/>
          <w:szCs w:val="24"/>
          <w:lang w:val="en-US"/>
        </w:rPr>
        <w:t xml:space="preserve"> collection</w:t>
      </w:r>
    </w:p>
    <w:p w14:paraId="66420D91" w14:textId="77777777" w:rsidR="00807B4B" w:rsidRDefault="00807B4B" w:rsidP="005723B1">
      <w:pPr>
        <w:snapToGrid w:val="0"/>
        <w:spacing w:after="0" w:line="300" w:lineRule="auto"/>
        <w:jc w:val="center"/>
        <w:rPr>
          <w:rFonts w:ascii="Times New Roman" w:hAnsi="Times New Roman" w:cs="Times New Roman"/>
          <w:b/>
          <w:bCs/>
          <w:color w:val="000000" w:themeColor="text1"/>
          <w:sz w:val="26"/>
          <w:szCs w:val="26"/>
          <w:lang w:val="en-US"/>
        </w:rPr>
      </w:pPr>
    </w:p>
    <w:p w14:paraId="17EEC79F" w14:textId="3132004B" w:rsidR="00F65F90" w:rsidRPr="003F6924" w:rsidRDefault="00B543E4" w:rsidP="005723B1">
      <w:pPr>
        <w:snapToGrid w:val="0"/>
        <w:spacing w:after="0" w:line="300" w:lineRule="auto"/>
        <w:jc w:val="center"/>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THEORETICAL BACKGROUND</w:t>
      </w:r>
    </w:p>
    <w:p w14:paraId="3E6CE259" w14:textId="77777777" w:rsidR="00EF6E62" w:rsidRPr="003F6924" w:rsidRDefault="00B543E4" w:rsidP="004B3394">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This study integrates the TOE, DOI, RBV, and DC frameworks to analyze the determinants of digital transformation (DT) in </w:t>
      </w:r>
      <w:r w:rsidR="004B385F" w:rsidRPr="003F6924">
        <w:rPr>
          <w:rFonts w:ascii="Times New Roman" w:hAnsi="Times New Roman" w:cs="Times New Roman"/>
          <w:color w:val="000000" w:themeColor="text1"/>
          <w:sz w:val="26"/>
          <w:szCs w:val="26"/>
          <w:lang w:val="en-US"/>
        </w:rPr>
        <w:t>Vietnam’s</w:t>
      </w:r>
      <w:r w:rsidRPr="003F6924">
        <w:rPr>
          <w:rFonts w:ascii="Times New Roman" w:hAnsi="Times New Roman" w:cs="Times New Roman"/>
          <w:color w:val="000000" w:themeColor="text1"/>
          <w:sz w:val="26"/>
          <w:szCs w:val="26"/>
          <w:lang w:val="en-US"/>
        </w:rPr>
        <w:t xml:space="preserve"> banking sector. </w:t>
      </w:r>
    </w:p>
    <w:p w14:paraId="72344406" w14:textId="77777777" w:rsidR="00684A04" w:rsidRPr="003F6924" w:rsidRDefault="00684A04" w:rsidP="00684A04">
      <w:pPr>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5A229642" w14:textId="77777777" w:rsidR="00EF6E62" w:rsidRPr="003F6924" w:rsidRDefault="00B543E4" w:rsidP="004B3394">
      <w:pPr>
        <w:snapToGrid w:val="0"/>
        <w:spacing w:after="0" w:line="300" w:lineRule="auto"/>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Technology – Organization – Environment (TOE) model and Diffusion of Innovation (DOI)</w:t>
      </w:r>
    </w:p>
    <w:p w14:paraId="7BEB5A62" w14:textId="4BBA4892" w:rsidR="00E010C3" w:rsidRPr="003F6924" w:rsidRDefault="00B543E4" w:rsidP="004B3394">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The Technology–Organization–Environment (TOE) framework, originally proposed by DePietro et al. (1990), serves as a foundational model for examining the adoption of technological innovation within firms. Accordingly, the framework identifies three primary settings that affect the adoption and implementation of technical innovations inside a firm: (i) the technological context; (ii) the organizational context; and (iii) the environmental context. According to </w:t>
      </w:r>
      <w:r w:rsidR="005536C5" w:rsidRPr="003F6924">
        <w:rPr>
          <w:rFonts w:ascii="Times New Roman" w:hAnsi="Times New Roman" w:cs="Times New Roman"/>
          <w:color w:val="000000" w:themeColor="text1"/>
          <w:sz w:val="26"/>
          <w:szCs w:val="26"/>
          <w:lang w:val="en-US"/>
        </w:rPr>
        <w:t xml:space="preserve">T.H. </w:t>
      </w:r>
      <w:r w:rsidRPr="003F6924">
        <w:rPr>
          <w:rFonts w:ascii="Times New Roman" w:hAnsi="Times New Roman" w:cs="Times New Roman"/>
          <w:color w:val="000000" w:themeColor="text1"/>
          <w:sz w:val="26"/>
          <w:szCs w:val="26"/>
          <w:lang w:val="en-US"/>
        </w:rPr>
        <w:t xml:space="preserve">Nguyen et al. (2022), the technical background illustrates the current technologies employed and the emerging technologies pertinent to each company. Within the TOE framework, the organizational context </w:t>
      </w:r>
      <w:r w:rsidR="00BF088E" w:rsidRPr="00BF088E">
        <w:rPr>
          <w:rFonts w:ascii="Times New Roman" w:hAnsi="Times New Roman" w:cs="Times New Roman"/>
          <w:color w:val="000000" w:themeColor="text1"/>
          <w:sz w:val="26"/>
          <w:szCs w:val="26"/>
          <w:lang w:val="en-US"/>
        </w:rPr>
        <w:t>captures</w:t>
      </w:r>
      <w:r w:rsidRPr="003F6924">
        <w:rPr>
          <w:rFonts w:ascii="Times New Roman" w:hAnsi="Times New Roman" w:cs="Times New Roman"/>
          <w:color w:val="000000" w:themeColor="text1"/>
          <w:sz w:val="26"/>
          <w:szCs w:val="26"/>
          <w:lang w:val="en-US"/>
        </w:rPr>
        <w:t xml:space="preserve"> firm-specific characteristics</w:t>
      </w:r>
      <w:r w:rsidR="00BF088E">
        <w:rPr>
          <w:rFonts w:ascii="Times New Roman" w:hAnsi="Times New Roman" w:cs="Times New Roman"/>
          <w:color w:val="000000" w:themeColor="text1"/>
          <w:sz w:val="26"/>
          <w:szCs w:val="26"/>
          <w:lang w:val="en-US"/>
        </w:rPr>
        <w:t>,</w:t>
      </w:r>
      <w:r w:rsidRPr="003F6924">
        <w:rPr>
          <w:rFonts w:ascii="Times New Roman" w:hAnsi="Times New Roman" w:cs="Times New Roman"/>
          <w:color w:val="000000" w:themeColor="text1"/>
          <w:sz w:val="26"/>
          <w:szCs w:val="26"/>
          <w:lang w:val="en-US"/>
        </w:rPr>
        <w:t xml:space="preserve"> </w:t>
      </w:r>
      <w:r w:rsidR="00BF088E" w:rsidRPr="00BF088E">
        <w:rPr>
          <w:rFonts w:ascii="Times New Roman" w:hAnsi="Times New Roman" w:cs="Times New Roman"/>
          <w:color w:val="000000" w:themeColor="text1"/>
          <w:sz w:val="26"/>
          <w:szCs w:val="26"/>
          <w:lang w:val="en-US"/>
        </w:rPr>
        <w:t>including</w:t>
      </w:r>
      <w:r w:rsidRPr="003F6924">
        <w:rPr>
          <w:rFonts w:ascii="Times New Roman" w:hAnsi="Times New Roman" w:cs="Times New Roman"/>
          <w:color w:val="000000" w:themeColor="text1"/>
          <w:sz w:val="26"/>
          <w:szCs w:val="26"/>
          <w:lang w:val="en-US"/>
        </w:rPr>
        <w:t xml:space="preserve"> size, scope, and resource availability. In contrast, the environmental context represents the broader business landscape, including industry competition, regulatory conditions, and governmental influence. The technology-organization-environment model has been frequently applied in the literature on technological adoption. For instance, Hashimy et al. (2023) clarified the blockchain adoption process by examining it from several technological, organizational, and environmental perspectives. Similarly, Khan et al. (2021) extended the technology-organization-environment framework to shed light on how companies behave when they adopt and use mobile payment systems. Tajudeen et al. (2018), employing the technology-organization-environment framework in their research, identified that factors related to technology, organization, and environment significantly influence the utilization of social media for comprehending customer needs and enhancing organizational communication and public relations. </w:t>
      </w:r>
    </w:p>
    <w:p w14:paraId="0EF75DD6" w14:textId="313C262C" w:rsidR="00EF6E62" w:rsidRPr="003F6924" w:rsidRDefault="00B543E4" w:rsidP="00684A04">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The diffusion of innovation (DOI) was introduced by Rogers (1995). Accordingly, the adoption of digital innovations is influenced by five key factors: relative advantage, compatibility, complexity, trialability, and observability. Schmitt et al. (2019) showed that the technology-organization-environment framework aligns with the diffusion of innovation theory and has received substantial empirical validation since its inception, as both models address technology adoption at the firm level. In the realm of digital transformation, these characteristics can </w:t>
      </w:r>
      <w:r w:rsidR="00BF088E">
        <w:rPr>
          <w:rFonts w:ascii="Times New Roman" w:hAnsi="Times New Roman" w:cs="Times New Roman"/>
          <w:color w:val="000000" w:themeColor="text1"/>
          <w:sz w:val="26"/>
          <w:szCs w:val="26"/>
          <w:lang w:val="en-US"/>
        </w:rPr>
        <w:t>shape</w:t>
      </w:r>
      <w:r w:rsidRPr="003F6924">
        <w:rPr>
          <w:rFonts w:ascii="Times New Roman" w:hAnsi="Times New Roman" w:cs="Times New Roman"/>
          <w:color w:val="000000" w:themeColor="text1"/>
          <w:sz w:val="26"/>
          <w:szCs w:val="26"/>
          <w:lang w:val="en-US"/>
        </w:rPr>
        <w:t xml:space="preserve"> banking institutions' attitudes and actions toward adopting emerging technologies. Innovations that enhance operational efficiency and align well with existing systems have a higher likelihood of adoption (Fairooz </w:t>
      </w:r>
      <w:r w:rsidR="00F377A7" w:rsidRPr="003F6924">
        <w:rPr>
          <w:rFonts w:ascii="Times New Roman" w:hAnsi="Times New Roman" w:cs="Times New Roman"/>
          <w:color w:val="000000" w:themeColor="text1"/>
          <w:sz w:val="26"/>
          <w:szCs w:val="26"/>
          <w:lang w:val="vi-VN"/>
        </w:rPr>
        <w:t>&amp;</w:t>
      </w:r>
      <w:r w:rsidRPr="003F6924">
        <w:rPr>
          <w:rFonts w:ascii="Times New Roman" w:hAnsi="Times New Roman" w:cs="Times New Roman"/>
          <w:color w:val="000000" w:themeColor="text1"/>
          <w:sz w:val="26"/>
          <w:szCs w:val="26"/>
          <w:lang w:val="en-US"/>
        </w:rPr>
        <w:t xml:space="preserve"> Wickramasinghe, 2019). In the context of Vietnam’s banking sector, the diffusion of innovation theory elucidates variations in adoption rates, particularly in relation to differing levels of technological readiness, organizational culture, and market pressure among organizations</w:t>
      </w:r>
      <w:r w:rsidR="005330B2" w:rsidRPr="003F6924">
        <w:rPr>
          <w:rFonts w:ascii="Times New Roman" w:hAnsi="Times New Roman" w:cs="Times New Roman"/>
          <w:color w:val="000000" w:themeColor="text1"/>
          <w:sz w:val="26"/>
          <w:szCs w:val="26"/>
          <w:lang w:val="en-US"/>
        </w:rPr>
        <w:t>.</w:t>
      </w:r>
      <w:r w:rsidRPr="003F6924">
        <w:rPr>
          <w:rFonts w:ascii="Times New Roman" w:hAnsi="Times New Roman" w:cs="Times New Roman"/>
          <w:color w:val="000000" w:themeColor="text1"/>
          <w:sz w:val="26"/>
          <w:szCs w:val="26"/>
          <w:lang w:val="en-US"/>
        </w:rPr>
        <w:t xml:space="preserve"> </w:t>
      </w:r>
    </w:p>
    <w:p w14:paraId="42D79483" w14:textId="77777777" w:rsidR="00684A04" w:rsidRPr="003F6924" w:rsidRDefault="00684A04" w:rsidP="00794E60">
      <w:pPr>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63694126" w14:textId="13B66A8F" w:rsidR="00EF6E62" w:rsidRPr="003F6924" w:rsidRDefault="00B543E4" w:rsidP="005723B1">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Resource-based view (RBV) and Dynamic </w:t>
      </w:r>
      <w:r w:rsidR="00673588" w:rsidRPr="003F6924">
        <w:rPr>
          <w:rFonts w:ascii="Times New Roman" w:hAnsi="Times New Roman" w:cs="Times New Roman"/>
          <w:b/>
          <w:bCs/>
          <w:color w:val="000000" w:themeColor="text1"/>
          <w:sz w:val="26"/>
          <w:szCs w:val="26"/>
          <w:lang w:val="en-US"/>
        </w:rPr>
        <w:t>Capability Theor</w:t>
      </w:r>
      <w:r w:rsidRPr="003F6924">
        <w:rPr>
          <w:rFonts w:ascii="Times New Roman" w:hAnsi="Times New Roman" w:cs="Times New Roman"/>
          <w:b/>
          <w:bCs/>
          <w:color w:val="000000" w:themeColor="text1"/>
          <w:sz w:val="26"/>
          <w:szCs w:val="26"/>
          <w:lang w:val="en-US"/>
        </w:rPr>
        <w:t>y (DC)</w:t>
      </w:r>
    </w:p>
    <w:p w14:paraId="57F54DA8" w14:textId="7B91DF6E"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According to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{"citationID":"YITbv2hA","properties":{"formattedCitation":"(Barney et al., 2001)","plainCitation":"(Barney et al., 2001)","dontUpdate":true,"noteIndex":0},"citationItems":[{"id":4299,"uris":["http://zotero.org/users/9020985/items/XQL4FRBH"],"itemData":{"id":4299,"type":"article-journal","abstract":"At present, the resource-based view of the firm is perhaps the most influential framework for understanding strategic management. In this editor’s introduction, we briefly describe the contributions to knowledge provided by the commentaries and articles contained in this issue. In addition, we outline some additional areas of research wherein the resource-based view can be gainfully deployed.","container-title":"Journal of Management","DOI":"10.1177/014920630102700601","ISSN":"0149-2063","issue":"6","language":"EN","note":"publisher: SAGE Publications Inc","page":"625-641","source":"SAGE Journals","title":"The resource-based view of the firm: Ten years after 1991","title-short":"The resource-based view of the firm","volume":"27","author":[{"family":"Barney","given":"Jay"},{"family":"Wright","given":"Mike"},{"family":"KetchenJr.","given":"David J."}],"issued":{"date-parts":[["2001",12,1]]}}}],"schema":"https://github.com/citation-style-language/schema/raw/master/csl-citation.json"}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Barney et al. (2001)</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t>
      </w:r>
      <w:r w:rsidR="00106D48" w:rsidRPr="003F6924">
        <w:rPr>
          <w:rFonts w:ascii="Times New Roman" w:hAnsi="Times New Roman" w:cs="Times New Roman"/>
          <w:color w:val="000000" w:themeColor="text1"/>
          <w:sz w:val="26"/>
          <w:szCs w:val="26"/>
          <w:lang w:val="en-US"/>
        </w:rPr>
        <w:t>the Resource-Based View (RBV) explains how firms achieve and sustain competitive advantage by leveraging distinctive internal resources and capabilities</w:t>
      </w:r>
      <w:r w:rsidRPr="003F6924">
        <w:rPr>
          <w:rFonts w:ascii="Times New Roman" w:hAnsi="Times New Roman" w:cs="Times New Roman"/>
          <w:color w:val="000000" w:themeColor="text1"/>
          <w:sz w:val="26"/>
          <w:szCs w:val="26"/>
          <w:lang w:val="en-US"/>
        </w:rPr>
        <w:t xml:space="preserve">. On the other hand, the Dynamic Capabilities (DC) theory expands this viewpoint by highlighting the necessity for firms to consistently adapt, reconfigure, and integrate resources in response to rapid technological change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{"citationID":"U8qSkQR8","properties":{"formattedCitation":"(Teece, 2018)","plainCitation":"(Teece, 2018)","noteIndex":0},"citationItems":[{"id":4300,"uris":["http://zotero.org/users/9020985/items/7VJDKXGY"],"itemData":{"id":4300,"type":"article-journal","abstract":"Business models, dynamic capabilities, and strategy are interdependent. The strength of a firm's dynamic capabilities help shape its proficiency at business model design. Through its effect on organization design, a business model influences the firm's dynamic capabilities and places bounds on the feasibility of particular strategies. While these relationships are understood at a theoretical level, there is a need for future empirical work to flesh out the details. In particular, studies that provide a better understanding of business model innovation, implementation, and change will also shed light on important aspects of dynamic capabilities.","container-title":"Long Range Planning","DOI":"10.1016/j.lrp.2017.06.007","ISSN":"0024-6301","issue":"1","journalAbbreviation":"Long Range Planning","page":"40-49","source":"ScienceDirect","title":"Business models and dynamic capabilities","volume":"51","author":[{"family":"Teece","given":"David J."}],"issued":{"date-parts":[["2018",2,1]]}}}],"schema":"https://github.com/citation-style-language/schema/raw/master/csl-citation.json"}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(Teece, 2018)</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t>
      </w:r>
      <w:r w:rsidR="00106D48" w:rsidRPr="003F6924">
        <w:rPr>
          <w:rFonts w:ascii="Times New Roman" w:hAnsi="Times New Roman" w:cs="Times New Roman"/>
          <w:color w:val="000000" w:themeColor="text1"/>
          <w:sz w:val="26"/>
          <w:szCs w:val="26"/>
          <w:lang w:val="en-US"/>
        </w:rPr>
        <w:t>The RBV is widely recognized as a foundational theory for understanding how firms build and maintain competitive advantage through the effective deployment of valuable, rare, and inimitable resources</w:t>
      </w:r>
      <w:r w:rsidRPr="003F6924">
        <w:rPr>
          <w:rFonts w:ascii="Times New Roman" w:hAnsi="Times New Roman" w:cs="Times New Roman"/>
          <w:color w:val="000000" w:themeColor="text1"/>
          <w:sz w:val="26"/>
          <w:szCs w:val="26"/>
          <w:lang w:val="en-US"/>
        </w:rPr>
        <w:t xml:space="preserve">. </w:t>
      </w:r>
      <w:r w:rsidR="00106D48" w:rsidRPr="003F6924">
        <w:rPr>
          <w:rFonts w:ascii="Times New Roman" w:hAnsi="Times New Roman" w:cs="Times New Roman"/>
          <w:color w:val="000000" w:themeColor="text1"/>
          <w:sz w:val="26"/>
          <w:szCs w:val="26"/>
          <w:lang w:val="en-US"/>
        </w:rPr>
        <w:t>Teece (2018) further emphasized that the Dynamic Capabilities (DC) framework provides the foundation for firms to integrate, reconfigure, and renew their resources in response to technological and market changes</w:t>
      </w:r>
      <w:r w:rsidRPr="003F6924">
        <w:rPr>
          <w:rFonts w:ascii="Times New Roman" w:hAnsi="Times New Roman" w:cs="Times New Roman"/>
          <w:color w:val="000000" w:themeColor="text1"/>
          <w:sz w:val="26"/>
          <w:szCs w:val="26"/>
          <w:lang w:val="en-US"/>
        </w:rPr>
        <w:t xml:space="preserve">. </w:t>
      </w:r>
      <w:r w:rsidR="00106D48" w:rsidRPr="003F6924">
        <w:rPr>
          <w:rFonts w:ascii="Times New Roman" w:hAnsi="Times New Roman" w:cs="Times New Roman"/>
          <w:color w:val="000000" w:themeColor="text1"/>
          <w:sz w:val="26"/>
          <w:szCs w:val="26"/>
          <w:lang w:val="en-US"/>
        </w:rPr>
        <w:t>Dynamic capability refers to a firm's ability to identify, seize, and transform opportunities, making it a critical mechanism for managing digital transformation</w:t>
      </w:r>
      <w:r w:rsidRPr="003F6924">
        <w:rPr>
          <w:rFonts w:ascii="Times New Roman" w:hAnsi="Times New Roman" w:cs="Times New Roman"/>
          <w:color w:val="000000" w:themeColor="text1"/>
          <w:sz w:val="26"/>
          <w:szCs w:val="26"/>
          <w:lang w:val="en-US"/>
        </w:rPr>
        <w:t xml:space="preserve">. </w:t>
      </w:r>
    </w:p>
    <w:p w14:paraId="78B113B9" w14:textId="0CF1F777"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The application of </w:t>
      </w:r>
      <w:r w:rsidR="00E010C3" w:rsidRPr="003F6924">
        <w:rPr>
          <w:rFonts w:ascii="Times New Roman" w:hAnsi="Times New Roman" w:cs="Times New Roman"/>
          <w:color w:val="000000" w:themeColor="text1"/>
          <w:sz w:val="26"/>
          <w:szCs w:val="26"/>
          <w:lang w:val="en-US"/>
        </w:rPr>
        <w:t>the</w:t>
      </w:r>
      <w:r w:rsidR="00E010C3" w:rsidRPr="003F6924">
        <w:rPr>
          <w:rFonts w:ascii="Times New Roman" w:hAnsi="Times New Roman" w:cs="Times New Roman"/>
          <w:color w:val="000000" w:themeColor="text1"/>
          <w:sz w:val="26"/>
          <w:szCs w:val="26"/>
          <w:lang w:val="vi-VN"/>
        </w:rPr>
        <w:t xml:space="preserve"> </w:t>
      </w:r>
      <w:r w:rsidRPr="003F6924">
        <w:rPr>
          <w:rFonts w:ascii="Times New Roman" w:hAnsi="Times New Roman" w:cs="Times New Roman"/>
          <w:color w:val="000000" w:themeColor="text1"/>
          <w:sz w:val="26"/>
          <w:szCs w:val="26"/>
          <w:lang w:val="en-US"/>
        </w:rPr>
        <w:t xml:space="preserve">Resource-Based View (RBV) and Dynamic Capabilities (DC) in the banking sector is evident in multiple instances.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{"citationID":"aYJD03XB","properties":{"formattedCitation":"(Vafaei-Zadeh et al., 2024)","plainCitation":"(Vafaei-Zadeh et al., 2024)","dontUpdate":true,"noteIndex":0},"citationItems":[{"id":4302,"uris":["http://zotero.org/users/9020985/items/HL6ZQHBJ"],"itemData":{"id":4302,"type":"article-journal","container-title":"IEEE Transactions on Engineering Management","DOI":"10.1109/tem.2024.3355775","ISSN":"0018-9391, 1558-0040","journalAbbreviation":"IEEE Trans. Eng. Manage.","license":"https://ieeexplore.ieee.org/Xplorehelp/downloads/license-information/IEEE.html","note":"publisher: Institute of Electrical and Electronics Engineers (IEEE)","page":"8444-8458","source":"Crossref","title":"The Interactive Effects of Capabilities and Data-Driven Culture on Sustained Competitive Advantage","volume":"71","author":[{"family":"Vafaei-Zadeh","given":"Ali"},{"family":"Madhuri","given":"Jammula"},{"family":"Hanifah","given":"Haniruzila"},{"family":"Thurasamy","given":"Ramayah"}],"issued":{"date-parts":[["2024"]]}}}],"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Vafaei-Zadeh et al. (2024)</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showed that previous studies in the context of DT have identified several key constructs that influence the utilization of </w:t>
      </w:r>
      <w:r w:rsidR="00E010C3" w:rsidRPr="003F6924">
        <w:rPr>
          <w:rFonts w:ascii="Times New Roman" w:hAnsi="Times New Roman" w:cs="Times New Roman"/>
          <w:color w:val="000000" w:themeColor="text1"/>
          <w:sz w:val="26"/>
          <w:szCs w:val="26"/>
          <w:lang w:val="en-US"/>
        </w:rPr>
        <w:t>the</w:t>
      </w:r>
      <w:r w:rsidR="00E010C3" w:rsidRPr="003F6924">
        <w:rPr>
          <w:rFonts w:ascii="Times New Roman" w:hAnsi="Times New Roman" w:cs="Times New Roman"/>
          <w:color w:val="000000" w:themeColor="text1"/>
          <w:sz w:val="26"/>
          <w:szCs w:val="26"/>
          <w:lang w:val="vi-VN"/>
        </w:rPr>
        <w:t xml:space="preserve"> </w:t>
      </w:r>
      <w:r w:rsidRPr="003F6924">
        <w:rPr>
          <w:rFonts w:ascii="Times New Roman" w:hAnsi="Times New Roman" w:cs="Times New Roman"/>
          <w:color w:val="000000" w:themeColor="text1"/>
          <w:sz w:val="26"/>
          <w:szCs w:val="26"/>
          <w:lang w:val="en-US"/>
        </w:rPr>
        <w:t xml:space="preserve">Resource-Based View, including IT and digital capabilities, complementary resources, strategic orientation, and collaboration and relational resources. Accordingly, a firm's unique resources and capabilities, including Big Data analytics, the Internet of Things (IoT), and innovation capabilities, are essential enablers of digital transformation. Meanwhile,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{"citationID":"unnLftUi","properties":{"formattedCitation":"(Nwankpa &amp; Roumani, 2016)","plainCitation":"(Nwankpa &amp; Roumani, 2016)","dontUpdate":true,"noteIndex":0},"citationItems":[{"id":4304,"uris":["http://zotero.org/users/9020985/items/6K4W5T9V"],"itemData":{"id":4304,"type":"paper-conference","abstract":"As emerging digital technologies and capabilities continue to dominate our economic landscape, organizations are facing increased scrutiny on how digital transformation can provide the mechanism for innovation and firm performance. Using resource-based view (RBV) framework, this research examines the mediating effects of digital transformation in the relationship between IT capability and firm performance. Empirical data collected from CIOs from US firms reveal that although IT capability positively influences firm performance, it is mediated by digital transformation. Furthermore, our findings show that digital transformation positively influences innovation and firm performance while innovation is reaffirmed as having a positive implication on firm performance.","container-title":"IT Capability, Digital Transformation and Firm Performance","event-place":"Dublin","event-title":"Thirty Seventh International Conference on Information Systems","language":"en","publisher-place":"Dublin","source":"Zotero","title":"IT Capability and Digital Transformation: A Firm Performance Perspective","author":[{"family":"Nwankpa","given":"Joseph K"},{"family":"Roumani","given":"Yaman"}],"issued":{"date-parts":[["2016"]]}}}],"schema":"https://github.com/citation-style-language/schema/raw/master/csl-citation.json"}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 xml:space="preserve">Nwankpa </w:t>
      </w:r>
      <w:r w:rsidR="0025775B" w:rsidRPr="003F6924">
        <w:rPr>
          <w:rFonts w:ascii="Times New Roman" w:hAnsi="Times New Roman" w:cs="Times New Roman"/>
          <w:noProof/>
          <w:color w:val="000000" w:themeColor="text1"/>
          <w:sz w:val="26"/>
          <w:szCs w:val="26"/>
          <w:lang w:val="en-US"/>
        </w:rPr>
        <w:t>and</w:t>
      </w:r>
      <w:r w:rsidRPr="003F6924">
        <w:rPr>
          <w:rFonts w:ascii="Times New Roman" w:hAnsi="Times New Roman" w:cs="Times New Roman"/>
          <w:noProof/>
          <w:color w:val="000000" w:themeColor="text1"/>
          <w:sz w:val="26"/>
          <w:szCs w:val="26"/>
          <w:lang w:val="en-US"/>
        </w:rPr>
        <w:t xml:space="preserve"> Roumani (2016)</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argued that investments in information technology do not directly enhance performance; instead, an effectively structured digital transformation strategy mediates their influence.</w:t>
      </w:r>
    </w:p>
    <w:p w14:paraId="3C4E9D6A" w14:textId="77777777" w:rsidR="00212314" w:rsidRPr="003F6924" w:rsidRDefault="00212314" w:rsidP="00684A04">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2EF9B311" w14:textId="64AA481F" w:rsidR="00EF6E62" w:rsidRPr="003F6924" w:rsidRDefault="00B543E4" w:rsidP="005723B1">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Technological </w:t>
      </w:r>
      <w:r w:rsidR="00673588" w:rsidRPr="003F6924">
        <w:rPr>
          <w:rFonts w:ascii="Times New Roman" w:hAnsi="Times New Roman" w:cs="Times New Roman"/>
          <w:b/>
          <w:bCs/>
          <w:color w:val="000000" w:themeColor="text1"/>
          <w:sz w:val="26"/>
          <w:szCs w:val="26"/>
          <w:lang w:val="en-US"/>
        </w:rPr>
        <w:t xml:space="preserve">Factors </w:t>
      </w:r>
    </w:p>
    <w:p w14:paraId="3C57588F" w14:textId="47EC03D0"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{"citationID":"VlWoiT4N","properties":{"formattedCitation":"(MacLean &amp; Titah, 2023)","plainCitation":"(MacLean &amp; Titah, 2023)","dontUpdate":true,"noteIndex":0},"citationItems":[{"id":4341,"uris":["http://zotero.org/users/9020985/items/DSDPVAMC"],"itemData":{"id":4341,"type":"article-journal","abstract":"In recent years, organizations have made significant IT investments, including digital transformation programs, with the aim of enhancing the quality and delivery of services, and creating greater value for stakeholders. However, deriving value from IT investments and digital transformation necessitates, among other factors, a solid mastery of the IT function. In light of this, IT Service Management (ITSM) has emerged as a crucial and widely implemented approach to managing an organization's IT function, with the goal of achieving both operational and strategic benefits. Yet, despite its wide adoption, this approach has been undertheorized by academics, and there is limited understanding of the impacts that ITSM can generate for organizations as well as the mechanisms through which these impacts are achieved. In order to address this problem, this paper performs a systematic literature review examining research published on ITSM between 2012 and 2021 in order to understand what has occurred rather than what could or should be expected. Based on the findings, the paper advances that ITSM should be considered a Management Control System that includes a variety of control practices to achieve greater performance, transparency, and customer-focus within the IT function. It is also argued that these outcomes in turn increase client satisfaction and business/IT alignment. A model of the organizational impacts of ITSM is developed and ITSM is suggested as a subject for further, richer research into IS controls.","container-title":"International Journal of Information Management","DOI":"10.1016/j.ijinfomgt.2023.102628","ISSN":"0268-4012","journalAbbreviation":"International Journal of Information Management","page":"102628","source":"ScienceDirect","title":"Implementation and impacts of IT Service Management in the IT function","volume":"70","author":[{"family":"MacLean","given":"Don"},{"family":"Titah","given":"Ryad"}],"issued":{"date-parts":[["2023",6,1]]}}}],"schema":"https://github.com/citation-style-language/schema/raw/master/csl-citation.json"}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 xml:space="preserve">MacLean </w:t>
      </w:r>
      <w:r w:rsidR="0025775B" w:rsidRPr="003F6924">
        <w:rPr>
          <w:rFonts w:ascii="Times New Roman" w:hAnsi="Times New Roman" w:cs="Times New Roman"/>
          <w:noProof/>
          <w:color w:val="000000" w:themeColor="text1"/>
          <w:sz w:val="26"/>
          <w:szCs w:val="26"/>
          <w:lang w:val="en-US"/>
        </w:rPr>
        <w:t>and</w:t>
      </w:r>
      <w:r w:rsidRPr="003F6924">
        <w:rPr>
          <w:rFonts w:ascii="Times New Roman" w:hAnsi="Times New Roman" w:cs="Times New Roman"/>
          <w:noProof/>
          <w:color w:val="000000" w:themeColor="text1"/>
          <w:sz w:val="26"/>
          <w:szCs w:val="26"/>
          <w:lang w:val="en-US"/>
        </w:rPr>
        <w:t xml:space="preserve"> Titah (2023)</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indicated that technological competency refers to a company's ability to efficiently utilize, manage, and integrate technology into its operations and processes, as well as to deliver IT service management that fulfills the needs of all departments. Therefore, utilizing digital technology to enhance operations, create new products and services, and foster creativity is essential in digital transformation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{"citationID":"Spay6MQC","properties":{"formattedCitation":"(Jayawardena et al., 2023)","plainCitation":"(Jayawardena et al., 2023)","noteIndex":0},"citationItems":[{"id":4343,"uris":["http://zotero.org/users/9020985/items/YL5JG2CK"],"itemData":{"id":4343,"type":"article-journal","abstract":"The lack of technology acceptance strategy is one of the fundamental causes of failures observed in Digital Transformation (DT). Hence this paper investigates the implications of technology acceptance antecedents in predicting DT. Grounded on the extended theories of the Unified Theory of Acceptance and Use of Technology (UTAUT) and predictive antecedents of Behavioural Intention (BI) and Behavioural Expectation (BE), this study scrutinized to assess the impact on both intrinsic and extrinsic attributes represented to predict the use of DT in the hotel sector in Sri Lanka. An online survey was operationalized to collect data from the total sample population among all star-rated hotels (138) in Sri Lanka during the first two quarters of 2021. Findings introduced a novel and validated the model significantly to predict DT with a direct and strong correlation between acceptance antecedents towards the use of DT while indicating that BI and BE are simultaneously supportive in predicting the use of DT.","container-title":"International Journal of Hospitality Management","DOI":"10.1016/j.ijhm.2022.103350","ISSN":"0278-4319","journalAbbreviation":"International Journal of Hospitality Management","page":"103350","source":"ScienceDirect","title":"Technology acceptance antecedents in digital transformation in hospitality industry","volume":"108","author":[{"family":"Jayawardena","given":"Chathura"},{"family":"Ahmad","given":"Albattat"},{"family":"Valeri","given":"Marco"},{"family":"Jaharadak","given":"Adam Amril"}],"issued":{"date-parts":[["2023",1,1]]}}}],"schema":"https://github.com/citation-style-language/schema/raw/master/csl-citation.json"}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(Jayawardena et al., 2023)</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The technical components encompass the integration of </w:t>
      </w:r>
      <w:r w:rsidR="002B5090" w:rsidRPr="003F6924">
        <w:rPr>
          <w:rFonts w:ascii="Times New Roman" w:hAnsi="Times New Roman" w:cs="Times New Roman"/>
          <w:color w:val="000000" w:themeColor="text1"/>
          <w:sz w:val="26"/>
          <w:szCs w:val="26"/>
          <w:lang w:val="en-US"/>
        </w:rPr>
        <w:t>innovative</w:t>
      </w:r>
      <w:r w:rsidRPr="003F6924">
        <w:rPr>
          <w:rFonts w:ascii="Times New Roman" w:hAnsi="Times New Roman" w:cs="Times New Roman"/>
          <w:color w:val="000000" w:themeColor="text1"/>
          <w:sz w:val="26"/>
          <w:szCs w:val="26"/>
          <w:lang w:val="en-US"/>
        </w:rPr>
        <w:t xml:space="preserve"> solutions, autonomous </w:t>
      </w:r>
      <w:r w:rsidR="0037089D" w:rsidRPr="0037089D">
        <w:rPr>
          <w:rFonts w:ascii="Times New Roman" w:hAnsi="Times New Roman" w:cs="Times New Roman"/>
          <w:color w:val="000000" w:themeColor="text1"/>
          <w:sz w:val="26"/>
          <w:szCs w:val="26"/>
          <w:lang w:val="en-US"/>
        </w:rPr>
        <w:t>products</w:t>
      </w:r>
      <w:r w:rsidRPr="003F6924">
        <w:rPr>
          <w:rFonts w:ascii="Times New Roman" w:hAnsi="Times New Roman" w:cs="Times New Roman"/>
          <w:color w:val="000000" w:themeColor="text1"/>
          <w:sz w:val="26"/>
          <w:szCs w:val="26"/>
          <w:lang w:val="en-US"/>
        </w:rPr>
        <w:t xml:space="preserve">, technological developments, collaborative advancements, and value generation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{"citationID":"vAX7vlcw","properties":{"formattedCitation":"(Feliciano-Cestero et al., 2023)","plainCitation":"(Feliciano-Cestero et al., 2023)","noteIndex":0},"citationItems":[{"id":4310,"uris":["http://zotero.org/users/9020985/items/Z636XHM9"],"itemData":{"id":4310,"type":"article-journal","abstract":"Digital transformation has a significant impact on firm internationalization. This paper aims to provide a systematic literature review to analyze two decades of literature on key issues related to digital transformation at the individual, firm, and macro (international) levels and its impact on firms’ internationalization process. We show the impact of human (soft side) and non-human components (i.e., knowledge, leadership, digital servitization, technological) of digital transformation that can either allow or threaten it and their impact on firms’ internationalization. In addition, our findings show that digital transformation can positively and negatively impact firm internationalization at the individual, firm, and macro levels. Moreover, we review the existing theories related to digital transformation and internationalization and identify the current gaps in these theories. Finally, we provide directions for future research to address these gaps.","container-title":"Journal of Business Research","DOI":"10.1016/j.jbusres.2022.113546","ISSN":"0148-2963","journalAbbreviation":"Journal of Business Research","page":"113546","source":"ScienceDirect","title":"Is digital transformation threatened? A systematic literature review of the factors influencing firms’ digital transformation and internationalization","title-short":"Is digital transformation threatened?","volume":"157","author":[{"family":"Feliciano-Cestero","given":"María M."},{"family":"Ameen","given":"Nisreen"},{"family":"Kotabe","given":"Masaaki"},{"family":"Paul","given":"Justin"},{"family":"Signoret","given":"Mario"}],"issued":{"date-parts":[["2023",3,1]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(Feliciano-Cestero et al., 2023)</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{"citationID":"4wptFCqr","properties":{"formattedCitation":"(Bagheri et al., 2019)","plainCitation":"(Bagheri et al., 2019)","dontUpdate":true,"noteIndex":0},"citationItems":[{"id":4334,"uris":["http://zotero.org/users/9020985/items/AGQF7U7C"],"itemData":{"id":4334,"type":"article-journal","abstract":"This study examines the relationship between internationalization orientation and international performance of small and medium-sized enterprises (SMEs), and the mediating effect of technological innovation. Prior research suggests that internationalization is a prominent strategic choice for SMEs growth and profitability. However, there is still no explicit agreement on how internationalization affects international performance. Similarly, the role of innovation on performance has long been emphasized, but the implications of technological innovation on international performance are still eluding us. Our investigation of 116 SMEs in the United Kingdom reveals that internationalization orientation has a significant effect on their international performance, with SMEs adopting simultaneously an inward and outward international orientation achieving superior results. We further demonstrate that there is an inverted U-shaped relationship between technological innovation and international firm performance among SMEs. Meanwhile, we find that technological innovation positively mediates the effect of internationalization orientation on international firm performance, particularly for the SMEs exhibiting moderate levels of technological innovation activities. The findings of this study suggest that managers can improve international performance by combining inward and outward internationalization orientation with technological innovation activities in their strategic decisions.","container-title":"Journal of International Management","DOI":"10.1016/j.intman.2018.08.002","ISSN":"1075-4253","issue":"1","journalAbbreviation":"Journal of International Management","page":"121-139","source":"ScienceDirect","title":"Internationalization Orientation in SMEs: The Mediating Role of Technological Innovation","title-short":"Internationalization Orientation in SMEs","volume":"25","author":[{"family":"Bagheri","given":"Mahshid"},{"family":"Mitchelmore","given":"Siwan"},{"family":"Bamiatzi","given":"Vassiliki"},{"family":"Nikolopoulos","given":"Konstantinos"}],"issued":{"date-parts":[["2019",3,1]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Bagheri et al. (2019)</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revealed that by investigating novel technology, companies may seek opportunities in overseas markets. Consequently, technological expertise and competencies were essential for entering new markets. Scholars found that technologies are advancing at a rapid rate, beyond the capacity of businesses to assimilate them. As a result, several advantages and disadvantages are associated with digital transformation. For instance, digitized and automated companies may be controlled remotely without completely halting production during a market disruption. This advantage enhances productivity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{"citationID":"GH1FU38L","properties":{"formattedCitation":"(Chen &amp; Kamal, 2016)","plainCitation":"(Chen &amp; Kamal, 2016)","noteIndex":0},"citationItems":[{"id":4337,"uris":["http://zotero.org/users/9020985/items/RQHMAZDR"],"itemData":{"id":4337,"type":"article-journal","container-title":"Journal of International Business Studies","DOI":"10.1057/jibs.2016.6","ISSN":"0047-2506, 1478-6990","issue":"5","journalAbbreviation":"J Int Bus Stud","language":"en","page":"563-576","source":"DOI.org (Crossref)","title":"The impact of information and communication technology adoption on multinational firm boundary decisions","volume":"47","author":[{"family":"Chen","given":"Wenjie"},{"family":"Kamal","given":"Fariha"}],"issued":{"date-parts":[["2016",6]]}}}],"schema":"https://github.com/citation-style-language/schema/raw/master/csl-citation.json"}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 xml:space="preserve">(Chen </w:t>
      </w:r>
      <w:r w:rsidR="00F377A7" w:rsidRPr="003F6924">
        <w:rPr>
          <w:rFonts w:ascii="Times New Roman" w:hAnsi="Times New Roman" w:cs="Times New Roman"/>
          <w:noProof/>
          <w:color w:val="000000" w:themeColor="text1"/>
          <w:sz w:val="26"/>
          <w:szCs w:val="26"/>
          <w:lang w:val="vi-VN"/>
        </w:rPr>
        <w:t>&amp;</w:t>
      </w:r>
      <w:r w:rsidRPr="003F6924">
        <w:rPr>
          <w:rFonts w:ascii="Times New Roman" w:hAnsi="Times New Roman" w:cs="Times New Roman"/>
          <w:noProof/>
          <w:color w:val="000000" w:themeColor="text1"/>
          <w:sz w:val="26"/>
          <w:szCs w:val="26"/>
          <w:lang w:val="en-US"/>
        </w:rPr>
        <w:t xml:space="preserve"> Kamal, 2016)</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facilitates a firm's development</w:t>
      </w:r>
      <w:r w:rsidR="002B5090" w:rsidRPr="003F6924">
        <w:rPr>
          <w:rFonts w:ascii="Times New Roman" w:hAnsi="Times New Roman" w:cs="Times New Roman"/>
          <w:color w:val="000000" w:themeColor="text1"/>
          <w:sz w:val="26"/>
          <w:szCs w:val="26"/>
          <w:lang w:val="vi-VN"/>
        </w:rPr>
        <w:t>,</w:t>
      </w:r>
      <w:r w:rsidRPr="003F6924">
        <w:rPr>
          <w:rFonts w:ascii="Times New Roman" w:hAnsi="Times New Roman" w:cs="Times New Roman"/>
          <w:color w:val="000000" w:themeColor="text1"/>
          <w:sz w:val="26"/>
          <w:szCs w:val="26"/>
          <w:lang w:val="en-US"/>
        </w:rPr>
        <w:t xml:space="preserve"> and enables it to achieve internationalization with few or no physical or geographic restrictions due to the IoT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{"citationID":"2bdZkULa","properties":{"formattedCitation":"(Hassouneh &amp; Brengman, 2011)","plainCitation":"(Hassouneh &amp; Brengman, 2011)","noteIndex":0},"citationItems":[{"id":4338,"uris":["http://zotero.org/users/9020985/items/ITLA42ZM"],"itemData":{"id":4338,"type":"article-journal","container-title":"Journal of Brand Management","DOI":"10.1057/bm.2011.24","ISSN":"1350-231X, 1479-1803","issue":"1","journalAbbreviation":"J Brand Manag","language":"en","license":"http://www.springer.com/tdm","page":"72-90","source":"DOI.org (Crossref)","title":"Virtual worlds: A gateway for SMEs toward internationalization","title-short":"Virtual worlds","volume":"19","author":[{"family":"Hassouneh","given":"Diana"},{"family":"Brengman","given":"Malaika"}],"issued":{"date-parts":[["2011",9]]}}}],"schema":"https://github.com/citation-style-language/schema/raw/master/csl-citation.json"}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 xml:space="preserve">(Hassouneh </w:t>
      </w:r>
      <w:r w:rsidR="00F377A7" w:rsidRPr="003F6924">
        <w:rPr>
          <w:rFonts w:ascii="Times New Roman" w:hAnsi="Times New Roman" w:cs="Times New Roman"/>
          <w:noProof/>
          <w:color w:val="000000" w:themeColor="text1"/>
          <w:sz w:val="26"/>
          <w:szCs w:val="26"/>
          <w:lang w:val="vi-VN"/>
        </w:rPr>
        <w:t>&amp;</w:t>
      </w:r>
      <w:r w:rsidRPr="003F6924">
        <w:rPr>
          <w:rFonts w:ascii="Times New Roman" w:hAnsi="Times New Roman" w:cs="Times New Roman"/>
          <w:noProof/>
          <w:color w:val="000000" w:themeColor="text1"/>
          <w:sz w:val="26"/>
          <w:szCs w:val="26"/>
          <w:lang w:val="en-US"/>
        </w:rPr>
        <w:t xml:space="preserve"> Brengman, 2011)</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According to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{"citationID":"84PU3d1s","properties":{"formattedCitation":"(Alc\\uc0\\u225{}cer &amp; Cruz-Machado, 2019)","plainCitation":"(Alcácer &amp; Cruz-Machado, 2019)","dontUpdate":true,"noteIndex":0},"citationItems":[{"id":4339,"uris":["http://zotero.org/users/9020985/items/BTFUHXWE"],"itemData":{"id":4339,"type":"article-journal","abstract":"Industry 4.0 leads to the digitalization era. Everything is digital; business models, environments, production systems, machines, operators, products and services. It’s all interconnected inside the digital scene with the corresponding virtual representation. The physical flows will be mapped on digital platforms in a continuous manner. On a higher level of automation, many systems and software are enabling factory communications with the latest trends of information and communication technologies leading to the state-of-the-art factory, not only inside but also outside factory, achieving all elements of the value chain on a real-time engagement. Everything is smart. This disruptive impact on manufacturing companies will allow the smart manufacturing ecosystem paradigm. Industry 4.0 is the turning point to the end of the conventional centralized applications. The Industry 4.0 environment is scanned on this paper, describing the so-called enabling technologies and systems over the manufacturing environment.","container-title":"Engineering Science and Technology, an International Journal","DOI":"10.1016/j.jestch.2019.01.006","ISSN":"2215-0986","issue":"3","journalAbbreviation":"Engineering Science and Technology, an International Journal","page":"899-919","source":"ScienceDirect","title":"Scanning the Industry 4.0: A Literature Review on Technologies for Manufacturing Systems","title-short":"Scanning the Industry 4.0","volume":"22","author":[{"family":"Alcácer","given":"V."},{"family":"Cruz-Machado","given":"V."}],"issued":{"date-parts":[["2019",6,1]]}}}],"schema":"https://github.com/citation-style-language/schema/raw/master/csl-citation.json"}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color w:val="000000" w:themeColor="text1"/>
          <w:sz w:val="26"/>
          <w:szCs w:val="26"/>
          <w:lang w:val="en-US"/>
        </w:rPr>
        <w:t xml:space="preserve">Alcácer </w:t>
      </w:r>
      <w:r w:rsidR="0025775B" w:rsidRPr="003F6924">
        <w:rPr>
          <w:rFonts w:ascii="Times New Roman" w:hAnsi="Times New Roman" w:cs="Times New Roman"/>
          <w:color w:val="000000" w:themeColor="text1"/>
          <w:sz w:val="26"/>
          <w:szCs w:val="26"/>
          <w:lang w:val="en-US"/>
        </w:rPr>
        <w:t>and</w:t>
      </w:r>
      <w:r w:rsidRPr="003F6924">
        <w:rPr>
          <w:rFonts w:ascii="Times New Roman" w:hAnsi="Times New Roman" w:cs="Times New Roman"/>
          <w:color w:val="000000" w:themeColor="text1"/>
          <w:sz w:val="26"/>
          <w:szCs w:val="26"/>
          <w:lang w:val="en-US"/>
        </w:rPr>
        <w:t xml:space="preserve"> Cruz-Machado (2019)</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the deficiency of technical resources and inadequate infrastructure represent disadvantages associated with this gap, linked to the four primary factors that facilitate or impede digital transformation and internationalization in enterprises. </w:t>
      </w:r>
    </w:p>
    <w:p w14:paraId="7DED476D" w14:textId="59ED7A66" w:rsidR="00EF6E62"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In this study, technological factors of the bank include </w:t>
      </w:r>
      <w:r w:rsidR="002B5090" w:rsidRPr="003F6924">
        <w:rPr>
          <w:rFonts w:ascii="Times New Roman" w:hAnsi="Times New Roman" w:cs="Times New Roman"/>
          <w:color w:val="000000" w:themeColor="text1"/>
          <w:sz w:val="26"/>
          <w:szCs w:val="26"/>
          <w:lang w:val="vi-VN"/>
        </w:rPr>
        <w:t xml:space="preserve">its </w:t>
      </w:r>
      <w:r w:rsidRPr="003F6924">
        <w:rPr>
          <w:rFonts w:ascii="Times New Roman" w:hAnsi="Times New Roman" w:cs="Times New Roman"/>
          <w:color w:val="000000" w:themeColor="text1"/>
          <w:sz w:val="26"/>
          <w:szCs w:val="26"/>
          <w:lang w:val="en-US"/>
        </w:rPr>
        <w:t xml:space="preserve">technology platform and digital transformation progress. According to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{"citationID":"Ac9fZVLD","properties":{"formattedCitation":"(Saarikko et al., 2020)","plainCitation":"(Saarikko et al., 2020)","dontUpdate":true,"noteIndex":0},"citationItems":[{"id":4332,"uris":["http://zotero.org/users/9020985/items/4UKLUWFB"],"itemData":{"id":4332,"type":"article-journal","abstract":"Digital transformation is one of the key challenges facing contemporary businesses. The need to leverage digital technology to develop and implement new business models forces firms to reevaluate existing capabilities, structures, and culture in order to identify what technologies are relevant and how they will be enacted in organizational processes and business offerings. More often than not, these profound changes require firms to revisit old truths as they develop strategies that thread the needle between beneficial innovation and harmful disruption. This article uses the Internet of Things (IoT) as a backdrop to demonstrate the concerns associated with transformative technologies and offers five recommendations as to how firms can develop the strategies needed for digital transformation and become digitally conscious: (1) Start small and build on firsthand benefits; (2) team up and create competitive advantage from brand recognition; (3) engage in standardization efforts; (4) take responsibility for data ownership and ethics; and (5) own the change and ensure organization-wide commitment. As such, this article shows that digital transformation should be a top management priority and a defining trait of corporate business strategy, and that by becoming digitally conscious, firms may get a head start on their transformation journey.","container-title":"Business Horizons","DOI":"10.1016/j.bushor.2020.07.005","ISSN":"0007-6813","issue":"6","journalAbbreviation":"Business Horizons","page":"825-839","source":"ScienceDirect","title":"Digital transformation: Five recommendations for the digitally conscious firm","title-short":"Digital transformation","volume":"63","author":[{"family":"Saarikko","given":"Ted"},{"family":"Westergren","given":"Ulrika H."},{"family":"Blomquist","given":"Tomas"}],"issued":{"date-parts":[["2020",11,1]]}}}],"schema":"https://github.com/citation-style-language/schema/raw/master/csl-citation.json"}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Saarikko et al. (2020)</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IT and digital competencies are essential facilitators of digital transformation, supplying the requisite technological framework and digital proficiency to propel transformation initiatives. An </w:t>
      </w:r>
      <w:r w:rsidR="002B5090" w:rsidRPr="003F6924">
        <w:rPr>
          <w:rFonts w:ascii="Times New Roman" w:hAnsi="Times New Roman" w:cs="Times New Roman"/>
          <w:color w:val="000000" w:themeColor="text1"/>
          <w:sz w:val="26"/>
          <w:szCs w:val="26"/>
          <w:lang w:val="en-US"/>
        </w:rPr>
        <w:t>adequate</w:t>
      </w:r>
      <w:r w:rsidRPr="003F6924">
        <w:rPr>
          <w:rFonts w:ascii="Times New Roman" w:hAnsi="Times New Roman" w:cs="Times New Roman"/>
          <w:color w:val="000000" w:themeColor="text1"/>
          <w:sz w:val="26"/>
          <w:szCs w:val="26"/>
          <w:lang w:val="en-US"/>
        </w:rPr>
        <w:t xml:space="preserve"> IT infrastructure facilitates system integration, cloud computing, and data security, guaranteeing smooth operations and digital advancement. </w:t>
      </w:r>
      <w:r w:rsidR="00BC494D" w:rsidRPr="003F6924">
        <w:rPr>
          <w:rFonts w:ascii="Times New Roman" w:hAnsi="Times New Roman" w:cs="Times New Roman"/>
          <w:color w:val="000000" w:themeColor="text1"/>
          <w:sz w:val="26"/>
          <w:szCs w:val="26"/>
          <w:lang w:val="en-US"/>
        </w:rPr>
        <w:t>Abdurrahman et al. (2024) found that technological capabilities—particularly robust technology platforms—significantly and positively affect both digital transformation and innovation within the banking sector</w:t>
      </w:r>
      <w:r w:rsidRPr="003F6924">
        <w:rPr>
          <w:rFonts w:ascii="Times New Roman" w:hAnsi="Times New Roman" w:cs="Times New Roman"/>
          <w:color w:val="000000" w:themeColor="text1"/>
          <w:sz w:val="26"/>
          <w:szCs w:val="26"/>
          <w:lang w:val="en-US"/>
        </w:rPr>
        <w:t>. In other words, these scholars highlighted the role of</w:t>
      </w:r>
      <w:r w:rsidR="00E010C3" w:rsidRPr="003F6924">
        <w:rPr>
          <w:rFonts w:ascii="Times New Roman" w:hAnsi="Times New Roman" w:cs="Times New Roman"/>
          <w:color w:val="000000" w:themeColor="text1"/>
          <w:sz w:val="26"/>
          <w:szCs w:val="26"/>
          <w:lang w:val="vi-VN"/>
        </w:rPr>
        <w:t xml:space="preserve"> the</w:t>
      </w:r>
      <w:r w:rsidRPr="003F6924">
        <w:rPr>
          <w:rFonts w:ascii="Times New Roman" w:hAnsi="Times New Roman" w:cs="Times New Roman"/>
          <w:color w:val="000000" w:themeColor="text1"/>
          <w:sz w:val="26"/>
          <w:szCs w:val="26"/>
          <w:lang w:val="en-US"/>
        </w:rPr>
        <w:t xml:space="preserve"> technological platform in promoting the digital transformation of the bank. In other aspects,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{"citationID":"oB0HPU0H","properties":{"formattedCitation":"(Trang et al., 2024)","plainCitation":"(Trang et al., 2024)","dontUpdate":true,"noteIndex":0},"citationItems":[{"id":4346,"uris":["http://zotero.org/users/9020985/items/F3SX24BI"],"itemData":{"id":4346,"type":"article-journal","abstract":"The proliferation of information technology presents numerous challenges to the financial stability of banks. Based on a dataset encompassing 11 joint-stock commercial banks in Vietnam from 2005 to 2020, this study investigates the influence of information technology adoption on the risk profile of commercial banks. The findings underscore a favorable impact of information technology integration in mitigating the risks associated with commercial banks, thus fostering greater stability within the banking system. Moreover, the research demonstrates the sensitivity of commercial bank risk to bank-specific factors, including factors such as bank size and return on equity. Notably, the study highlights the significance of enhancing human infrastructure and implementing internal information technology systems, particularly core banking, as pivotal measures for risk reduction. Given these insights, the authors provide valuable implications for governance strategies and management policies aimed at minimizing risks for commercial banks operating in the Vietnamese context.","container-title":"VNU JOURNAL OF ECONOMICS AND BUSINESS","DOI":"10.57110/jebvn.v4i1.248","ISSN":"2734-9845","issue":"1","language":"vi","license":"Copyright (c) 2024 Cù Nguyễn Hà Trang, Trần Linh Anh, Lê Minh Anh, Nguyễn Thị Thu Huyền","note":"number: 1","page":"42-42","source":"jebvn.ueb.edu.vn","title":"Chuyển đổi số: Tác động của ứng dụng công nghệ thông tin tới rủi ro của ngân hàng thương mại","title-short":"Chuyển đổi số","volume":"4","author":[{"family":"Trang","given":"Cu Nguyen Ha"},{"family":"Anh","given":"Tran Linh"},{"family":"Anh","given":"Le Minh"},{"family":"Huyen","given":"Nguyen Thi Thu"}],"issued":{"date-parts":[["2024",2,25]]}}}],"schema":"https://github.com/citation-style-language/schema/raw/master/csl-citation.json"}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Trang et al. (2024)</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in an investigation of the impact of information technology applications, such as core banking systems, on the risk profiles of Vietnamese commercial banks, indicated that the implementation of internal IT systems can reduce risks, highlighting the significance of technology platforms in bolstering banking stability. According to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{"citationID":"6HkPEJya","properties":{"formattedCitation":"(Ha &amp; Nguyen, 2022)","plainCitation":"(Ha &amp; Nguyen, 2022)","dontUpdate":true,"noteIndex":0},"citationItems":[{"id":4348,"uris":["http://zotero.org/users/9020985/items/PTU7J47D"],"itemData":{"id":4348,"type":"chapter","abstract":"This article aims to examine the literature on digital transformation in the banking sectors and the current commercial banks’ digital transformation landscape in Vietnam. The paper provides examples of some local commercial banks to show that digital banking should be considered an integral part of smart cities. The paper also analyzes the challenges facing Vietnamese banks in their digitalization process to become smarter banks. Next, the study makes some recommendations about how to leverage the digitalization process in the Vietnamese banking system. It can be concluded from this research that digital transformation is key to the banking industry creating value for the customer and keeping pace with innovation in smart cities where people expect real-time, instant gratification. This paper also suggests further research directions.","container-title":"Smart Cities in Asia: Regulations, Problems, and Development","event-place":"Singapore","ISBN":"978-981-19-1701-1","language":"en","note":"DOI: 10.1007/978-981-19-1701-1_9","page":"103-114","publisher":"Springer Nature","publisher-place":"Singapore","source":"Springer Link","title":"Digital Transformation in Banking: A Case from Vietnam","title-short":"Digital Transformation in Banking","URL":"https://doi.org/10.1007/978-981-19-1701-1_9","author":[{"family":"Ha","given":"Minh Son"},{"family":"Nguyen","given":"Thuy Linh"}],"editor":[{"family":"Phan","given":"Thanh"},{"family":"Damian","given":"Daniela"}],"accessed":{"date-parts":[["2025",5,24]]},"issued":{"date-parts":[["2022"]]}}}],"schema":"https://github.com/citation-style-language/schema/raw/master/csl-citation.json"}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 xml:space="preserve">Ha </w:t>
      </w:r>
      <w:r w:rsidR="0025775B" w:rsidRPr="003F6924">
        <w:rPr>
          <w:rFonts w:ascii="Times New Roman" w:hAnsi="Times New Roman" w:cs="Times New Roman"/>
          <w:noProof/>
          <w:color w:val="000000" w:themeColor="text1"/>
          <w:sz w:val="26"/>
          <w:szCs w:val="26"/>
          <w:lang w:val="en-US"/>
        </w:rPr>
        <w:t>and</w:t>
      </w:r>
      <w:r w:rsidRPr="003F6924">
        <w:rPr>
          <w:rFonts w:ascii="Times New Roman" w:hAnsi="Times New Roman" w:cs="Times New Roman"/>
          <w:noProof/>
          <w:color w:val="000000" w:themeColor="text1"/>
          <w:sz w:val="26"/>
          <w:szCs w:val="26"/>
          <w:lang w:val="en-US"/>
        </w:rPr>
        <w:t xml:space="preserve"> Nguyen (2022)</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establishing digital-native banks with integrated digital user interfaces and back-end systems facilitates substantial cost reductions and operational agility, emphasizing the critical role of modern technology platforms in digital transformation. Similarly,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{"citationID":"Z36cESey","properties":{"formattedCitation":"(Verhoef et al., 2021)","plainCitation":"(Verhoef et al., 2021)","dontUpdate":true,"noteIndex":0},"citationItems":[{"id":4350,"uris":["http://zotero.org/users/9020985/items/2VD4K5UX"],"itemData":{"id":4350,"type":"article-journal","abstract":"Digital transformation and resultant business model innovation have fundamentally altered consumers’ expectations and behaviors, putting immense pressure on traditional firms, and disrupting numerous markets. Drawing on extant literature, we identify three stages of digital transformation: digitization, digitalization, and digital transformation. We identify and delineate growth strategies for digital firms as well as the assets and capabilities required in order to successfully transform digitally. We posit that digital transformation requires specific organizational structures and bears consequences for the metrics used to calibrate performance. Finally, we provide a research agenda to stimulate and guide future research on digital transformation.","container-title":"Journal of Business Research","DOI":"10.1016/j.jbusres.2019.09.022","ISSN":"0148-2963","journalAbbreviation":"Journal of Business Research","page":"889-901","source":"ScienceDirect","title":"Digital transformation: A multidisciplinary reflection and research agenda","title-short":"Digital transformation","volume":"122","author":[{"family":"Verhoef","given":"Peter C."},{"family":"Broekhuizen","given":"Thijs"},{"family":"Bart","given":"Yakov"},{"family":"Bhattacharya","given":"Abhi"},{"family":"Qi Dong","given":"John"},{"family":"Fabian","given":"Nicolai"},{"family":"Haenlein","given":"Michael"}],"issued":{"date-parts":[["2021",1,1]]}}}],"schema":"https://github.com/citation-style-language/schema/raw/master/csl-citation.json"}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Verhoef et al. (2021)</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showed that digital technology development is considered an external factor that contributes to the digital transformation of MSMEs. Therefore, the authors propose that: </w:t>
      </w:r>
    </w:p>
    <w:p w14:paraId="6E3E99B0" w14:textId="77777777" w:rsidR="00673588" w:rsidRPr="003F6924" w:rsidRDefault="00673588"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12DA2CDE" w14:textId="4D759D41" w:rsidR="00EF6E62" w:rsidRPr="003F6924" w:rsidRDefault="00B543E4" w:rsidP="00794E60">
      <w:pPr>
        <w:snapToGrid w:val="0"/>
        <w:spacing w:after="0" w:line="300" w:lineRule="auto"/>
        <w:ind w:left="357" w:hanging="357"/>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H</w:t>
      </w:r>
      <w:r w:rsidRPr="003F6924">
        <w:rPr>
          <w:rFonts w:ascii="Times New Roman" w:hAnsi="Times New Roman" w:cs="Times New Roman"/>
          <w:b/>
          <w:bCs/>
          <w:color w:val="000000" w:themeColor="text1"/>
          <w:sz w:val="26"/>
          <w:szCs w:val="26"/>
          <w:vertAlign w:val="subscript"/>
          <w:lang w:val="en-US"/>
        </w:rPr>
        <w:t>1</w:t>
      </w:r>
      <w:r w:rsidRPr="003F6924">
        <w:rPr>
          <w:rFonts w:ascii="Times New Roman" w:hAnsi="Times New Roman" w:cs="Times New Roman"/>
          <w:b/>
          <w:bCs/>
          <w:color w:val="000000" w:themeColor="text1"/>
          <w:sz w:val="26"/>
          <w:szCs w:val="26"/>
          <w:lang w:val="en-US"/>
        </w:rPr>
        <w:t xml:space="preserve">. </w:t>
      </w:r>
      <w:r w:rsidR="00673588" w:rsidRPr="00701D12">
        <w:rPr>
          <w:rFonts w:ascii="Times New Roman" w:hAnsi="Times New Roman" w:cs="Times New Roman"/>
          <w:color w:val="000000" w:themeColor="text1"/>
          <w:sz w:val="26"/>
          <w:szCs w:val="26"/>
          <w:lang w:val="en-US"/>
        </w:rPr>
        <w:t xml:space="preserve">The </w:t>
      </w:r>
      <w:r w:rsidR="00673588">
        <w:rPr>
          <w:rFonts w:ascii="Times New Roman" w:hAnsi="Times New Roman" w:cs="Times New Roman"/>
          <w:color w:val="000000" w:themeColor="text1"/>
          <w:sz w:val="26"/>
          <w:szCs w:val="26"/>
          <w:lang w:val="en-US"/>
        </w:rPr>
        <w:t>technology</w:t>
      </w:r>
      <w:r w:rsidRPr="003F6924">
        <w:rPr>
          <w:rFonts w:ascii="Times New Roman" w:hAnsi="Times New Roman" w:cs="Times New Roman"/>
          <w:color w:val="000000" w:themeColor="text1"/>
          <w:sz w:val="26"/>
          <w:szCs w:val="26"/>
          <w:lang w:val="en-US"/>
        </w:rPr>
        <w:t xml:space="preserve"> platform </w:t>
      </w:r>
      <w:r w:rsidR="00673588">
        <w:rPr>
          <w:rFonts w:ascii="Times New Roman" w:hAnsi="Times New Roman" w:cs="Times New Roman"/>
          <w:color w:val="000000" w:themeColor="text1"/>
          <w:sz w:val="26"/>
          <w:szCs w:val="26"/>
          <w:lang w:val="en-US"/>
        </w:rPr>
        <w:t xml:space="preserve">has a </w:t>
      </w:r>
      <w:r w:rsidRPr="003F6924">
        <w:rPr>
          <w:rFonts w:ascii="Times New Roman" w:hAnsi="Times New Roman" w:cs="Times New Roman"/>
          <w:color w:val="000000" w:themeColor="text1"/>
          <w:sz w:val="26"/>
          <w:szCs w:val="26"/>
          <w:lang w:val="en-US"/>
        </w:rPr>
        <w:t xml:space="preserve">positive influence </w:t>
      </w:r>
      <w:r w:rsidR="00673588">
        <w:rPr>
          <w:rFonts w:ascii="Times New Roman" w:hAnsi="Times New Roman" w:cs="Times New Roman"/>
          <w:color w:val="000000" w:themeColor="text1"/>
          <w:sz w:val="26"/>
          <w:szCs w:val="26"/>
          <w:lang w:val="en-US"/>
        </w:rPr>
        <w:t xml:space="preserve">on </w:t>
      </w:r>
      <w:r w:rsidRPr="003F6924">
        <w:rPr>
          <w:rFonts w:ascii="Times New Roman" w:hAnsi="Times New Roman" w:cs="Times New Roman"/>
          <w:color w:val="000000" w:themeColor="text1"/>
          <w:sz w:val="26"/>
          <w:szCs w:val="26"/>
          <w:lang w:val="en-US"/>
        </w:rPr>
        <w:t xml:space="preserve">the </w:t>
      </w:r>
      <w:r w:rsidR="00673588">
        <w:rPr>
          <w:rFonts w:ascii="Times New Roman" w:hAnsi="Times New Roman" w:cs="Times New Roman"/>
          <w:color w:val="000000" w:themeColor="text1"/>
          <w:sz w:val="26"/>
          <w:szCs w:val="26"/>
          <w:lang w:val="en-US"/>
        </w:rPr>
        <w:t>bank’s d</w:t>
      </w:r>
      <w:r w:rsidRPr="003F6924">
        <w:rPr>
          <w:rFonts w:ascii="Times New Roman" w:hAnsi="Times New Roman" w:cs="Times New Roman"/>
          <w:color w:val="000000" w:themeColor="text1"/>
          <w:sz w:val="26"/>
          <w:szCs w:val="26"/>
          <w:lang w:val="en-US"/>
        </w:rPr>
        <w:t>igital transformation capability</w:t>
      </w:r>
      <w:r w:rsidR="005330B2" w:rsidRPr="003F6924">
        <w:rPr>
          <w:rFonts w:ascii="Times New Roman" w:hAnsi="Times New Roman" w:cs="Times New Roman"/>
          <w:color w:val="000000" w:themeColor="text1"/>
          <w:sz w:val="26"/>
          <w:szCs w:val="26"/>
          <w:lang w:val="en-US"/>
        </w:rPr>
        <w:t>.</w:t>
      </w:r>
      <w:r w:rsidRPr="003F6924">
        <w:rPr>
          <w:rFonts w:ascii="Times New Roman" w:hAnsi="Times New Roman" w:cs="Times New Roman"/>
          <w:b/>
          <w:bCs/>
          <w:color w:val="000000" w:themeColor="text1"/>
          <w:sz w:val="26"/>
          <w:szCs w:val="26"/>
          <w:lang w:val="en-US"/>
        </w:rPr>
        <w:t xml:space="preserve"> </w:t>
      </w:r>
    </w:p>
    <w:p w14:paraId="56F7F552" w14:textId="7FE169D7" w:rsidR="00EF6E62" w:rsidRPr="003F6924" w:rsidRDefault="00B543E4" w:rsidP="00794E60">
      <w:pPr>
        <w:snapToGrid w:val="0"/>
        <w:spacing w:after="0" w:line="300" w:lineRule="auto"/>
        <w:ind w:left="357" w:hanging="357"/>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H</w:t>
      </w:r>
      <w:r w:rsidRPr="003F6924">
        <w:rPr>
          <w:rFonts w:ascii="Times New Roman" w:hAnsi="Times New Roman" w:cs="Times New Roman"/>
          <w:b/>
          <w:bCs/>
          <w:color w:val="000000" w:themeColor="text1"/>
          <w:sz w:val="26"/>
          <w:szCs w:val="26"/>
          <w:vertAlign w:val="subscript"/>
          <w:lang w:val="en-US"/>
        </w:rPr>
        <w:t>2</w:t>
      </w:r>
      <w:r w:rsidRPr="003F6924">
        <w:rPr>
          <w:rFonts w:ascii="Times New Roman" w:hAnsi="Times New Roman" w:cs="Times New Roman"/>
          <w:b/>
          <w:bCs/>
          <w:color w:val="000000" w:themeColor="text1"/>
          <w:sz w:val="26"/>
          <w:szCs w:val="26"/>
          <w:lang w:val="en-US"/>
        </w:rPr>
        <w:t xml:space="preserve">. </w:t>
      </w:r>
      <w:r w:rsidR="00673588" w:rsidRPr="001418E6">
        <w:rPr>
          <w:rFonts w:ascii="Times New Roman" w:hAnsi="Times New Roman" w:cs="Times New Roman"/>
          <w:color w:val="000000" w:themeColor="text1"/>
          <w:sz w:val="26"/>
          <w:szCs w:val="26"/>
          <w:lang w:val="en-US"/>
        </w:rPr>
        <w:t>The</w:t>
      </w:r>
      <w:r w:rsidR="00673588">
        <w:rPr>
          <w:rFonts w:ascii="Times New Roman" w:hAnsi="Times New Roman" w:cs="Times New Roman"/>
          <w:b/>
          <w:bCs/>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 xml:space="preserve">Digital transformation development </w:t>
      </w:r>
      <w:r w:rsidR="00673588">
        <w:rPr>
          <w:rFonts w:ascii="Times New Roman" w:hAnsi="Times New Roman" w:cs="Times New Roman"/>
          <w:color w:val="000000" w:themeColor="text1"/>
          <w:sz w:val="26"/>
          <w:szCs w:val="26"/>
          <w:lang w:val="en-US"/>
        </w:rPr>
        <w:t xml:space="preserve">has a </w:t>
      </w:r>
      <w:r w:rsidRPr="003F6924">
        <w:rPr>
          <w:rFonts w:ascii="Times New Roman" w:hAnsi="Times New Roman" w:cs="Times New Roman"/>
          <w:color w:val="000000" w:themeColor="text1"/>
          <w:sz w:val="26"/>
          <w:szCs w:val="26"/>
          <w:lang w:val="en-US"/>
        </w:rPr>
        <w:t xml:space="preserve">positive influence </w:t>
      </w:r>
      <w:r w:rsidR="00673588">
        <w:rPr>
          <w:rFonts w:ascii="Times New Roman" w:hAnsi="Times New Roman" w:cs="Times New Roman"/>
          <w:color w:val="000000" w:themeColor="text1"/>
          <w:sz w:val="26"/>
          <w:szCs w:val="26"/>
          <w:lang w:val="en-US"/>
        </w:rPr>
        <w:t xml:space="preserve">on </w:t>
      </w:r>
      <w:r w:rsidRPr="003F6924">
        <w:rPr>
          <w:rFonts w:ascii="Times New Roman" w:hAnsi="Times New Roman" w:cs="Times New Roman"/>
          <w:color w:val="000000" w:themeColor="text1"/>
          <w:sz w:val="26"/>
          <w:szCs w:val="26"/>
          <w:lang w:val="en-US"/>
        </w:rPr>
        <w:t xml:space="preserve">the </w:t>
      </w:r>
      <w:r w:rsidR="00673588">
        <w:rPr>
          <w:rFonts w:ascii="Times New Roman" w:hAnsi="Times New Roman" w:cs="Times New Roman"/>
          <w:color w:val="000000" w:themeColor="text1"/>
          <w:sz w:val="26"/>
          <w:szCs w:val="26"/>
          <w:lang w:val="en-US"/>
        </w:rPr>
        <w:t>bank’s d</w:t>
      </w:r>
      <w:r w:rsidRPr="003F6924">
        <w:rPr>
          <w:rFonts w:ascii="Times New Roman" w:hAnsi="Times New Roman" w:cs="Times New Roman"/>
          <w:color w:val="000000" w:themeColor="text1"/>
          <w:sz w:val="26"/>
          <w:szCs w:val="26"/>
          <w:lang w:val="en-US"/>
        </w:rPr>
        <w:t>igital transformation capability</w:t>
      </w:r>
      <w:r w:rsidR="00794E60" w:rsidRPr="003F6924">
        <w:rPr>
          <w:rFonts w:ascii="Times New Roman" w:hAnsi="Times New Roman" w:cs="Times New Roman"/>
          <w:color w:val="000000" w:themeColor="text1"/>
          <w:sz w:val="26"/>
          <w:szCs w:val="26"/>
          <w:lang w:val="en-US"/>
        </w:rPr>
        <w:t>.</w:t>
      </w:r>
      <w:r w:rsidRPr="003F6924">
        <w:rPr>
          <w:rFonts w:ascii="Times New Roman" w:hAnsi="Times New Roman" w:cs="Times New Roman"/>
          <w:b/>
          <w:bCs/>
          <w:color w:val="000000" w:themeColor="text1"/>
          <w:sz w:val="26"/>
          <w:szCs w:val="26"/>
          <w:lang w:val="en-US"/>
        </w:rPr>
        <w:t xml:space="preserve"> </w:t>
      </w:r>
    </w:p>
    <w:p w14:paraId="018B3F3B" w14:textId="77777777" w:rsidR="00212314" w:rsidRPr="003F6924" w:rsidRDefault="00212314" w:rsidP="005723B1">
      <w:pPr>
        <w:snapToGrid w:val="0"/>
        <w:spacing w:after="0" w:line="300" w:lineRule="auto"/>
        <w:ind w:firstLine="360"/>
        <w:jc w:val="both"/>
        <w:rPr>
          <w:rFonts w:ascii="Times New Roman" w:hAnsi="Times New Roman" w:cs="Times New Roman"/>
          <w:b/>
          <w:bCs/>
          <w:color w:val="000000" w:themeColor="text1"/>
          <w:sz w:val="26"/>
          <w:szCs w:val="26"/>
          <w:lang w:val="en-US"/>
        </w:rPr>
      </w:pPr>
    </w:p>
    <w:p w14:paraId="56057840" w14:textId="4DA31213" w:rsidR="00EF6E62" w:rsidRPr="003F6924" w:rsidRDefault="00B543E4" w:rsidP="005723B1">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Organizational </w:t>
      </w:r>
      <w:r w:rsidR="00673588" w:rsidRPr="003F6924">
        <w:rPr>
          <w:rFonts w:ascii="Times New Roman" w:hAnsi="Times New Roman" w:cs="Times New Roman"/>
          <w:b/>
          <w:bCs/>
          <w:color w:val="000000" w:themeColor="text1"/>
          <w:sz w:val="26"/>
          <w:szCs w:val="26"/>
          <w:lang w:val="en-US"/>
        </w:rPr>
        <w:t>Factors</w:t>
      </w:r>
      <w:r w:rsidRPr="003F6924">
        <w:rPr>
          <w:rFonts w:ascii="Times New Roman" w:hAnsi="Times New Roman" w:cs="Times New Roman"/>
          <w:b/>
          <w:bCs/>
          <w:color w:val="000000" w:themeColor="text1"/>
          <w:sz w:val="26"/>
          <w:szCs w:val="26"/>
          <w:lang w:val="en-US"/>
        </w:rPr>
        <w:t xml:space="preserve">. </w:t>
      </w:r>
    </w:p>
    <w:p w14:paraId="2AE30379" w14:textId="391EF19E"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Eggers and Park (2018) emphasized that, beyond digital resources, organizational adaptation plays a critical role in facilitating digital transformation, particularly through flexible structures that respond effectively to change. These adaptations encompass factors such as leadership, strategy, organizational culture, and employee engagement. Previous studies contend that digital transformation affects organizational structure</w:t>
      </w:r>
      <w:r w:rsidRPr="003F6924">
        <w:rPr>
          <w:rFonts w:ascii="Times New Roman" w:hAnsi="Times New Roman" w:cs="Times New Roman"/>
          <w:color w:val="000000" w:themeColor="text1"/>
          <w:sz w:val="26"/>
          <w:szCs w:val="26"/>
          <w:lang w:val="vi-VN"/>
        </w:rPr>
        <w:t>,</w:t>
      </w:r>
      <w:r w:rsidRPr="003F6924">
        <w:rPr>
          <w:rFonts w:ascii="Times New Roman" w:hAnsi="Times New Roman" w:cs="Times New Roman"/>
          <w:color w:val="000000" w:themeColor="text1"/>
          <w:sz w:val="26"/>
          <w:szCs w:val="26"/>
          <w:lang w:val="en-US"/>
        </w:rPr>
        <w:t xml:space="preserve"> promoting a flexible framework consisting of distinct business units, agile organizational forms, and digital functional domains. </w:t>
      </w:r>
    </w:p>
    <w:p w14:paraId="6208FE30" w14:textId="4C5AA9D1" w:rsidR="00EF6E62"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According to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{"citationID":"s8gnGLF6","properties":{"formattedCitation":"(Zhang &amp; Wang, 2024)","plainCitation":"(Zhang &amp; Wang, 2024)","dontUpdate":true,"noteIndex":0},"citationItems":[{"id":4353,"uris":["http://zotero.org/users/9020985/items/ERLWX248"],"itemData":{"id":4353,"type":"article-journal","abstract":"Purpose\n              Under the influence of the digital economy, the digital transformation of manufacturing enterprises has attracted widespread attention from scholars at home and abroad due to its uniqueness and importance. However, the existing literature is still deficient in the inner mechanism of digital transformation and lacks research on the digital transformation process. Through in-depth interviews and rooted theory, this paper focuses on the key factors of digital development of manufacturing enterprises and constructs a model of the digital transformation process.\n            \n            \n              Design/methodology/approach\n              This paper takes China's manufacturing enterprises as research projects. First, through a literature search, the authors proposed three key factors for constructing sustainable competitiveness from digital transformation, that is, core technology innovation, business model re-engineering and organizational structure optimization. Second, the authors adopted the grounded theory approach to identify three sustainable competitive factors of manufacturing enterprises resulting from digital transformation and constructed a theoretical model. Third, based on Chinese manufacturing enterprises data, the authors used an empirical study to validate the three influencing factors. Finally, the authors identified the inner mechanism of the digital transformation of enterprises and put forward suggestions for enterprises to maintain sustainable competitiveness.\n            \n            \n              Findings\n              First, based on the existing literature, this paper identified the importance of digital transformation of manufacturing enterprises, and the essence of digital transformation of manufacturing companies was found to lie in the change in the combined effect of technological, market and organizational innovation. Second, based on the grounded theory, through in-depth interviews with manufacturing enterprises on digital transformation and open coding of interview transcripts, it was concluded that the key factors for the digital transformation manufacturing companies are core technology change, business model re-engineering and organizational structure optimization. Third, based on a dynamic perspective, the authors evaluated and validated digital transformation. The study found that manufacturing enterprises can improve their digital transformation capabilities through the trajectory of “core technology change – business model re-engineering – organizational structure optimization” to improve their sustainable competitive advantage.\n            \n            \n              Originality/value\n              Firstly, this study proposed three key factors for constructing sustainable competitiveness from digital transformation, that is, core technology innovation, business model re-engineering and organizational structure optimization, which enriched the theory of transformation and upgrading. Secondly, this study constructs the structural equation model of digital transformation and discovers the key factors pf digital transformation.","container-title":"Kybernetes","DOI":"10.1108/K-06-2023-1042","ISSN":"0368-492X","issue":"2","journalAbbreviation":"K","language":"en","license":"https://www.emerald.com/insight/site-policies","page":"752-762","source":"DOI.org (Crossref)","title":"Research on influencing factors and path of digital transformation of manufacturing enterprises","volume":"53","author":[{"family":"Zhang","given":"Yue"},{"family":"Wang","given":"Jiayuan"}],"issued":{"date-parts":[["2024",1,29]]}}}],"schema":"https://github.com/citation-style-language/schema/raw/master/csl-citation.json"}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 xml:space="preserve">Zhang </w:t>
      </w:r>
      <w:r w:rsidR="0025775B" w:rsidRPr="003F6924">
        <w:rPr>
          <w:rFonts w:ascii="Times New Roman" w:hAnsi="Times New Roman" w:cs="Times New Roman"/>
          <w:noProof/>
          <w:color w:val="000000" w:themeColor="text1"/>
          <w:sz w:val="26"/>
          <w:szCs w:val="26"/>
          <w:lang w:val="en-US"/>
        </w:rPr>
        <w:t>and</w:t>
      </w:r>
      <w:r w:rsidRPr="003F6924">
        <w:rPr>
          <w:rFonts w:ascii="Times New Roman" w:hAnsi="Times New Roman" w:cs="Times New Roman"/>
          <w:noProof/>
          <w:color w:val="000000" w:themeColor="text1"/>
          <w:sz w:val="26"/>
          <w:szCs w:val="26"/>
          <w:lang w:val="en-US"/>
        </w:rPr>
        <w:t xml:space="preserve"> Wang (2024)</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the structure and strategic direction of a company may either promote or obstruct digital change. </w:t>
      </w:r>
      <w:r w:rsidR="00BC494D" w:rsidRPr="003F6924">
        <w:rPr>
          <w:rFonts w:ascii="Times New Roman" w:hAnsi="Times New Roman" w:cs="Times New Roman"/>
          <w:color w:val="000000" w:themeColor="text1"/>
          <w:sz w:val="26"/>
          <w:szCs w:val="26"/>
          <w:lang w:val="en-US"/>
        </w:rPr>
        <w:t>Studies in the manufacturing sector further suggest that refining organizational structures and re-engineering business models are essential for enhancing digital transformation capabilities</w:t>
      </w:r>
      <w:r w:rsidRPr="003F6924">
        <w:rPr>
          <w:rFonts w:ascii="Times New Roman" w:hAnsi="Times New Roman" w:cs="Times New Roman"/>
          <w:color w:val="000000" w:themeColor="text1"/>
          <w:sz w:val="26"/>
          <w:szCs w:val="26"/>
          <w:lang w:val="en-US"/>
        </w:rPr>
        <w:t xml:space="preserve">. </w:t>
      </w:r>
      <w:r w:rsidR="00BC494D" w:rsidRPr="003F6924">
        <w:rPr>
          <w:rFonts w:ascii="Times New Roman" w:hAnsi="Times New Roman" w:cs="Times New Roman"/>
          <w:color w:val="000000" w:themeColor="text1"/>
          <w:sz w:val="26"/>
          <w:szCs w:val="26"/>
          <w:lang w:val="en-US"/>
        </w:rPr>
        <w:t>AlBar and H</w:t>
      </w:r>
      <w:r w:rsidR="00F377A7" w:rsidRPr="003F6924">
        <w:rPr>
          <w:rFonts w:ascii="Times New Roman" w:hAnsi="Times New Roman" w:cs="Times New Roman"/>
          <w:color w:val="000000" w:themeColor="text1"/>
          <w:sz w:val="26"/>
          <w:szCs w:val="26"/>
          <w:lang w:val="vi-VN"/>
        </w:rPr>
        <w:t>o</w:t>
      </w:r>
      <w:r w:rsidR="00BC494D" w:rsidRPr="003F6924">
        <w:rPr>
          <w:rFonts w:ascii="Times New Roman" w:hAnsi="Times New Roman" w:cs="Times New Roman"/>
          <w:color w:val="000000" w:themeColor="text1"/>
          <w:sz w:val="26"/>
          <w:szCs w:val="26"/>
          <w:lang w:val="en-US"/>
        </w:rPr>
        <w:t>que (2019) classified organizational factors into two main categories</w:t>
      </w:r>
      <w:r w:rsidR="00031DF5" w:rsidRPr="003F6924">
        <w:rPr>
          <w:rFonts w:ascii="Times New Roman" w:hAnsi="Times New Roman" w:cs="Times New Roman"/>
          <w:color w:val="000000" w:themeColor="text1"/>
          <w:sz w:val="26"/>
          <w:szCs w:val="26"/>
          <w:lang w:val="vi-VN"/>
        </w:rPr>
        <w:t xml:space="preserve"> – </w:t>
      </w:r>
      <w:r w:rsidR="00BC494D" w:rsidRPr="003F6924">
        <w:rPr>
          <w:rFonts w:ascii="Times New Roman" w:hAnsi="Times New Roman" w:cs="Times New Roman"/>
          <w:color w:val="000000" w:themeColor="text1"/>
          <w:sz w:val="26"/>
          <w:szCs w:val="26"/>
          <w:lang w:val="en-US"/>
        </w:rPr>
        <w:t>top management support and organizational culture</w:t>
      </w:r>
      <w:r w:rsidR="00031DF5" w:rsidRPr="003F6924">
        <w:rPr>
          <w:rFonts w:ascii="Times New Roman" w:hAnsi="Times New Roman" w:cs="Times New Roman"/>
          <w:color w:val="000000" w:themeColor="text1"/>
          <w:sz w:val="26"/>
          <w:szCs w:val="26"/>
          <w:lang w:val="vi-VN"/>
        </w:rPr>
        <w:t xml:space="preserve"> – </w:t>
      </w:r>
      <w:r w:rsidR="00BC494D" w:rsidRPr="003F6924">
        <w:rPr>
          <w:rFonts w:ascii="Times New Roman" w:hAnsi="Times New Roman" w:cs="Times New Roman"/>
          <w:color w:val="000000" w:themeColor="text1"/>
          <w:sz w:val="26"/>
          <w:szCs w:val="26"/>
          <w:lang w:val="en-US"/>
        </w:rPr>
        <w:t>and found both to be key antecedents of information and communication technology (ICT) adoption</w:t>
      </w:r>
      <w:r w:rsidRPr="003F6924">
        <w:rPr>
          <w:rFonts w:ascii="Times New Roman" w:hAnsi="Times New Roman" w:cs="Times New Roman"/>
          <w:color w:val="000000" w:themeColor="text1"/>
          <w:sz w:val="26"/>
          <w:szCs w:val="26"/>
          <w:lang w:val="en-US"/>
        </w:rPr>
        <w:t xml:space="preserve">. </w:t>
      </w:r>
      <w:r w:rsidR="00BC494D" w:rsidRPr="003F6924">
        <w:rPr>
          <w:rFonts w:ascii="Times New Roman" w:hAnsi="Times New Roman" w:cs="Times New Roman"/>
          <w:color w:val="000000" w:themeColor="text1"/>
          <w:sz w:val="26"/>
          <w:szCs w:val="26"/>
          <w:lang w:val="en-US"/>
        </w:rPr>
        <w:t>Similarly, Yigitbasioglu (2015) found that institutional pressure and top management support are positively associated with the adoption of cloud computing solutions</w:t>
      </w:r>
      <w:r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{"citationID":"2hP4sc21","properties":{"formattedCitation":"(Mazzei &amp; Noble, 2017)","plainCitation":"(Mazzei &amp; Noble, 2017)","dontUpdate":true,"noteIndex":0},"citationItems":[{"id":4357,"uris":["http://zotero.org/users/9020985/items/4V2VGAZI"],"itemData":{"id":4357,"type":"article-journal","abstract":"The phenomenon of big data—large, diverse, complex, and/or longitudinal data sets—is having a stark influence on organizational strategy making. An increase in levels of data and technological capabilities is redefining innovation, competition, and productivity. This article contributes to both practical strategic application and academic research in the strategic management domain by presenting a framework that identifies how big data improves functional capabilities within organizations, shapes entirely new industries, and is a key component of innovative and disruptive strategies used by learning organizations to diversify and break down barriers of traditionally defined industries. This framework provides an appropriate basis for internal corporate strategy discussions that surround big data investments by explaining how firms create value through various approaches. In addition, we offer guidance for how firms might derive their own big data approach through the merits of aligning data strategy aspirations with data strategy authenticity.","container-title":"Business Horizons","DOI":"10.1016/j.bushor.2017.01.010","ISSN":"0007-6813","issue":"3","journalAbbreviation":"Business Horizons","page":"405-414","source":"ScienceDirect","title":"Big data dreams: A framework for corporate strategy","title-short":"Big data dreams","volume":"60","author":[{"family":"Mazzei","given":"Matthew J."},{"family":"Noble","given":"David"}],"issued":{"date-parts":[["2017",5,1]]}}}],"schema":"https://github.com/citation-style-language/schema/raw/master/csl-citation.json"}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 xml:space="preserve">Mazzei </w:t>
      </w:r>
      <w:r w:rsidR="0025775B" w:rsidRPr="003F6924">
        <w:rPr>
          <w:rFonts w:ascii="Times New Roman" w:hAnsi="Times New Roman" w:cs="Times New Roman"/>
          <w:noProof/>
          <w:color w:val="000000" w:themeColor="text1"/>
          <w:sz w:val="26"/>
          <w:szCs w:val="26"/>
          <w:lang w:val="en-US"/>
        </w:rPr>
        <w:t>and</w:t>
      </w:r>
      <w:r w:rsidRPr="003F6924">
        <w:rPr>
          <w:rFonts w:ascii="Times New Roman" w:hAnsi="Times New Roman" w:cs="Times New Roman"/>
          <w:noProof/>
          <w:color w:val="000000" w:themeColor="text1"/>
          <w:sz w:val="26"/>
          <w:szCs w:val="26"/>
          <w:lang w:val="en-US"/>
        </w:rPr>
        <w:t xml:space="preserve"> Noble (2017)</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highlighted that improvements in leadership ideologies and behaviors significantly influence the digital transformation competencies of enterprises. </w:t>
      </w:r>
      <w:r w:rsidR="00BC494D" w:rsidRPr="003F6924">
        <w:rPr>
          <w:rFonts w:ascii="Times New Roman" w:hAnsi="Times New Roman" w:cs="Times New Roman"/>
          <w:color w:val="000000" w:themeColor="text1"/>
          <w:sz w:val="26"/>
          <w:szCs w:val="26"/>
          <w:lang w:val="en-US"/>
        </w:rPr>
        <w:t>Accordingly, these organizational modifications facilitate more agile and informed leadership decision-making by enabling immediate access to open information and data</w:t>
      </w:r>
      <w:r w:rsidRPr="003F6924">
        <w:rPr>
          <w:rFonts w:ascii="Times New Roman" w:hAnsi="Times New Roman" w:cs="Times New Roman"/>
          <w:color w:val="000000" w:themeColor="text1"/>
          <w:sz w:val="26"/>
          <w:szCs w:val="26"/>
          <w:lang w:val="en-US"/>
        </w:rPr>
        <w:t xml:space="preserve">. In other aspects,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{"citationID":"kxTk7XzS","properties":{"formattedCitation":"(Kindermann et al., 2021)","plainCitation":"(Kindermann et al., 2021)","dontUpdate":true,"noteIndex":0},"citationItems":[{"id":4359,"uris":["http://zotero.org/users/9020985/items/937JLDPV"],"itemData":{"id":4359,"type":"article-journal","abstract":"Although there is ample evidence that digital technologies are strategically important for value creation, extant literature lacks holistic concepts that capture an organization’s strategic orientation concerning digital innovation and transformation initiatives. This study integrates recent digitalization themes with IT business alignment research to conceptualize a new strategic orientation construct: digital orientation. The construct is manifested in four dimensions which we operationalize for computer-aided text analysis. We validate the construct based on 6498 shareholder letters from large US firms over 16 years. Building upon the resource-based view, we validate the digital orientation construct by linking it to firm performance. Our findings advance the literature on strategic orientations and bring the domains of strategy and information systems closer together. The novel digital orientation construct and the validated measurement instrument lead to many new research opportunities.","container-title":"European Management Journal","DOI":"10.1016/j.emj.2020.10.009","ISSN":"0263-2373","issue":"5","journalAbbreviation":"European Management Journal","page":"645-657","source":"ScienceDirect","title":"Digital orientation: Conceptualization and operationalization of a new strategic orientation","title-short":"Digital orientation","volume":"39","author":[{"family":"Kindermann","given":"Bastian"},{"family":"Beutel","given":"Sebastian"},{"family":"Garcia de Lomana","given":"Gonzalo"},{"family":"Strese","given":"Steffen"},{"family":"Bendig","given":"David"},{"family":"Brettel","given":"Malte"}],"issued":{"date-parts":[["2021",10,1]]}}}],"schema":"https://github.com/citation-style-language/schema/raw/master/csl-citation.json"}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Kindermann et al. (2021)</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indicated that organizational factors include a strategic orientation</w:t>
      </w:r>
      <w:r w:rsidR="005330B2" w:rsidRPr="003F6924">
        <w:rPr>
          <w:rFonts w:ascii="Times New Roman" w:hAnsi="Times New Roman" w:cs="Times New Roman"/>
          <w:color w:val="000000" w:themeColor="text1"/>
          <w:sz w:val="26"/>
          <w:szCs w:val="26"/>
          <w:lang w:val="en-US"/>
        </w:rPr>
        <w:t>,</w:t>
      </w:r>
      <w:r w:rsidRPr="003F6924">
        <w:rPr>
          <w:rFonts w:ascii="Times New Roman" w:hAnsi="Times New Roman" w:cs="Times New Roman"/>
          <w:color w:val="000000" w:themeColor="text1"/>
          <w:sz w:val="26"/>
          <w:szCs w:val="26"/>
          <w:lang w:val="en-US"/>
        </w:rPr>
        <w:t xml:space="preserve"> which is essential in guiding a firm's digital transformation path by aligning digital initiatives with long-term business objectives. </w:t>
      </w:r>
      <w:r w:rsidR="00BC494D" w:rsidRPr="003F6924">
        <w:rPr>
          <w:rFonts w:ascii="Times New Roman" w:hAnsi="Times New Roman" w:cs="Times New Roman"/>
          <w:color w:val="000000" w:themeColor="text1"/>
          <w:sz w:val="26"/>
          <w:szCs w:val="26"/>
          <w:lang w:val="en-US"/>
        </w:rPr>
        <w:t>Organizations with a strong digital orientation are more likely to invest in continuous digital transformation initiatives, thereby facilitating the effective integration of emerging technologies</w:t>
      </w:r>
      <w:r w:rsidRPr="003F6924">
        <w:rPr>
          <w:rFonts w:ascii="Times New Roman" w:hAnsi="Times New Roman" w:cs="Times New Roman"/>
          <w:color w:val="000000" w:themeColor="text1"/>
          <w:sz w:val="26"/>
          <w:szCs w:val="26"/>
          <w:lang w:val="en-US"/>
        </w:rPr>
        <w:t xml:space="preserve">. A study by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{"citationID":"meo7otsa","properties":{"formattedCitation":"(Blanka et al., 2022)","plainCitation":"(Blanka et al., 2022)","dontUpdate":true,"noteIndex":0},"citationItems":[{"id":4361,"uris":["http://zotero.org/users/9020985/items/ZYSRC7GG"],"itemData":{"id":4361,"type":"article-journal","abstract":"Businesses and academia alike agree upon the significant influence of digitalization on the business world. Hence, digital transformation is a very topical issue. While researchers underline that the movement toward digitalization is a challenge influencing various dimensions, studies to date have largely focused on the technological and organizational aspects of digitalization. Consequently, there is a gap in digital transformation concerning the role of human resources and employee competency. This paper adopts a human-centered view of digitalization at the intersection of digital and human transformation. Drawing on design science research (DSR), we developed a framework as an artifact that takes into account individual employee competency related to an organization's level of digital transformation. As suggested by DSR, the framework was developed in iterations and refined after evaluation by various domain experts in academia and business. The final framework illustrates the interplay between the individual and organizational levels; in particular, employees’ transformation competency (intrapreneurial and digital competencies) driving digital transformation. Our findings suggest that the development of intrapreneurial competencies is dynamic. Based on an intrapreneurial journey, employee competencies function as triggers to reach the next level of digital transformation. As such, employee competency is crucial in enabling an organization's transformation toward digitalization.","container-title":"Technological Forecasting and Social Change","DOI":"10.1016/j.techfore.2022.121575","ISSN":"0040-1625","journalAbbreviation":"Technological Forecasting and Social Change","page":"121575","source":"ScienceDirect","title":"The interplay of digital transformation and employee competency: A design science approach","title-short":"The interplay of digital transformation and employee competency","volume":"178","author":[{"family":"Blanka","given":"Christine"},{"family":"Krumay","given":"Barbara"},{"family":"Rueckel","given":"David"}],"issued":{"date-parts":[["2022",5,1]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Blanka et al. (2022)</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established a human-centered paradigm highlighting the significance of staff competencies – specifically intrapreneurial and digital skills – in facilitating digital transformation. </w:t>
      </w:r>
      <w:r w:rsidR="00673588" w:rsidRPr="00673588">
        <w:rPr>
          <w:rFonts w:ascii="Times New Roman" w:hAnsi="Times New Roman" w:cs="Times New Roman"/>
          <w:color w:val="000000" w:themeColor="text1"/>
          <w:sz w:val="26"/>
          <w:szCs w:val="26"/>
          <w:lang w:val="en-US"/>
        </w:rPr>
        <w:t>The findings indicate</w:t>
      </w:r>
      <w:r w:rsidR="00673588">
        <w:rPr>
          <w:rFonts w:ascii="Times New Roman" w:hAnsi="Times New Roman" w:cs="Times New Roman"/>
          <w:color w:val="000000" w:themeColor="text1"/>
          <w:sz w:val="26"/>
          <w:szCs w:val="26"/>
          <w:lang w:val="en-US"/>
        </w:rPr>
        <w:t>d</w:t>
      </w:r>
      <w:r w:rsidR="00673588" w:rsidRPr="00673588">
        <w:rPr>
          <w:rFonts w:ascii="Times New Roman" w:hAnsi="Times New Roman" w:cs="Times New Roman"/>
          <w:color w:val="000000" w:themeColor="text1"/>
          <w:sz w:val="26"/>
          <w:szCs w:val="26"/>
          <w:lang w:val="en-US"/>
        </w:rPr>
        <w:t xml:space="preserve"> that personnel with stronger capabilities are more likely to engage actively in digital transformation initiatives, thereby facilitating</w:t>
      </w:r>
      <w:r w:rsidR="00673588">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organizational change and innovation.</w:t>
      </w:r>
      <w:r w:rsidR="00BC494D" w:rsidRPr="003F6924">
        <w:rPr>
          <w:rFonts w:ascii="Times New Roman" w:hAnsi="Times New Roman" w:cs="Times New Roman"/>
          <w:color w:val="000000" w:themeColor="text1"/>
          <w:sz w:val="26"/>
          <w:szCs w:val="26"/>
          <w:lang w:val="vi-VN"/>
        </w:rPr>
        <w:t xml:space="preserve"> Lai et al. (2021) supported this view, concluding that enhanced IT proficiency increases employee autonomy and collaboration, thereby improving organizational agility</w:t>
      </w:r>
      <w:r w:rsidR="00031DF5" w:rsidRPr="003F6924">
        <w:rPr>
          <w:rFonts w:ascii="Times New Roman" w:hAnsi="Times New Roman" w:cs="Times New Roman"/>
          <w:color w:val="000000" w:themeColor="text1"/>
          <w:sz w:val="26"/>
          <w:szCs w:val="26"/>
          <w:lang w:val="vi-VN"/>
        </w:rPr>
        <w:t xml:space="preserve"> – </w:t>
      </w:r>
      <w:r w:rsidR="00BC494D" w:rsidRPr="003F6924">
        <w:rPr>
          <w:rFonts w:ascii="Times New Roman" w:hAnsi="Times New Roman" w:cs="Times New Roman"/>
          <w:color w:val="000000" w:themeColor="text1"/>
          <w:sz w:val="26"/>
          <w:szCs w:val="26"/>
          <w:lang w:val="vi-VN"/>
        </w:rPr>
        <w:t>a critical factor for responding to rapid changes associated with digital transformation</w:t>
      </w:r>
      <w:r w:rsidRPr="003F6924">
        <w:rPr>
          <w:rFonts w:ascii="Times New Roman" w:hAnsi="Times New Roman" w:cs="Times New Roman"/>
          <w:color w:val="000000" w:themeColor="text1"/>
          <w:sz w:val="26"/>
          <w:szCs w:val="26"/>
          <w:lang w:val="en-US"/>
        </w:rPr>
        <w:t xml:space="preserve">. </w:t>
      </w:r>
      <w:r w:rsidR="00E010C3" w:rsidRPr="003F6924">
        <w:rPr>
          <w:rFonts w:ascii="Times New Roman" w:hAnsi="Times New Roman" w:cs="Times New Roman"/>
          <w:color w:val="000000" w:themeColor="text1"/>
          <w:sz w:val="26"/>
          <w:szCs w:val="26"/>
          <w:lang w:val="en-US"/>
        </w:rPr>
        <w:t>F</w:t>
      </w:r>
      <w:r w:rsidRPr="003F6924">
        <w:rPr>
          <w:rFonts w:ascii="Times New Roman" w:hAnsi="Times New Roman" w:cs="Times New Roman"/>
          <w:color w:val="000000" w:themeColor="text1"/>
          <w:sz w:val="26"/>
          <w:szCs w:val="26"/>
          <w:lang w:val="en-US"/>
        </w:rPr>
        <w:t xml:space="preserve">actors such as risk management and financial capability are also associated with the digital transformation of the organization. </w:t>
      </w:r>
      <w:r w:rsidR="00545EF5" w:rsidRPr="003F6924">
        <w:rPr>
          <w:rFonts w:ascii="Times New Roman" w:hAnsi="Times New Roman" w:cs="Times New Roman"/>
          <w:color w:val="000000" w:themeColor="text1"/>
          <w:sz w:val="26"/>
          <w:szCs w:val="26"/>
          <w:lang w:val="en-US"/>
        </w:rPr>
        <w:t>For example, a McKinsey report highlighted that banks integrating risk management into their digital initiatives can accelerate the pace of transformation</w:t>
      </w:r>
      <w:r w:rsidRPr="003F6924">
        <w:rPr>
          <w:rFonts w:ascii="Times New Roman" w:hAnsi="Times New Roman" w:cs="Times New Roman"/>
          <w:color w:val="000000" w:themeColor="text1"/>
          <w:sz w:val="26"/>
          <w:szCs w:val="26"/>
          <w:lang w:val="en-US"/>
        </w:rPr>
        <w:t xml:space="preserve">. By automating procedures and engaging risk teams early, banks mitigate delays and improve regulatory compliance. </w:t>
      </w:r>
      <w:r w:rsidR="00545EF5" w:rsidRPr="003F6924">
        <w:rPr>
          <w:rFonts w:ascii="Times New Roman" w:hAnsi="Times New Roman" w:cs="Times New Roman"/>
          <w:color w:val="000000" w:themeColor="text1"/>
          <w:sz w:val="26"/>
          <w:szCs w:val="26"/>
          <w:lang w:val="en-US"/>
        </w:rPr>
        <w:t>Similarly, Boehm et al. (2021) reported that a financial institution reduced operational expenses by 85% and accelerated code deployment by 90% by integrating risk assessments into agile development methodologies</w:t>
      </w:r>
      <w:r w:rsidRPr="003F6924">
        <w:rPr>
          <w:rFonts w:ascii="Times New Roman" w:hAnsi="Times New Roman" w:cs="Times New Roman"/>
          <w:color w:val="000000" w:themeColor="text1"/>
          <w:sz w:val="26"/>
          <w:szCs w:val="26"/>
          <w:lang w:val="en-US"/>
        </w:rPr>
        <w:t xml:space="preserve">. Therefore, the authors propose that: </w:t>
      </w:r>
    </w:p>
    <w:p w14:paraId="6727AAF3" w14:textId="77777777" w:rsidR="00673588" w:rsidRPr="003F6924" w:rsidRDefault="00673588"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0E0C7159" w14:textId="5E8C5B79" w:rsidR="00EF6E62" w:rsidRPr="003F6924" w:rsidRDefault="00B543E4" w:rsidP="00794E60">
      <w:pPr>
        <w:snapToGrid w:val="0"/>
        <w:spacing w:after="0" w:line="300" w:lineRule="auto"/>
        <w:ind w:left="390" w:hangingChars="150" w:hanging="390"/>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H</w:t>
      </w:r>
      <w:r w:rsidRPr="003F6924">
        <w:rPr>
          <w:rFonts w:ascii="Times New Roman" w:hAnsi="Times New Roman" w:cs="Times New Roman"/>
          <w:b/>
          <w:bCs/>
          <w:color w:val="000000" w:themeColor="text1"/>
          <w:sz w:val="26"/>
          <w:szCs w:val="26"/>
          <w:vertAlign w:val="subscript"/>
          <w:lang w:val="en-US"/>
        </w:rPr>
        <w:t>3</w:t>
      </w:r>
      <w:r w:rsidRPr="003F6924">
        <w:rPr>
          <w:rFonts w:ascii="Times New Roman" w:hAnsi="Times New Roman" w:cs="Times New Roman"/>
          <w:b/>
          <w:bCs/>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Leadership capability positively influences the bank's Digital transformation capability</w:t>
      </w:r>
      <w:r w:rsidR="00BF2672" w:rsidRPr="003F6924">
        <w:rPr>
          <w:rFonts w:ascii="Times New Roman" w:hAnsi="Times New Roman" w:cs="Times New Roman"/>
          <w:color w:val="000000" w:themeColor="text1"/>
          <w:sz w:val="26"/>
          <w:szCs w:val="26"/>
          <w:lang w:val="en-US"/>
        </w:rPr>
        <w:t>.</w:t>
      </w:r>
      <w:r w:rsidRPr="003F6924">
        <w:rPr>
          <w:rFonts w:ascii="Times New Roman" w:hAnsi="Times New Roman" w:cs="Times New Roman"/>
          <w:b/>
          <w:bCs/>
          <w:color w:val="000000" w:themeColor="text1"/>
          <w:sz w:val="26"/>
          <w:szCs w:val="26"/>
          <w:lang w:val="en-US"/>
        </w:rPr>
        <w:t xml:space="preserve"> </w:t>
      </w:r>
    </w:p>
    <w:p w14:paraId="0E652B1E" w14:textId="56F99BEF" w:rsidR="00EF6E62" w:rsidRPr="003F6924" w:rsidRDefault="00B543E4" w:rsidP="00794E60">
      <w:pPr>
        <w:snapToGrid w:val="0"/>
        <w:spacing w:after="0" w:line="300" w:lineRule="auto"/>
        <w:ind w:left="390" w:hangingChars="150" w:hanging="390"/>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H</w:t>
      </w:r>
      <w:r w:rsidRPr="003F6924">
        <w:rPr>
          <w:rFonts w:ascii="Times New Roman" w:hAnsi="Times New Roman" w:cs="Times New Roman"/>
          <w:b/>
          <w:bCs/>
          <w:color w:val="000000" w:themeColor="text1"/>
          <w:sz w:val="26"/>
          <w:szCs w:val="26"/>
          <w:vertAlign w:val="subscript"/>
          <w:lang w:val="en-US"/>
        </w:rPr>
        <w:t>4</w:t>
      </w:r>
      <w:r w:rsidRPr="003F6924">
        <w:rPr>
          <w:rFonts w:ascii="Times New Roman" w:hAnsi="Times New Roman" w:cs="Times New Roman"/>
          <w:b/>
          <w:bCs/>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A digital transformation strategy positively influences the bank's digital transformation capability</w:t>
      </w:r>
      <w:r w:rsidR="00BF2672" w:rsidRPr="003F6924">
        <w:rPr>
          <w:rFonts w:ascii="Times New Roman" w:hAnsi="Times New Roman" w:cs="Times New Roman"/>
          <w:color w:val="000000" w:themeColor="text1"/>
          <w:sz w:val="26"/>
          <w:szCs w:val="26"/>
          <w:lang w:val="en-US"/>
        </w:rPr>
        <w:t>.</w:t>
      </w:r>
      <w:r w:rsidRPr="003F6924">
        <w:rPr>
          <w:rFonts w:ascii="Times New Roman" w:hAnsi="Times New Roman" w:cs="Times New Roman"/>
          <w:b/>
          <w:bCs/>
          <w:color w:val="000000" w:themeColor="text1"/>
          <w:sz w:val="26"/>
          <w:szCs w:val="26"/>
          <w:lang w:val="en-US"/>
        </w:rPr>
        <w:t xml:space="preserve"> </w:t>
      </w:r>
    </w:p>
    <w:p w14:paraId="5A33D1D3" w14:textId="77777777" w:rsidR="00EF6E62" w:rsidRPr="003F6924" w:rsidRDefault="00B543E4" w:rsidP="00794E60">
      <w:pPr>
        <w:snapToGrid w:val="0"/>
        <w:spacing w:after="0" w:line="300" w:lineRule="auto"/>
        <w:ind w:left="390" w:hangingChars="150" w:hanging="390"/>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H</w:t>
      </w:r>
      <w:r w:rsidRPr="003F6924">
        <w:rPr>
          <w:rFonts w:ascii="Times New Roman" w:hAnsi="Times New Roman" w:cs="Times New Roman"/>
          <w:b/>
          <w:bCs/>
          <w:color w:val="000000" w:themeColor="text1"/>
          <w:sz w:val="26"/>
          <w:szCs w:val="26"/>
          <w:vertAlign w:val="subscript"/>
          <w:lang w:val="en-US"/>
        </w:rPr>
        <w:t>5</w:t>
      </w:r>
      <w:r w:rsidRPr="003F6924">
        <w:rPr>
          <w:rFonts w:ascii="Times New Roman" w:hAnsi="Times New Roman" w:cs="Times New Roman"/>
          <w:b/>
          <w:bCs/>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 xml:space="preserve">Employee competency </w:t>
      </w:r>
      <w:r w:rsidR="00545EF5" w:rsidRPr="003F6924">
        <w:rPr>
          <w:rFonts w:ascii="Times New Roman" w:hAnsi="Times New Roman" w:cs="Times New Roman"/>
          <w:color w:val="000000" w:themeColor="text1"/>
          <w:sz w:val="26"/>
          <w:szCs w:val="26"/>
          <w:lang w:val="en-US"/>
        </w:rPr>
        <w:t>and</w:t>
      </w:r>
      <w:r w:rsidRPr="003F6924">
        <w:rPr>
          <w:rFonts w:ascii="Times New Roman" w:hAnsi="Times New Roman" w:cs="Times New Roman"/>
          <w:color w:val="000000" w:themeColor="text1"/>
          <w:sz w:val="26"/>
          <w:szCs w:val="26"/>
          <w:lang w:val="en-US"/>
        </w:rPr>
        <w:t xml:space="preserve"> comprehension positively influence the Digital transformation capability of the </w:t>
      </w:r>
      <w:r w:rsidR="00545EF5" w:rsidRPr="003F6924">
        <w:rPr>
          <w:rFonts w:ascii="Times New Roman" w:hAnsi="Times New Roman" w:cs="Times New Roman"/>
          <w:color w:val="000000" w:themeColor="text1"/>
          <w:sz w:val="26"/>
          <w:szCs w:val="26"/>
          <w:lang w:val="vi-VN"/>
        </w:rPr>
        <w:t>b</w:t>
      </w:r>
      <w:proofErr w:type="spellStart"/>
      <w:r w:rsidRPr="003F6924">
        <w:rPr>
          <w:rFonts w:ascii="Times New Roman" w:hAnsi="Times New Roman" w:cs="Times New Roman"/>
          <w:color w:val="000000" w:themeColor="text1"/>
          <w:sz w:val="26"/>
          <w:szCs w:val="26"/>
          <w:lang w:val="en-US"/>
        </w:rPr>
        <w:t>ank</w:t>
      </w:r>
      <w:proofErr w:type="spellEnd"/>
      <w:r w:rsidR="00BF2672" w:rsidRPr="003F6924">
        <w:rPr>
          <w:rFonts w:ascii="Times New Roman" w:hAnsi="Times New Roman" w:cs="Times New Roman"/>
          <w:color w:val="000000" w:themeColor="text1"/>
          <w:sz w:val="26"/>
          <w:szCs w:val="26"/>
          <w:lang w:val="en-US"/>
        </w:rPr>
        <w:t>.</w:t>
      </w:r>
      <w:r w:rsidRPr="003F6924">
        <w:rPr>
          <w:rFonts w:ascii="Times New Roman" w:hAnsi="Times New Roman" w:cs="Times New Roman"/>
          <w:b/>
          <w:bCs/>
          <w:color w:val="000000" w:themeColor="text1"/>
          <w:sz w:val="26"/>
          <w:szCs w:val="26"/>
          <w:lang w:val="en-US"/>
        </w:rPr>
        <w:t xml:space="preserve"> </w:t>
      </w:r>
    </w:p>
    <w:p w14:paraId="110560C6" w14:textId="77777777" w:rsidR="00EF6E62" w:rsidRPr="003F6924" w:rsidRDefault="00B543E4" w:rsidP="00794E60">
      <w:pPr>
        <w:snapToGrid w:val="0"/>
        <w:spacing w:after="0" w:line="300" w:lineRule="auto"/>
        <w:ind w:left="390" w:hangingChars="150" w:hanging="390"/>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H</w:t>
      </w:r>
      <w:r w:rsidRPr="003F6924">
        <w:rPr>
          <w:rFonts w:ascii="Times New Roman" w:hAnsi="Times New Roman" w:cs="Times New Roman"/>
          <w:b/>
          <w:bCs/>
          <w:color w:val="000000" w:themeColor="text1"/>
          <w:sz w:val="26"/>
          <w:szCs w:val="26"/>
          <w:vertAlign w:val="subscript"/>
          <w:lang w:val="en-US"/>
        </w:rPr>
        <w:t>6</w:t>
      </w:r>
      <w:r w:rsidRPr="003F6924">
        <w:rPr>
          <w:rFonts w:ascii="Times New Roman" w:hAnsi="Times New Roman" w:cs="Times New Roman"/>
          <w:b/>
          <w:bCs/>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 xml:space="preserve">Bank risk management positively influences the Digital transformation capability of the </w:t>
      </w:r>
      <w:r w:rsidR="00545EF5" w:rsidRPr="003F6924">
        <w:rPr>
          <w:rFonts w:ascii="Times New Roman" w:hAnsi="Times New Roman" w:cs="Times New Roman"/>
          <w:color w:val="000000" w:themeColor="text1"/>
          <w:sz w:val="26"/>
          <w:szCs w:val="26"/>
          <w:lang w:val="vi-VN"/>
        </w:rPr>
        <w:t>b</w:t>
      </w:r>
      <w:proofErr w:type="spellStart"/>
      <w:r w:rsidRPr="003F6924">
        <w:rPr>
          <w:rFonts w:ascii="Times New Roman" w:hAnsi="Times New Roman" w:cs="Times New Roman"/>
          <w:color w:val="000000" w:themeColor="text1"/>
          <w:sz w:val="26"/>
          <w:szCs w:val="26"/>
          <w:lang w:val="en-US"/>
        </w:rPr>
        <w:t>ank</w:t>
      </w:r>
      <w:proofErr w:type="spellEnd"/>
      <w:r w:rsidR="005330B2" w:rsidRPr="003F6924">
        <w:rPr>
          <w:rFonts w:ascii="Times New Roman" w:hAnsi="Times New Roman" w:cs="Times New Roman"/>
          <w:color w:val="000000" w:themeColor="text1"/>
          <w:sz w:val="26"/>
          <w:szCs w:val="26"/>
          <w:lang w:val="en-US"/>
        </w:rPr>
        <w:t>.</w:t>
      </w:r>
    </w:p>
    <w:p w14:paraId="165E4C98" w14:textId="77777777" w:rsidR="00EF6E62" w:rsidRPr="003F6924" w:rsidRDefault="00B543E4" w:rsidP="00794E60">
      <w:pPr>
        <w:snapToGrid w:val="0"/>
        <w:spacing w:after="0" w:line="300" w:lineRule="auto"/>
        <w:ind w:left="390" w:hangingChars="150" w:hanging="390"/>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H</w:t>
      </w:r>
      <w:r w:rsidRPr="003F6924">
        <w:rPr>
          <w:rFonts w:ascii="Times New Roman" w:hAnsi="Times New Roman" w:cs="Times New Roman"/>
          <w:b/>
          <w:bCs/>
          <w:color w:val="000000" w:themeColor="text1"/>
          <w:sz w:val="26"/>
          <w:szCs w:val="26"/>
          <w:vertAlign w:val="subscript"/>
          <w:lang w:val="en-US"/>
        </w:rPr>
        <w:t>7</w:t>
      </w:r>
      <w:r w:rsidRPr="003F6924">
        <w:rPr>
          <w:rFonts w:ascii="Times New Roman" w:hAnsi="Times New Roman" w:cs="Times New Roman"/>
          <w:b/>
          <w:bCs/>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 xml:space="preserve">Bank corporate culture positively influences the Digital transformation capability of the </w:t>
      </w:r>
      <w:r w:rsidR="00545EF5" w:rsidRPr="003F6924">
        <w:rPr>
          <w:rFonts w:ascii="Times New Roman" w:hAnsi="Times New Roman" w:cs="Times New Roman"/>
          <w:color w:val="000000" w:themeColor="text1"/>
          <w:sz w:val="26"/>
          <w:szCs w:val="26"/>
          <w:lang w:val="vi-VN"/>
        </w:rPr>
        <w:t>b</w:t>
      </w:r>
      <w:proofErr w:type="spellStart"/>
      <w:r w:rsidRPr="003F6924">
        <w:rPr>
          <w:rFonts w:ascii="Times New Roman" w:hAnsi="Times New Roman" w:cs="Times New Roman"/>
          <w:color w:val="000000" w:themeColor="text1"/>
          <w:sz w:val="26"/>
          <w:szCs w:val="26"/>
          <w:lang w:val="en-US"/>
        </w:rPr>
        <w:t>ank</w:t>
      </w:r>
      <w:proofErr w:type="spellEnd"/>
      <w:r w:rsidR="005330B2" w:rsidRPr="003F6924">
        <w:rPr>
          <w:rFonts w:ascii="Times New Roman" w:hAnsi="Times New Roman" w:cs="Times New Roman"/>
          <w:color w:val="000000" w:themeColor="text1"/>
          <w:sz w:val="26"/>
          <w:szCs w:val="26"/>
          <w:lang w:val="en-US"/>
        </w:rPr>
        <w:t>.</w:t>
      </w:r>
      <w:r w:rsidRPr="003F6924">
        <w:rPr>
          <w:rFonts w:ascii="Times New Roman" w:hAnsi="Times New Roman" w:cs="Times New Roman"/>
          <w:b/>
          <w:bCs/>
          <w:color w:val="000000" w:themeColor="text1"/>
          <w:sz w:val="26"/>
          <w:szCs w:val="26"/>
          <w:lang w:val="en-US"/>
        </w:rPr>
        <w:t xml:space="preserve"> </w:t>
      </w:r>
    </w:p>
    <w:p w14:paraId="3AAD33B1" w14:textId="77777777" w:rsidR="00EF6E62" w:rsidRPr="003F6924" w:rsidRDefault="00B543E4" w:rsidP="00794E60">
      <w:pPr>
        <w:snapToGrid w:val="0"/>
        <w:spacing w:after="0" w:line="300" w:lineRule="auto"/>
        <w:ind w:left="390" w:hangingChars="150" w:hanging="390"/>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H</w:t>
      </w:r>
      <w:r w:rsidRPr="003F6924">
        <w:rPr>
          <w:rFonts w:ascii="Times New Roman" w:hAnsi="Times New Roman" w:cs="Times New Roman"/>
          <w:b/>
          <w:bCs/>
          <w:color w:val="000000" w:themeColor="text1"/>
          <w:sz w:val="26"/>
          <w:szCs w:val="26"/>
          <w:vertAlign w:val="subscript"/>
          <w:lang w:val="en-US"/>
        </w:rPr>
        <w:t>8</w:t>
      </w:r>
      <w:r w:rsidRPr="003F6924">
        <w:rPr>
          <w:rFonts w:ascii="Times New Roman" w:hAnsi="Times New Roman" w:cs="Times New Roman"/>
          <w:b/>
          <w:bCs/>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 xml:space="preserve">Digital transformation pressure positively influences the Digital transformation capability of the </w:t>
      </w:r>
      <w:r w:rsidR="00545EF5" w:rsidRPr="003F6924">
        <w:rPr>
          <w:rFonts w:ascii="Times New Roman" w:hAnsi="Times New Roman" w:cs="Times New Roman"/>
          <w:color w:val="000000" w:themeColor="text1"/>
          <w:sz w:val="26"/>
          <w:szCs w:val="26"/>
          <w:lang w:val="vi-VN"/>
        </w:rPr>
        <w:t>b</w:t>
      </w:r>
      <w:proofErr w:type="spellStart"/>
      <w:r w:rsidRPr="003F6924">
        <w:rPr>
          <w:rFonts w:ascii="Times New Roman" w:hAnsi="Times New Roman" w:cs="Times New Roman"/>
          <w:color w:val="000000" w:themeColor="text1"/>
          <w:sz w:val="26"/>
          <w:szCs w:val="26"/>
          <w:lang w:val="en-US"/>
        </w:rPr>
        <w:t>ank</w:t>
      </w:r>
      <w:proofErr w:type="spellEnd"/>
      <w:r w:rsidR="006E65F6" w:rsidRPr="003F6924">
        <w:rPr>
          <w:rFonts w:ascii="Times New Roman" w:hAnsi="Times New Roman" w:cs="Times New Roman"/>
          <w:color w:val="000000" w:themeColor="text1"/>
          <w:sz w:val="26"/>
          <w:szCs w:val="26"/>
          <w:lang w:val="en-US" w:eastAsia="zh-TW"/>
        </w:rPr>
        <w:t>.</w:t>
      </w:r>
      <w:r w:rsidRPr="003F6924">
        <w:rPr>
          <w:rFonts w:ascii="Times New Roman" w:hAnsi="Times New Roman" w:cs="Times New Roman"/>
          <w:b/>
          <w:bCs/>
          <w:color w:val="000000" w:themeColor="text1"/>
          <w:sz w:val="26"/>
          <w:szCs w:val="26"/>
          <w:lang w:val="en-US"/>
        </w:rPr>
        <w:t xml:space="preserve"> </w:t>
      </w:r>
    </w:p>
    <w:p w14:paraId="21A4EA4A" w14:textId="56BB131F" w:rsidR="00EF6E62" w:rsidRPr="003F6924" w:rsidRDefault="00B543E4" w:rsidP="00BF2672">
      <w:pPr>
        <w:snapToGrid w:val="0"/>
        <w:spacing w:after="0" w:line="300" w:lineRule="auto"/>
        <w:ind w:left="390" w:hangingChars="150" w:hanging="390"/>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H</w:t>
      </w:r>
      <w:r w:rsidRPr="003F6924">
        <w:rPr>
          <w:rFonts w:ascii="Times New Roman" w:hAnsi="Times New Roman" w:cs="Times New Roman"/>
          <w:b/>
          <w:bCs/>
          <w:color w:val="000000" w:themeColor="text1"/>
          <w:sz w:val="26"/>
          <w:szCs w:val="26"/>
          <w:vertAlign w:val="subscript"/>
          <w:lang w:val="en-US"/>
        </w:rPr>
        <w:t>9</w:t>
      </w:r>
      <w:r w:rsidRPr="003F6924">
        <w:rPr>
          <w:rFonts w:ascii="Times New Roman" w:hAnsi="Times New Roman" w:cs="Times New Roman"/>
          <w:b/>
          <w:bCs/>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 xml:space="preserve">Bank financial capability positively influences the Digital transformation capability of the </w:t>
      </w:r>
      <w:r w:rsidR="00545EF5" w:rsidRPr="003F6924">
        <w:rPr>
          <w:rFonts w:ascii="Times New Roman" w:hAnsi="Times New Roman" w:cs="Times New Roman"/>
          <w:color w:val="000000" w:themeColor="text1"/>
          <w:sz w:val="26"/>
          <w:szCs w:val="26"/>
          <w:lang w:val="vi-VN"/>
        </w:rPr>
        <w:t>b</w:t>
      </w:r>
      <w:proofErr w:type="spellStart"/>
      <w:r w:rsidRPr="003F6924">
        <w:rPr>
          <w:rFonts w:ascii="Times New Roman" w:hAnsi="Times New Roman" w:cs="Times New Roman"/>
          <w:color w:val="000000" w:themeColor="text1"/>
          <w:sz w:val="26"/>
          <w:szCs w:val="26"/>
          <w:lang w:val="en-US"/>
        </w:rPr>
        <w:t>ank</w:t>
      </w:r>
      <w:proofErr w:type="spellEnd"/>
      <w:r w:rsidR="005330B2" w:rsidRPr="003F6924">
        <w:rPr>
          <w:rFonts w:ascii="Times New Roman" w:hAnsi="Times New Roman" w:cs="Times New Roman"/>
          <w:color w:val="000000" w:themeColor="text1"/>
          <w:sz w:val="26"/>
          <w:szCs w:val="26"/>
          <w:lang w:val="en-US"/>
        </w:rPr>
        <w:t>.</w:t>
      </w:r>
      <w:r w:rsidRPr="003F6924">
        <w:rPr>
          <w:rFonts w:ascii="Times New Roman" w:hAnsi="Times New Roman" w:cs="Times New Roman"/>
          <w:b/>
          <w:bCs/>
          <w:color w:val="000000" w:themeColor="text1"/>
          <w:sz w:val="26"/>
          <w:szCs w:val="26"/>
          <w:lang w:val="en-US"/>
        </w:rPr>
        <w:t xml:space="preserve"> </w:t>
      </w:r>
    </w:p>
    <w:p w14:paraId="4EBCDC51" w14:textId="77777777" w:rsidR="00212314" w:rsidRPr="003F6924" w:rsidRDefault="00212314" w:rsidP="005723B1">
      <w:pPr>
        <w:snapToGrid w:val="0"/>
        <w:spacing w:after="0" w:line="300" w:lineRule="auto"/>
        <w:ind w:left="720"/>
        <w:jc w:val="both"/>
        <w:rPr>
          <w:rFonts w:ascii="Times New Roman" w:hAnsi="Times New Roman" w:cs="Times New Roman"/>
          <w:color w:val="000000" w:themeColor="text1"/>
          <w:sz w:val="26"/>
          <w:szCs w:val="26"/>
          <w:lang w:val="en-US"/>
        </w:rPr>
      </w:pPr>
    </w:p>
    <w:p w14:paraId="3E5CFB8C" w14:textId="7EB00B8D" w:rsidR="00EF6E62" w:rsidRPr="003F6924" w:rsidRDefault="00B543E4" w:rsidP="005723B1">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Environmental </w:t>
      </w:r>
      <w:r w:rsidR="00673588" w:rsidRPr="003F6924">
        <w:rPr>
          <w:rFonts w:ascii="Times New Roman" w:hAnsi="Times New Roman" w:cs="Times New Roman"/>
          <w:b/>
          <w:bCs/>
          <w:color w:val="000000" w:themeColor="text1"/>
          <w:sz w:val="26"/>
          <w:szCs w:val="26"/>
          <w:lang w:val="en-US"/>
        </w:rPr>
        <w:t xml:space="preserve">Factors </w:t>
      </w:r>
    </w:p>
    <w:p w14:paraId="102B07D3" w14:textId="4AAC85AF" w:rsidR="00EF6E62"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The environmental setting </w:t>
      </w:r>
      <w:r w:rsidR="00545EF5" w:rsidRPr="003F6924">
        <w:rPr>
          <w:rFonts w:ascii="Times New Roman" w:hAnsi="Times New Roman" w:cs="Times New Roman"/>
          <w:color w:val="000000" w:themeColor="text1"/>
          <w:sz w:val="26"/>
          <w:szCs w:val="26"/>
          <w:lang w:val="en-US"/>
        </w:rPr>
        <w:t>has</w:t>
      </w:r>
      <w:r w:rsidR="00545EF5" w:rsidRPr="003F6924">
        <w:rPr>
          <w:rFonts w:ascii="Times New Roman" w:hAnsi="Times New Roman" w:cs="Times New Roman"/>
          <w:color w:val="000000" w:themeColor="text1"/>
          <w:sz w:val="26"/>
          <w:szCs w:val="26"/>
          <w:lang w:val="vi-VN"/>
        </w:rPr>
        <w:t xml:space="preserve"> </w:t>
      </w:r>
      <w:r w:rsidR="00545EF5" w:rsidRPr="003F6924">
        <w:rPr>
          <w:rFonts w:ascii="Times New Roman" w:hAnsi="Times New Roman" w:cs="Times New Roman"/>
          <w:color w:val="000000" w:themeColor="text1"/>
          <w:sz w:val="26"/>
          <w:szCs w:val="26"/>
          <w:lang w:val="en-US"/>
        </w:rPr>
        <w:t xml:space="preserve">a significant influence on </w:t>
      </w:r>
      <w:r w:rsidRPr="003F6924">
        <w:rPr>
          <w:rFonts w:ascii="Times New Roman" w:hAnsi="Times New Roman" w:cs="Times New Roman"/>
          <w:color w:val="000000" w:themeColor="text1"/>
          <w:sz w:val="26"/>
          <w:szCs w:val="26"/>
          <w:lang w:val="en-US"/>
        </w:rPr>
        <w:t xml:space="preserve">the adoption of digital transformation by SMEs. </w:t>
      </w:r>
      <w:r w:rsidR="002E1409" w:rsidRPr="003F6924">
        <w:rPr>
          <w:rFonts w:ascii="Times New Roman" w:hAnsi="Times New Roman" w:cs="Times New Roman"/>
          <w:color w:val="000000" w:themeColor="text1"/>
          <w:sz w:val="26"/>
          <w:szCs w:val="26"/>
          <w:lang w:val="en-US"/>
        </w:rPr>
        <w:t>According to AlBar and H</w:t>
      </w:r>
      <w:r w:rsidR="00F377A7" w:rsidRPr="003F6924">
        <w:rPr>
          <w:rFonts w:ascii="Times New Roman" w:hAnsi="Times New Roman" w:cs="Times New Roman"/>
          <w:color w:val="000000" w:themeColor="text1"/>
          <w:sz w:val="26"/>
          <w:szCs w:val="26"/>
          <w:lang w:val="vi-VN"/>
        </w:rPr>
        <w:t>o</w:t>
      </w:r>
      <w:r w:rsidR="002E1409" w:rsidRPr="003F6924">
        <w:rPr>
          <w:rFonts w:ascii="Times New Roman" w:hAnsi="Times New Roman" w:cs="Times New Roman"/>
          <w:color w:val="000000" w:themeColor="text1"/>
          <w:sz w:val="26"/>
          <w:szCs w:val="26"/>
          <w:lang w:val="en-US"/>
        </w:rPr>
        <w:t>que (2019), the environmental context encompasses the regulatory environment, government support, competitive pressures, supplier influence, and customer expectations</w:t>
      </w:r>
      <w:r w:rsidRPr="003F6924">
        <w:rPr>
          <w:rFonts w:ascii="Times New Roman" w:hAnsi="Times New Roman" w:cs="Times New Roman"/>
          <w:color w:val="000000" w:themeColor="text1"/>
          <w:sz w:val="26"/>
          <w:szCs w:val="26"/>
          <w:lang w:val="en-US"/>
        </w:rPr>
        <w:t xml:space="preserve">. Literature indicates that SMEs functioning within a framework constrained by government laws and regulations have a low rate of ICT adoption. Thus, government rules and regulations, intellectual property rights, consumer protection legislation, and compliance can either promote or hinder the use of ICT by SMEs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{"citationID":"LvUmTMcB","properties":{"formattedCitation":"(Al-Somali et al., 2011)","plainCitation":"(Al-Somali et al., 2011)","noteIndex":0},"citationItems":[{"id":4367,"uris":["http://zotero.org/users/9020985/items/9BSBERCC"],"itemData":{"id":4367,"type":"article-journal","abstract":"Business-to-business (B2B) electronic commerce (e-commerce) has become an increasingly important initiative among organisations. The factors affecting the adoption decisions have been well-documented but there is a paucity of empirical studies that examine the adoption of e-commerce in developing economies in the Arab world. The aim of our study is to provide insights into the salient e-commerce adoption issues by focusing on Saudi Arabian businesses. We developed a conceptual model for B2B e-commerce adoption incorporating six factors. Survey data from 450 businesses were used to test the model and hypotheses. The analysis demonstrates that, (1) when e-commerce preliminary adoption is investigated, organizational IT readiness, management support and regulatory environment emerge as the strongest factor, (2) pressure from customers may not have much effect on the preliminary adoption of e-commerce by companies, but does significantly influence on the utilisation of e-commerce by firms, and (3) Saudi Arabia has a strong ICT infrastructure for supporting e-commerce practices. Taken together, these findings on the multi-dimensionality of e-commerce adoption show that preliminary adoption and utilisation of ecommerce are not only different measures of ecommerce adoption, but also have different determinants. The implications of the findings are discussed and suggestions for future inquiry are presented.","container-title":"International Journal for Digital Society","DOI":"10.20533/ijds.2040.2570.2011.0049","ISSN":"20402570","issue":"2","journalAbbreviation":"IJDS","language":"en","page":"406-415","source":"DOI.org (Crossref)","title":"Determinants of B2B E-Commerce Adoption in Saudi Arabian Firms","volume":"2","author":[{"family":"Al-Somali","given":"Sabah A."},{"family":"Gholami","given":"Roya"},{"family":"Clegg","given":"Ben"}],"issued":{"date-parts":[["2011",6,1]]}}}],"schema":"https://github.com/citation-style-language/schema/raw/master/csl-citation.json"}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(Al-Somali et al., 2011)</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{"citationID":"5tcRv2qP","properties":{"formattedCitation":"(Ifinedo, 2012)","plainCitation":"(Ifinedo, 2012)","dontUpdate":true,"noteIndex":0},"citationItems":[{"id":4370,"uris":["http://zotero.org/users/9020985/items/V82TT8IP"],"itemData":{"id":4370,"type":"article-journal","abstract":"This research investigated information systems security policy (ISSP) compliance by drawing upon two relevant theories i.e. the theory of planned behavior (TPB) and the protection motivation theory (PMT). A research model that fused constituents of the aforementioned theories was proposed and validated. Relevant hypotheses were developed to test the research conceptualization. Data analysis was performed using the partial least squares (PLS) technique. Using a survey of 124 business managers and IS professionals, this study showed that factors such as self-efficacy, attitude toward compliance, subjective norms, response efficacy and perceived vulnerability positively influence ISSP behavioral compliance intentions of employees. The data analysis did not support perceived severity and response cost as being predictors of ISSP behavioral compliance intentions. The study’s implications for research and practice are discussed.","container-title":"Computers &amp; Security","DOI":"10.1016/j.cose.2011.10.007","ISSN":"0167-4048","issue":"1","journalAbbreviation":"Computers &amp; Security","page":"83-95","source":"ScienceDirect","title":"Understanding information systems security policy compliance: An integration of the theory of planned behavior and the protection motivation theory","title-short":"Understanding information systems security policy compliance","volume":"31","author":[{"family":"Ifinedo","given":"Princely"}],"issued":{"date-parts":[["2012",2,1]]}}}],"schema":"https://github.com/citation-style-language/schema/raw/master/csl-citation.json"}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Ifinedo (2012)</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defined government support as the authoritative support and dedication to motivate and inspire organizations to adopt and disseminate IT/IS within </w:t>
      </w:r>
      <w:r w:rsidR="00545EF5" w:rsidRPr="003F6924">
        <w:rPr>
          <w:rFonts w:ascii="Times New Roman" w:hAnsi="Times New Roman" w:cs="Times New Roman"/>
          <w:color w:val="000000" w:themeColor="text1"/>
          <w:sz w:val="26"/>
          <w:szCs w:val="26"/>
          <w:lang w:val="en-US"/>
        </w:rPr>
        <w:t>their</w:t>
      </w:r>
      <w:r w:rsidRPr="003F6924">
        <w:rPr>
          <w:rFonts w:ascii="Times New Roman" w:hAnsi="Times New Roman" w:cs="Times New Roman"/>
          <w:color w:val="000000" w:themeColor="text1"/>
          <w:sz w:val="26"/>
          <w:szCs w:val="26"/>
          <w:lang w:val="en-US"/>
        </w:rPr>
        <w:t xml:space="preserve"> environment. Accordingly, government support plays a crucial role in advancing digital transformation by facilitating adoption and addressing various barriers that hinder its adoption among organizations. </w:t>
      </w:r>
      <w:r w:rsidR="002E1409" w:rsidRPr="003F6924">
        <w:rPr>
          <w:rFonts w:ascii="Times New Roman" w:hAnsi="Times New Roman" w:cs="Times New Roman"/>
          <w:color w:val="000000" w:themeColor="text1"/>
          <w:sz w:val="26"/>
          <w:szCs w:val="26"/>
          <w:lang w:val="en-US"/>
        </w:rPr>
        <w:t xml:space="preserve">The critical role of government support in promoting digital transformation has been empirically demonstrated in several studies by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{"citationID":"ajFnLCXE","properties":{"formattedCitation":"(Lutfi et al., 2016; Pathan et al., 2017)","plainCitation":"(Lutfi et al., 2016; Pathan et al., 2017)","noteIndex":0},"citationItems":[{"id":4368,"uris":["http://zotero.org/users/9020985/items/359T2Y37"],"itemData":{"id":4368,"type":"article-journal","abstract":"Accounting information plays a very crucial role in support of various business decisions. Widespread use of Information Technology (IT) enhances accounting functions to be more effective and efficient in supplementing accounting-related information. A computer-based accounting systems (Accounting Information System) enables more accurate reporting, processing large amount of transactions and produce more meaningful reporting for analysis. Despite the promised benefits of AIS, Small and Medium-sized Enterprises (SMEs) have been reported to be lagged behind on its use. Therefore, this study examines factors affecting the use of AIS amongst Jordanian SMEs based on Technology–Organization–Environment (TOE) framework. The study employed self-administered survey questionnaire as a mean of data collection. Based on the responses from 187 firms, compatibility, owner/manager commitment, organizational readiness, competitive pressure and government support were found to have significant effect on AIS usage among firms. This study confirms applicability of TOE framework in understanding factors affecting AIS usage in SMEs.Keywords: Usage Decision; Accounting Information System; Technology–Organization–Environment (TOE) Framework; Informal NetworkingJEL Classification: M400","container-title":"International Journal of Economics and Financial Issues","ISSN":"2146-4138","issue":"7S","language":"en","license":"Copyright (c) 2016 International Journal of Economics and Financial Issues","note":"number: 7S","page":"240-248","source":"www.econjournals.com","title":"The Influence of Technological, Organizational and Environmental Factors on Accounting Information System Usage among Jordanian Small and Medium-sized Enterprises","volume":"6","author":[{"family":"Lutfi","given":"Abd Alwali"},{"family":"Idris","given":"Kamil Md"},{"family":"Mohamad","given":"Rosli"}],"issued":{"date-parts":[["2016",11,20]]}}},{"id":4372,"uris":["http://zotero.org/users/9020985/items/7KAKDAT5"],"itemData":{"id":4372,"type":"article-journal","abstract":"Small and medium-sized enterprises (SMEs) invariably leverage a country’s economy. In this context, information and communication technology (ICT) improvements render cloud computing (CC) both an effective and cost-efficient platform for SMEs. Statistically, multiple factors influence SMEs in their adopting CC. In the subtext of a technology, environment and organization (TEO) framework, the purposefulness of this empirical study has been to identify the most prominent factors in the CC adoption, by SMEs in Pakistan. Data were collected through convenient and quota sampling methods from 103 SMEs. Both multiple regression and confirmatory factor analysis (CFA) were deployed to test the measurement model. The results show that CC adoption by SMEs is positively affected by six cogent factors, namely relative advantage, CC compatibility, managerial support, firm size, competitive pressures and regulatory support. Dynamic complexity seems, however, to have a negative effect on CC adoption by SMEs in Pakistan. Also discussed are the study’s implications for SME managers and researchers.","container-title":"Human Systems Management","DOI":"10.3233/HSM-17133","ISSN":"0167-2533","issue":"4","language":"EN","note":"publisher: SAGE Publications","page":"261-275","source":"SAGE Journals","title":"Essential factors in cloud-computing adoption by SMEs","volume":"36","author":[{"family":"Pathan","given":"Zulfiqar Hussain"},{"family":"Jianqiu","given":"Zeng"},{"family":"Akram","given":"Umair"},{"family":"Latif","given":"Zahid"},{"family":"Khan","given":"Muhammad Kaleem"},{"family":"Tunio","given":"M. Zahid"}],"issued":{"date-parts":[["2017",11,30]]}}}],"schema":"https://github.com/citation-style-language/schema/raw/master/csl-citation.json"}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 xml:space="preserve">Lutfi et al. </w:t>
      </w:r>
      <w:r w:rsidR="002E1409" w:rsidRPr="003F6924">
        <w:rPr>
          <w:rFonts w:ascii="Times New Roman" w:hAnsi="Times New Roman" w:cs="Times New Roman"/>
          <w:noProof/>
          <w:color w:val="000000" w:themeColor="text1"/>
          <w:sz w:val="26"/>
          <w:szCs w:val="26"/>
          <w:lang w:val="en-US"/>
        </w:rPr>
        <w:t>(</w:t>
      </w:r>
      <w:r w:rsidRPr="003F6924">
        <w:rPr>
          <w:rFonts w:ascii="Times New Roman" w:hAnsi="Times New Roman" w:cs="Times New Roman"/>
          <w:noProof/>
          <w:color w:val="000000" w:themeColor="text1"/>
          <w:sz w:val="26"/>
          <w:szCs w:val="26"/>
          <w:lang w:val="en-US"/>
        </w:rPr>
        <w:t>2016</w:t>
      </w:r>
      <w:r w:rsidR="002E1409" w:rsidRPr="003F6924">
        <w:rPr>
          <w:rFonts w:ascii="Times New Roman" w:hAnsi="Times New Roman" w:cs="Times New Roman"/>
          <w:noProof/>
          <w:color w:val="000000" w:themeColor="text1"/>
          <w:sz w:val="26"/>
          <w:szCs w:val="26"/>
          <w:lang w:val="en-US"/>
        </w:rPr>
        <w:t>)</w:t>
      </w:r>
      <w:r w:rsidR="005330B2" w:rsidRPr="003F6924">
        <w:rPr>
          <w:rFonts w:ascii="Times New Roman" w:hAnsi="Times New Roman" w:cs="Times New Roman"/>
          <w:noProof/>
          <w:color w:val="000000" w:themeColor="text1"/>
          <w:sz w:val="26"/>
          <w:szCs w:val="26"/>
          <w:lang w:val="en-US"/>
        </w:rPr>
        <w:t xml:space="preserve"> and</w:t>
      </w:r>
      <w:r w:rsidRPr="003F6924">
        <w:rPr>
          <w:rFonts w:ascii="Times New Roman" w:hAnsi="Times New Roman" w:cs="Times New Roman"/>
          <w:noProof/>
          <w:color w:val="000000" w:themeColor="text1"/>
          <w:sz w:val="26"/>
          <w:szCs w:val="26"/>
          <w:lang w:val="en-US"/>
        </w:rPr>
        <w:t xml:space="preserve"> Pathan et al. </w:t>
      </w:r>
      <w:r w:rsidR="002E1409" w:rsidRPr="003F6924">
        <w:rPr>
          <w:rFonts w:ascii="Times New Roman" w:hAnsi="Times New Roman" w:cs="Times New Roman"/>
          <w:noProof/>
          <w:color w:val="000000" w:themeColor="text1"/>
          <w:sz w:val="26"/>
          <w:szCs w:val="26"/>
          <w:lang w:val="en-US"/>
        </w:rPr>
        <w:t>(</w:t>
      </w:r>
      <w:r w:rsidRPr="003F6924">
        <w:rPr>
          <w:rFonts w:ascii="Times New Roman" w:hAnsi="Times New Roman" w:cs="Times New Roman"/>
          <w:noProof/>
          <w:color w:val="000000" w:themeColor="text1"/>
          <w:sz w:val="26"/>
          <w:szCs w:val="26"/>
          <w:lang w:val="en-US"/>
        </w:rPr>
        <w:t>2017)</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Therefore, the authors suggest that: </w:t>
      </w:r>
    </w:p>
    <w:p w14:paraId="4BF73351" w14:textId="77777777" w:rsidR="00673588" w:rsidRPr="003F6924" w:rsidRDefault="00673588"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5DD7D496" w14:textId="3714DCA0" w:rsidR="00EF6E62" w:rsidRPr="003F6924" w:rsidRDefault="00B543E4" w:rsidP="00794E60">
      <w:pPr>
        <w:snapToGrid w:val="0"/>
        <w:spacing w:after="0" w:line="300" w:lineRule="auto"/>
        <w:ind w:left="510" w:hanging="510"/>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H</w:t>
      </w:r>
      <w:r w:rsidRPr="003F6924">
        <w:rPr>
          <w:rFonts w:ascii="Times New Roman" w:hAnsi="Times New Roman" w:cs="Times New Roman"/>
          <w:b/>
          <w:bCs/>
          <w:color w:val="000000" w:themeColor="text1"/>
          <w:sz w:val="26"/>
          <w:szCs w:val="26"/>
          <w:vertAlign w:val="subscript"/>
          <w:lang w:val="en-US"/>
        </w:rPr>
        <w:t>10</w:t>
      </w:r>
      <w:r w:rsidRPr="003F6924">
        <w:rPr>
          <w:rFonts w:ascii="Times New Roman" w:hAnsi="Times New Roman" w:cs="Times New Roman"/>
          <w:b/>
          <w:bCs/>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 xml:space="preserve">Government support for digital transformation positively influences the </w:t>
      </w:r>
      <w:r w:rsidR="00545EF5" w:rsidRPr="003F6924">
        <w:rPr>
          <w:rFonts w:ascii="Times New Roman" w:hAnsi="Times New Roman" w:cs="Times New Roman"/>
          <w:color w:val="000000" w:themeColor="text1"/>
          <w:sz w:val="26"/>
          <w:szCs w:val="26"/>
          <w:lang w:val="en-US"/>
        </w:rPr>
        <w:t>d</w:t>
      </w:r>
      <w:r w:rsidRPr="003F6924">
        <w:rPr>
          <w:rFonts w:ascii="Times New Roman" w:hAnsi="Times New Roman" w:cs="Times New Roman"/>
          <w:color w:val="000000" w:themeColor="text1"/>
          <w:sz w:val="26"/>
          <w:szCs w:val="26"/>
          <w:lang w:val="en-US"/>
        </w:rPr>
        <w:t xml:space="preserve">igital transformation capability of the </w:t>
      </w:r>
      <w:r w:rsidR="00545EF5" w:rsidRPr="003F6924">
        <w:rPr>
          <w:rFonts w:ascii="Times New Roman" w:hAnsi="Times New Roman" w:cs="Times New Roman"/>
          <w:color w:val="000000" w:themeColor="text1"/>
          <w:sz w:val="26"/>
          <w:szCs w:val="26"/>
          <w:lang w:val="en-US"/>
        </w:rPr>
        <w:t>b</w:t>
      </w:r>
      <w:r w:rsidRPr="003F6924">
        <w:rPr>
          <w:rFonts w:ascii="Times New Roman" w:hAnsi="Times New Roman" w:cs="Times New Roman"/>
          <w:color w:val="000000" w:themeColor="text1"/>
          <w:sz w:val="26"/>
          <w:szCs w:val="26"/>
          <w:lang w:val="en-US"/>
        </w:rPr>
        <w:t>ank</w:t>
      </w:r>
      <w:r w:rsidR="006E65F6" w:rsidRPr="003F6924">
        <w:rPr>
          <w:rFonts w:ascii="Times New Roman" w:hAnsi="Times New Roman" w:cs="Times New Roman"/>
          <w:color w:val="000000" w:themeColor="text1"/>
          <w:sz w:val="26"/>
          <w:szCs w:val="26"/>
          <w:lang w:val="en-US"/>
        </w:rPr>
        <w:t>.</w:t>
      </w:r>
      <w:r w:rsidRPr="003F6924">
        <w:rPr>
          <w:rFonts w:ascii="Times New Roman" w:hAnsi="Times New Roman" w:cs="Times New Roman"/>
          <w:b/>
          <w:bCs/>
          <w:color w:val="000000" w:themeColor="text1"/>
          <w:sz w:val="26"/>
          <w:szCs w:val="26"/>
          <w:lang w:val="en-US"/>
        </w:rPr>
        <w:t xml:space="preserve"> </w:t>
      </w:r>
    </w:p>
    <w:p w14:paraId="3C035B67" w14:textId="77777777" w:rsidR="00212314" w:rsidRPr="003F6924" w:rsidRDefault="00212314" w:rsidP="005723B1">
      <w:pPr>
        <w:snapToGrid w:val="0"/>
        <w:spacing w:after="0" w:line="300" w:lineRule="auto"/>
        <w:ind w:firstLine="360"/>
        <w:jc w:val="both"/>
        <w:rPr>
          <w:rFonts w:ascii="Times New Roman" w:hAnsi="Times New Roman" w:cs="Times New Roman"/>
          <w:b/>
          <w:bCs/>
          <w:color w:val="000000" w:themeColor="text1"/>
          <w:sz w:val="26"/>
          <w:szCs w:val="26"/>
          <w:lang w:val="en-US"/>
        </w:rPr>
      </w:pPr>
    </w:p>
    <w:p w14:paraId="67D6613F" w14:textId="0B1F7E4B" w:rsidR="00EF6E62" w:rsidRPr="003F6924" w:rsidRDefault="00B543E4" w:rsidP="005723B1">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Digital </w:t>
      </w:r>
      <w:r w:rsidR="00673588" w:rsidRPr="003F6924">
        <w:rPr>
          <w:rFonts w:ascii="Times New Roman" w:hAnsi="Times New Roman" w:cs="Times New Roman"/>
          <w:b/>
          <w:bCs/>
          <w:color w:val="000000" w:themeColor="text1"/>
          <w:sz w:val="26"/>
          <w:szCs w:val="26"/>
          <w:lang w:val="en-US"/>
        </w:rPr>
        <w:t xml:space="preserve">Transformation Capability </w:t>
      </w:r>
      <w:r w:rsidRPr="003F6924">
        <w:rPr>
          <w:rFonts w:ascii="Times New Roman" w:hAnsi="Times New Roman" w:cs="Times New Roman"/>
          <w:b/>
          <w:bCs/>
          <w:color w:val="000000" w:themeColor="text1"/>
          <w:sz w:val="26"/>
          <w:szCs w:val="26"/>
          <w:lang w:val="en-US"/>
        </w:rPr>
        <w:t xml:space="preserve">and </w:t>
      </w:r>
      <w:r w:rsidR="00545EF5" w:rsidRPr="003F6924">
        <w:rPr>
          <w:rFonts w:ascii="Times New Roman" w:hAnsi="Times New Roman" w:cs="Times New Roman"/>
          <w:b/>
          <w:bCs/>
          <w:color w:val="000000" w:themeColor="text1"/>
          <w:sz w:val="26"/>
          <w:szCs w:val="26"/>
          <w:lang w:val="en-US"/>
        </w:rPr>
        <w:t xml:space="preserve">the </w:t>
      </w:r>
      <w:r w:rsidR="00673588" w:rsidRPr="003F6924">
        <w:rPr>
          <w:rFonts w:ascii="Times New Roman" w:hAnsi="Times New Roman" w:cs="Times New Roman"/>
          <w:b/>
          <w:bCs/>
          <w:color w:val="000000" w:themeColor="text1"/>
          <w:sz w:val="26"/>
          <w:szCs w:val="26"/>
          <w:lang w:val="en-US"/>
        </w:rPr>
        <w:t xml:space="preserve">Level </w:t>
      </w:r>
      <w:r w:rsidRPr="003F6924">
        <w:rPr>
          <w:rFonts w:ascii="Times New Roman" w:hAnsi="Times New Roman" w:cs="Times New Roman"/>
          <w:b/>
          <w:bCs/>
          <w:color w:val="000000" w:themeColor="text1"/>
          <w:sz w:val="26"/>
          <w:szCs w:val="26"/>
          <w:lang w:val="en-US"/>
        </w:rPr>
        <w:t xml:space="preserve">of </w:t>
      </w:r>
      <w:r w:rsidR="00673588" w:rsidRPr="003F6924">
        <w:rPr>
          <w:rFonts w:ascii="Times New Roman" w:hAnsi="Times New Roman" w:cs="Times New Roman"/>
          <w:b/>
          <w:bCs/>
          <w:color w:val="000000" w:themeColor="text1"/>
          <w:sz w:val="26"/>
          <w:szCs w:val="26"/>
          <w:lang w:val="en-US"/>
        </w:rPr>
        <w:t>Digital Transformation</w:t>
      </w:r>
      <w:r w:rsidRPr="003F6924">
        <w:rPr>
          <w:rFonts w:ascii="Times New Roman" w:hAnsi="Times New Roman" w:cs="Times New Roman"/>
          <w:b/>
          <w:bCs/>
          <w:color w:val="000000" w:themeColor="text1"/>
          <w:sz w:val="26"/>
          <w:szCs w:val="26"/>
          <w:lang w:val="en-US"/>
        </w:rPr>
        <w:t xml:space="preserve"> </w:t>
      </w:r>
    </w:p>
    <w:p w14:paraId="265D9E22" w14:textId="7B6E97B1" w:rsidR="00EF6E62"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Sousa-Zomer et al. (2020) found that an organization’s digital transformation capability significantly influences both firm performance and the level of digital transformation achieved. In other words, organizations with robust digital transformation capabilities provide ongoing strategy renewal to maintain responsiveness and competitiveness in a rapidly evolving environment. Similarly, the research by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{"citationID":"WpylBstm","properties":{"formattedCitation":"(Abdurrahman et al., 2024)","plainCitation":"(Abdurrahman et al., 2024)","dontUpdate":true,"noteIndex":0},"citationItems":[{"id":4344,"uris":["http://zotero.org/users/9020985/items/BDMBXH6J"],"itemData":{"id":4344,"type":"article-journal","abstract":"The focus of this research revolves around applying the dynamic capabilities (DC) considering technological, organizational, and environmental dimensions (TOE framework) to explore the digital transformation (DT) and innovation. The current literature has shown a limited focus on integrating DC with the TOE framework, inspiring this research to address this gap. This research adopts a quantitative approach employing partial least square structural equation modeling (PLS-SEM), leveraging a survey with 325 respondents from 48 banks in Indonesia. The study identifies the necessary organizational capabilities for DT and innovation, encompassing technological capabilities representing technology, strategic and organizational capabilities representing the organizational dimension, as well as ecosystem and governance-risk-compliance (GRC) capabilities representing the environmental dimension. The findings unveil that technology and ecosystem capabilities have a positive and significant impact on DT and innovation. Organizational capabilities positively influence innovation but exhibit a negative impact on DT. Strategic capabilities positively affect DT and negatively impact innovation, while GRC capability enhances its role in DT, contributing to improved company performance. This research adds to the theoretical understanding of DC within the TOE framework and offers managerial insights to assist the banking sector in effectively managing capabilities for successful DT and innovation.","container-title":"Journal of Open Innovation: Technology, Market, and Complexity","DOI":"10.1016/j.joitmc.2024.100215","ISSN":"2199-8531","issue":"1","journalAbbreviation":"Journal of Open Innovation: Technology, Market, and Complexity","page":"100215","source":"ScienceDirect","title":"Impact of dynamic capabilities on digital transformation and innovation to improve banking performance: A TOE framework study","title-short":"Impact of dynamic capabilities on digital transformation and innovation to improve banking performance","volume":"10","author":[{"family":"Abdurrahman","given":"Abdurrahman"},{"family":"Gustomo","given":"Aurik"},{"family":"Prasetio","given":"Eko Agus"}],"issued":{"date-parts":[["2024",3,1]]}}}],"schema":"https://github.com/citation-style-language/schema/raw/master/csl-citation.json"}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Abdurrahman et al. (2024)</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also revealed that technology and ecosystem capabilities significantly and positively influence digital transformation and innovation, suggesting that improving DTC is essential for progressing digital transformation levels. This view is further supported by several studies (Alsufyani </w:t>
      </w:r>
      <w:r w:rsidR="00F377A7" w:rsidRPr="003F6924">
        <w:rPr>
          <w:rFonts w:ascii="Times New Roman" w:hAnsi="Times New Roman" w:cs="Times New Roman"/>
          <w:color w:val="000000" w:themeColor="text1"/>
          <w:sz w:val="26"/>
          <w:szCs w:val="26"/>
          <w:lang w:val="vi-VN"/>
        </w:rPr>
        <w:t>&amp;</w:t>
      </w:r>
      <w:r w:rsidRPr="003F6924">
        <w:rPr>
          <w:rFonts w:ascii="Times New Roman" w:hAnsi="Times New Roman" w:cs="Times New Roman"/>
          <w:color w:val="000000" w:themeColor="text1"/>
          <w:sz w:val="26"/>
          <w:szCs w:val="26"/>
          <w:lang w:val="en-US"/>
        </w:rPr>
        <w:t xml:space="preserve"> Gill, 2022; Li et al., 2020), which confirm that government and regulatory support are vital in accelerating firms’ digital transformation initiatives. Therefore, the authors suggest that: </w:t>
      </w:r>
    </w:p>
    <w:p w14:paraId="5CBE671F" w14:textId="77777777" w:rsidR="00807B4B" w:rsidRPr="003F6924" w:rsidRDefault="00807B4B"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70883592" w14:textId="77777777" w:rsidR="00EF6E62" w:rsidRPr="003F6924" w:rsidRDefault="00B543E4" w:rsidP="00BF2672">
      <w:pPr>
        <w:snapToGrid w:val="0"/>
        <w:spacing w:after="0" w:line="300" w:lineRule="auto"/>
        <w:ind w:left="720" w:hanging="720"/>
        <w:jc w:val="both"/>
        <w:rPr>
          <w:rFonts w:ascii="Times New Roman" w:hAnsi="Times New Roman" w:cs="Times New Roman"/>
          <w:color w:val="000000" w:themeColor="text1"/>
          <w:sz w:val="26"/>
          <w:szCs w:val="26"/>
          <w:lang w:val="en-US"/>
        </w:rPr>
      </w:pPr>
      <w:r w:rsidRPr="003F6924">
        <w:rPr>
          <w:rFonts w:ascii="Times New Roman" w:hAnsi="Times New Roman" w:cs="Times New Roman"/>
          <w:b/>
          <w:bCs/>
          <w:color w:val="000000" w:themeColor="text1"/>
          <w:sz w:val="26"/>
          <w:szCs w:val="26"/>
          <w:lang w:val="en-US"/>
        </w:rPr>
        <w:t>H</w:t>
      </w:r>
      <w:r w:rsidRPr="003F6924">
        <w:rPr>
          <w:rFonts w:ascii="Times New Roman" w:hAnsi="Times New Roman" w:cs="Times New Roman"/>
          <w:b/>
          <w:bCs/>
          <w:color w:val="000000" w:themeColor="text1"/>
          <w:sz w:val="26"/>
          <w:szCs w:val="26"/>
          <w:vertAlign w:val="subscript"/>
          <w:lang w:val="en-US"/>
        </w:rPr>
        <w:t>11</w:t>
      </w:r>
      <w:r w:rsidRPr="003F6924">
        <w:rPr>
          <w:rFonts w:ascii="Times New Roman" w:hAnsi="Times New Roman" w:cs="Times New Roman"/>
          <w:b/>
          <w:bCs/>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 xml:space="preserve">Digital transformation capability positively influences the level of digital transformation of the </w:t>
      </w:r>
      <w:r w:rsidR="002E1409" w:rsidRPr="003F6924">
        <w:rPr>
          <w:rFonts w:ascii="Times New Roman" w:hAnsi="Times New Roman" w:cs="Times New Roman"/>
          <w:color w:val="000000" w:themeColor="text1"/>
          <w:sz w:val="26"/>
          <w:szCs w:val="26"/>
          <w:lang w:val="en-US"/>
        </w:rPr>
        <w:t>b</w:t>
      </w:r>
      <w:r w:rsidRPr="003F6924">
        <w:rPr>
          <w:rFonts w:ascii="Times New Roman" w:hAnsi="Times New Roman" w:cs="Times New Roman"/>
          <w:color w:val="000000" w:themeColor="text1"/>
          <w:sz w:val="26"/>
          <w:szCs w:val="26"/>
          <w:lang w:val="en-US"/>
        </w:rPr>
        <w:t>ank</w:t>
      </w:r>
      <w:r w:rsidR="006E65F6" w:rsidRPr="003F6924">
        <w:rPr>
          <w:rFonts w:ascii="Times New Roman" w:hAnsi="Times New Roman" w:cs="Times New Roman"/>
          <w:color w:val="000000" w:themeColor="text1"/>
          <w:sz w:val="26"/>
          <w:szCs w:val="26"/>
          <w:lang w:val="en-US"/>
        </w:rPr>
        <w:t>.</w:t>
      </w:r>
    </w:p>
    <w:p w14:paraId="347C1D39" w14:textId="77777777" w:rsidR="00BF2672" w:rsidRPr="003F6924" w:rsidRDefault="00BF2672" w:rsidP="00794E60">
      <w:pPr>
        <w:snapToGrid w:val="0"/>
        <w:spacing w:after="0" w:line="300" w:lineRule="auto"/>
        <w:ind w:left="720" w:hanging="720"/>
        <w:jc w:val="both"/>
        <w:rPr>
          <w:rFonts w:ascii="Times New Roman" w:hAnsi="Times New Roman" w:cs="Times New Roman"/>
          <w:b/>
          <w:bCs/>
          <w:color w:val="000000" w:themeColor="text1"/>
          <w:sz w:val="26"/>
          <w:szCs w:val="26"/>
          <w:lang w:val="en-US"/>
        </w:rPr>
      </w:pPr>
    </w:p>
    <w:p w14:paraId="1879DEDD" w14:textId="653C8B3A" w:rsidR="00EF6E62" w:rsidRPr="003F6924" w:rsidRDefault="00B543E4" w:rsidP="00684A04">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rPr>
        <w:t xml:space="preserve">Building on the preceding discussion, this study integrates the TOE, DOI, RBV, and DC frameworks into a cohesive analytical model that explains both the determinants and mechanisms of digital transformation in </w:t>
      </w:r>
      <w:r w:rsidR="002E1409" w:rsidRPr="003F6924">
        <w:rPr>
          <w:rFonts w:ascii="Times New Roman" w:hAnsi="Times New Roman" w:cs="Times New Roman"/>
          <w:color w:val="000000" w:themeColor="text1"/>
          <w:sz w:val="26"/>
          <w:szCs w:val="26"/>
        </w:rPr>
        <w:t xml:space="preserve">the </w:t>
      </w:r>
      <w:r w:rsidRPr="003F6924">
        <w:rPr>
          <w:rFonts w:ascii="Times New Roman" w:hAnsi="Times New Roman" w:cs="Times New Roman"/>
          <w:color w:val="000000" w:themeColor="text1"/>
          <w:sz w:val="26"/>
          <w:szCs w:val="26"/>
        </w:rPr>
        <w:t>bank</w:t>
      </w:r>
      <w:r w:rsidR="002E1409" w:rsidRPr="003F6924">
        <w:rPr>
          <w:rFonts w:ascii="Times New Roman" w:hAnsi="Times New Roman" w:cs="Times New Roman"/>
          <w:color w:val="000000" w:themeColor="text1"/>
          <w:sz w:val="26"/>
          <w:szCs w:val="26"/>
        </w:rPr>
        <w:t>ing sector</w:t>
      </w:r>
      <w:r w:rsidRPr="003F6924">
        <w:rPr>
          <w:rFonts w:ascii="Times New Roman" w:hAnsi="Times New Roman" w:cs="Times New Roman"/>
          <w:color w:val="000000" w:themeColor="text1"/>
          <w:sz w:val="26"/>
          <w:szCs w:val="26"/>
        </w:rPr>
        <w:t>.</w:t>
      </w:r>
      <w:r w:rsidRPr="003F6924">
        <w:rPr>
          <w:rFonts w:ascii="Times New Roman" w:hAnsi="Times New Roman" w:cs="Times New Roman"/>
          <w:color w:val="000000" w:themeColor="text1"/>
          <w:sz w:val="26"/>
          <w:szCs w:val="26"/>
          <w:lang w:val="en-US"/>
        </w:rPr>
        <w:t xml:space="preserve"> Accordingly, the integration of these theories and models forms a hierarchical and interactive theoretical model. In detail, the technology-organization-environment model provides the structural foundation by categorizing determinants into technological, organizational, and environmental domains. Diffusion of </w:t>
      </w:r>
      <w:r w:rsidR="002E1409" w:rsidRPr="003F6924">
        <w:rPr>
          <w:rFonts w:ascii="Times New Roman" w:hAnsi="Times New Roman" w:cs="Times New Roman"/>
          <w:color w:val="000000" w:themeColor="text1"/>
          <w:sz w:val="26"/>
          <w:szCs w:val="26"/>
          <w:lang w:val="en-US"/>
        </w:rPr>
        <w:t>I</w:t>
      </w:r>
      <w:r w:rsidRPr="003F6924">
        <w:rPr>
          <w:rFonts w:ascii="Times New Roman" w:hAnsi="Times New Roman" w:cs="Times New Roman"/>
          <w:color w:val="000000" w:themeColor="text1"/>
          <w:sz w:val="26"/>
          <w:szCs w:val="26"/>
          <w:lang w:val="en-US"/>
        </w:rPr>
        <w:t xml:space="preserve">nnovation theory </w:t>
      </w:r>
      <w:r w:rsidR="002E1409" w:rsidRPr="003F6924">
        <w:rPr>
          <w:rFonts w:ascii="Times New Roman" w:hAnsi="Times New Roman" w:cs="Times New Roman"/>
          <w:color w:val="000000" w:themeColor="text1"/>
          <w:sz w:val="26"/>
          <w:szCs w:val="26"/>
          <w:lang w:val="en-US"/>
        </w:rPr>
        <w:t xml:space="preserve">is </w:t>
      </w:r>
      <w:r w:rsidRPr="003F6924">
        <w:rPr>
          <w:rFonts w:ascii="Times New Roman" w:hAnsi="Times New Roman" w:cs="Times New Roman"/>
          <w:color w:val="000000" w:themeColor="text1"/>
          <w:sz w:val="26"/>
          <w:szCs w:val="26"/>
          <w:lang w:val="en-US"/>
        </w:rPr>
        <w:t>enriche</w:t>
      </w:r>
      <w:r w:rsidR="002E1409" w:rsidRPr="003F6924">
        <w:rPr>
          <w:rFonts w:ascii="Times New Roman" w:hAnsi="Times New Roman" w:cs="Times New Roman"/>
          <w:color w:val="000000" w:themeColor="text1"/>
          <w:sz w:val="26"/>
          <w:szCs w:val="26"/>
          <w:lang w:val="en-US"/>
        </w:rPr>
        <w:t>d</w:t>
      </w:r>
      <w:r w:rsidRPr="003F6924">
        <w:rPr>
          <w:rFonts w:ascii="Times New Roman" w:hAnsi="Times New Roman" w:cs="Times New Roman"/>
          <w:color w:val="000000" w:themeColor="text1"/>
          <w:sz w:val="26"/>
          <w:szCs w:val="26"/>
          <w:lang w:val="en-US"/>
        </w:rPr>
        <w:t xml:space="preserve"> by specifying the innovation attributes that shape banks’ digital transformation capability, such as the digital platform and digital development. Additionally, </w:t>
      </w:r>
      <w:r w:rsidR="002E1409" w:rsidRPr="003F6924">
        <w:rPr>
          <w:rFonts w:ascii="Times New Roman" w:hAnsi="Times New Roman" w:cs="Times New Roman"/>
          <w:color w:val="000000" w:themeColor="text1"/>
          <w:sz w:val="26"/>
          <w:szCs w:val="26"/>
          <w:lang w:val="en-US"/>
        </w:rPr>
        <w:t xml:space="preserve">the </w:t>
      </w:r>
      <w:r w:rsidRPr="003F6924">
        <w:rPr>
          <w:rFonts w:ascii="Times New Roman" w:hAnsi="Times New Roman" w:cs="Times New Roman"/>
          <w:color w:val="000000" w:themeColor="text1"/>
          <w:sz w:val="26"/>
          <w:szCs w:val="26"/>
          <w:lang w:val="en-US"/>
        </w:rPr>
        <w:t>Resource-Based View (RBV) strengthens the model by identifying internal strategic and human resources as sources of transformation capability.</w:t>
      </w:r>
    </w:p>
    <w:p w14:paraId="16677EE2" w14:textId="77777777" w:rsidR="00EF6E62" w:rsidRPr="003F6924" w:rsidRDefault="002E1409"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Furthermore,</w:t>
      </w:r>
      <w:r w:rsidR="00B543E4" w:rsidRPr="003F6924">
        <w:rPr>
          <w:rFonts w:ascii="Times New Roman" w:hAnsi="Times New Roman" w:cs="Times New Roman"/>
          <w:color w:val="000000" w:themeColor="text1"/>
          <w:sz w:val="26"/>
          <w:szCs w:val="26"/>
          <w:lang w:val="en-US"/>
        </w:rPr>
        <w:t xml:space="preserve"> Dynamic Capabilities (DC</w:t>
      </w:r>
      <w:proofErr w:type="gramStart"/>
      <w:r w:rsidR="00B543E4" w:rsidRPr="003F6924">
        <w:rPr>
          <w:rFonts w:ascii="Times New Roman" w:hAnsi="Times New Roman" w:cs="Times New Roman"/>
          <w:color w:val="000000" w:themeColor="text1"/>
          <w:sz w:val="26"/>
          <w:szCs w:val="26"/>
          <w:lang w:val="en-US"/>
        </w:rPr>
        <w:t>)  explains</w:t>
      </w:r>
      <w:proofErr w:type="gramEnd"/>
      <w:r w:rsidR="00B543E4" w:rsidRPr="003F6924">
        <w:rPr>
          <w:rFonts w:ascii="Times New Roman" w:hAnsi="Times New Roman" w:cs="Times New Roman"/>
          <w:color w:val="000000" w:themeColor="text1"/>
          <w:sz w:val="26"/>
          <w:szCs w:val="26"/>
          <w:lang w:val="en-US"/>
        </w:rPr>
        <w:t xml:space="preserve"> the dynamic processes that enable organizations to continuously adapt and transform these resources in response to technological and environmental pressures. In other words, these frameworks converge in the concept of Digital Transformation Capability (DTC), which mediates the relationship between the identified determinants and the Level of Digital Transformation (LDT). </w:t>
      </w:r>
      <w:r w:rsidRPr="003F6924">
        <w:rPr>
          <w:rFonts w:ascii="Times New Roman" w:hAnsi="Times New Roman" w:cs="Times New Roman"/>
          <w:color w:val="000000" w:themeColor="text1"/>
          <w:sz w:val="26"/>
          <w:szCs w:val="26"/>
          <w:lang w:val="en-US"/>
        </w:rPr>
        <w:t>This integrated framework advances beyond traditional adoption studies by linking contextual enablers with strategic and adaptive mechanisms. It thereby offers a comprehensive explanation of how and why banks in emerging economies achieve successful digital transformation</w:t>
      </w:r>
      <w:r w:rsidR="00B543E4" w:rsidRPr="003F6924">
        <w:rPr>
          <w:rFonts w:ascii="Times New Roman" w:hAnsi="Times New Roman" w:cs="Times New Roman"/>
          <w:color w:val="000000" w:themeColor="text1"/>
          <w:sz w:val="26"/>
          <w:szCs w:val="26"/>
          <w:lang w:val="en-US"/>
        </w:rPr>
        <w:t>. The conceptual model is presented in Figure 1.</w:t>
      </w:r>
    </w:p>
    <w:p w14:paraId="1B7B593A" w14:textId="11C25FC5" w:rsidR="005723B1" w:rsidRPr="003F6924" w:rsidRDefault="005723B1" w:rsidP="005723B1">
      <w:pPr>
        <w:snapToGrid w:val="0"/>
        <w:spacing w:after="0" w:line="300" w:lineRule="auto"/>
        <w:jc w:val="both"/>
        <w:rPr>
          <w:rFonts w:ascii="Times New Roman" w:hAnsi="Times New Roman" w:cs="Times New Roman"/>
          <w:color w:val="000000" w:themeColor="text1"/>
          <w:sz w:val="26"/>
          <w:szCs w:val="26"/>
          <w:lang w:val="en-US"/>
        </w:rPr>
      </w:pPr>
    </w:p>
    <w:p w14:paraId="13D33F6D" w14:textId="72B46647" w:rsidR="00794E60" w:rsidRPr="003F6924" w:rsidRDefault="003D5415" w:rsidP="00EF6E62">
      <w:pPr>
        <w:pStyle w:val="af8"/>
        <w:spacing w:after="120" w:line="360" w:lineRule="exact"/>
        <w:jc w:val="both"/>
        <w:rPr>
          <w:color w:val="000000" w:themeColor="text1"/>
          <w:sz w:val="26"/>
          <w:szCs w:val="26"/>
          <w:lang w:val="en-US"/>
        </w:rPr>
      </w:pPr>
      <w:r w:rsidRPr="00807B4B">
        <w:rPr>
          <w:i w:val="0"/>
          <w:iCs w:val="0"/>
          <w:noProof/>
          <w:color w:val="000000" w:themeColor="text1"/>
          <w:sz w:val="26"/>
          <w:szCs w:val="26"/>
          <w:lang w:val="en-US"/>
        </w:rPr>
        <w:drawing>
          <wp:anchor distT="0" distB="0" distL="114300" distR="114300" simplePos="0" relativeHeight="251658240" behindDoc="0" locked="0" layoutInCell="1" allowOverlap="0" wp14:anchorId="3E6B5716" wp14:editId="31A5C931">
            <wp:simplePos x="0" y="0"/>
            <wp:positionH relativeFrom="margin">
              <wp:align>right</wp:align>
            </wp:positionH>
            <wp:positionV relativeFrom="paragraph">
              <wp:posOffset>311958</wp:posOffset>
            </wp:positionV>
            <wp:extent cx="5835600" cy="4194000"/>
            <wp:effectExtent l="0" t="0" r="0"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7"/>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835600" cy="419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543E4" w:rsidRPr="00807B4B">
        <w:rPr>
          <w:b/>
          <w:bCs/>
          <w:i w:val="0"/>
          <w:iCs w:val="0"/>
          <w:color w:val="000000" w:themeColor="text1"/>
          <w:sz w:val="26"/>
          <w:szCs w:val="26"/>
          <w:lang w:val="en-US"/>
        </w:rPr>
        <w:t xml:space="preserve">Figure </w:t>
      </w:r>
      <w:r w:rsidR="00B543E4" w:rsidRPr="00807B4B">
        <w:rPr>
          <w:b/>
          <w:bCs/>
          <w:i w:val="0"/>
          <w:iCs w:val="0"/>
          <w:color w:val="000000" w:themeColor="text1"/>
          <w:sz w:val="26"/>
          <w:szCs w:val="26"/>
          <w:lang w:val="en-US"/>
        </w:rPr>
        <w:fldChar w:fldCharType="begin"/>
      </w:r>
      <w:r w:rsidR="00B543E4" w:rsidRPr="00807B4B">
        <w:rPr>
          <w:b/>
          <w:bCs/>
          <w:i w:val="0"/>
          <w:iCs w:val="0"/>
          <w:color w:val="000000" w:themeColor="text1"/>
          <w:sz w:val="26"/>
          <w:szCs w:val="26"/>
          <w:lang w:val="en-US"/>
        </w:rPr>
        <w:instrText xml:space="preserve"> SEQ Figure \* ARABIC </w:instrText>
      </w:r>
      <w:r w:rsidR="00B543E4" w:rsidRPr="00807B4B">
        <w:rPr>
          <w:b/>
          <w:bCs/>
          <w:i w:val="0"/>
          <w:iCs w:val="0"/>
          <w:color w:val="000000" w:themeColor="text1"/>
          <w:sz w:val="26"/>
          <w:szCs w:val="26"/>
          <w:lang w:val="en-US"/>
        </w:rPr>
        <w:fldChar w:fldCharType="separate"/>
      </w:r>
      <w:r w:rsidR="0058062D">
        <w:rPr>
          <w:b/>
          <w:bCs/>
          <w:i w:val="0"/>
          <w:iCs w:val="0"/>
          <w:noProof/>
          <w:color w:val="000000" w:themeColor="text1"/>
          <w:sz w:val="26"/>
          <w:szCs w:val="26"/>
          <w:lang w:val="en-US"/>
        </w:rPr>
        <w:t>1</w:t>
      </w:r>
      <w:r w:rsidR="00B543E4" w:rsidRPr="00807B4B">
        <w:rPr>
          <w:b/>
          <w:bCs/>
          <w:i w:val="0"/>
          <w:iCs w:val="0"/>
          <w:noProof/>
          <w:color w:val="000000" w:themeColor="text1"/>
          <w:sz w:val="26"/>
          <w:szCs w:val="26"/>
          <w:lang w:val="en-US"/>
        </w:rPr>
        <w:fldChar w:fldCharType="end"/>
      </w:r>
      <w:r w:rsidR="006E65F6" w:rsidRPr="00807B4B">
        <w:rPr>
          <w:b/>
          <w:bCs/>
          <w:i w:val="0"/>
          <w:iCs w:val="0"/>
          <w:color w:val="000000" w:themeColor="text1"/>
          <w:sz w:val="26"/>
          <w:szCs w:val="26"/>
          <w:lang w:val="en-US"/>
        </w:rPr>
        <w:t xml:space="preserve"> </w:t>
      </w:r>
      <w:r w:rsidR="00B543E4" w:rsidRPr="003F6924">
        <w:rPr>
          <w:color w:val="000000" w:themeColor="text1"/>
          <w:sz w:val="26"/>
          <w:szCs w:val="26"/>
          <w:lang w:val="en-US"/>
        </w:rPr>
        <w:t xml:space="preserve"> The </w:t>
      </w:r>
      <w:r w:rsidR="006E65F6" w:rsidRPr="003F6924">
        <w:rPr>
          <w:color w:val="000000" w:themeColor="text1"/>
          <w:sz w:val="26"/>
          <w:szCs w:val="26"/>
          <w:lang w:val="en-US"/>
        </w:rPr>
        <w:t>Conceptual Model</w:t>
      </w:r>
    </w:p>
    <w:p w14:paraId="661AD797" w14:textId="3D93C3AE" w:rsidR="00EF6E62" w:rsidRPr="001418E6" w:rsidRDefault="00B543E4" w:rsidP="00EF6E62">
      <w:pPr>
        <w:pStyle w:val="af8"/>
        <w:spacing w:after="120" w:line="360" w:lineRule="exact"/>
        <w:jc w:val="both"/>
        <w:rPr>
          <w:color w:val="000000" w:themeColor="text1"/>
          <w:sz w:val="24"/>
          <w:szCs w:val="24"/>
          <w:lang w:val="en-US"/>
        </w:rPr>
      </w:pPr>
      <w:r w:rsidRPr="001418E6">
        <w:rPr>
          <w:color w:val="000000" w:themeColor="text1"/>
          <w:sz w:val="24"/>
          <w:szCs w:val="24"/>
          <w:lang w:val="en-US"/>
        </w:rPr>
        <w:t xml:space="preserve">Source: </w:t>
      </w:r>
      <w:r w:rsidRPr="001418E6">
        <w:rPr>
          <w:i w:val="0"/>
          <w:iCs w:val="0"/>
          <w:color w:val="000000" w:themeColor="text1"/>
          <w:sz w:val="24"/>
          <w:szCs w:val="24"/>
          <w:lang w:val="en-US"/>
        </w:rPr>
        <w:t xml:space="preserve">Authors' </w:t>
      </w:r>
      <w:r w:rsidR="006E65F6" w:rsidRPr="001418E6">
        <w:rPr>
          <w:i w:val="0"/>
          <w:iCs w:val="0"/>
          <w:color w:val="000000" w:themeColor="text1"/>
          <w:sz w:val="24"/>
          <w:szCs w:val="24"/>
          <w:lang w:val="en-US"/>
        </w:rPr>
        <w:t>Construction</w:t>
      </w:r>
    </w:p>
    <w:p w14:paraId="2ECDADAC" w14:textId="51DE8F4F" w:rsidR="00C47BD8" w:rsidRPr="003F6924" w:rsidRDefault="00C47BD8" w:rsidP="00794E60">
      <w:pPr>
        <w:snapToGrid w:val="0"/>
        <w:spacing w:after="0" w:line="300" w:lineRule="auto"/>
        <w:rPr>
          <w:rFonts w:ascii="Times New Roman" w:hAnsi="Times New Roman" w:cs="Times New Roman"/>
          <w:color w:val="000000" w:themeColor="text1"/>
          <w:sz w:val="26"/>
          <w:szCs w:val="26"/>
          <w:lang w:val="en-US"/>
        </w:rPr>
      </w:pPr>
    </w:p>
    <w:p w14:paraId="238C75F4" w14:textId="77777777" w:rsidR="0002224C" w:rsidRPr="003F6924" w:rsidRDefault="00B543E4" w:rsidP="00BF2672">
      <w:pPr>
        <w:snapToGrid w:val="0"/>
        <w:spacing w:after="0" w:line="300" w:lineRule="auto"/>
        <w:jc w:val="center"/>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RESEARCH METHODOLOGY</w:t>
      </w:r>
    </w:p>
    <w:p w14:paraId="5E95DCA4" w14:textId="77777777" w:rsidR="00EF6E62" w:rsidRPr="003F6924" w:rsidRDefault="00B543E4" w:rsidP="00BF2672">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Sampling and Data </w:t>
      </w:r>
      <w:r w:rsidR="002E1409" w:rsidRPr="003F6924">
        <w:rPr>
          <w:rFonts w:ascii="Times New Roman" w:hAnsi="Times New Roman" w:cs="Times New Roman"/>
          <w:b/>
          <w:bCs/>
          <w:color w:val="000000" w:themeColor="text1"/>
          <w:sz w:val="26"/>
          <w:szCs w:val="26"/>
          <w:lang w:val="en-US"/>
        </w:rPr>
        <w:t>C</w:t>
      </w:r>
      <w:r w:rsidRPr="003F6924">
        <w:rPr>
          <w:rFonts w:ascii="Times New Roman" w:hAnsi="Times New Roman" w:cs="Times New Roman"/>
          <w:b/>
          <w:bCs/>
          <w:color w:val="000000" w:themeColor="text1"/>
          <w:sz w:val="26"/>
          <w:szCs w:val="26"/>
          <w:lang w:val="en-US"/>
        </w:rPr>
        <w:t xml:space="preserve">ollection </w:t>
      </w:r>
    </w:p>
    <w:p w14:paraId="363E78F6" w14:textId="77777777"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lang w:val="en-US"/>
        </w:rPr>
      </w:pPr>
      <w:r w:rsidRPr="003F6924">
        <w:rPr>
          <w:rFonts w:ascii="Times New Roman" w:hAnsi="Times New Roman" w:cs="Times New Roman"/>
          <w:color w:val="000000" w:themeColor="text1"/>
          <w:sz w:val="26"/>
          <w:lang w:val="en-US"/>
        </w:rPr>
        <w:t xml:space="preserve">Building on this framework, the present study examines the current state of digital transformation among organizations in Vietnam’s banking sector. Accordingly, the target population consisted of Vietnamese employees who possess knowledge or direct experience related to digital transformation activities within their banks. To ensure relevance, two criteria guided respondent selection: (i) participants must be Vietnamese citizens, and (ii) participants must be currently employed in the banking sector. To recruit participants, the research team initially contacted 34 commercial banks across Vietnam between September and November 2024 to request assistance in distributing the survey. Due to data security regulations, access to employees’ official emails was restricted. However, six leading commercial banks—Vietcombank, BIDV, VietinBank, Agribank, MB Bank, and Techcombank—agreed to support the research by distributing the survey through their internal professional networks and LinkedIn groups. Although only 6 out of 34 commercial banks participated in the survey, these banks represented both state-owned and joint-stock institutions, which together account for a substantial portion of the national banking workforce. This mix enhances the representativeness of the sample with respect to the Vietnamese banking sector. Participation was voluntary and anonymous. </w:t>
      </w:r>
    </w:p>
    <w:p w14:paraId="15B3591A" w14:textId="77777777"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lang w:val="en-US"/>
        </w:rPr>
      </w:pPr>
      <w:r w:rsidRPr="003F6924">
        <w:rPr>
          <w:rFonts w:ascii="Times New Roman" w:hAnsi="Times New Roman" w:cs="Times New Roman"/>
          <w:color w:val="000000" w:themeColor="text1"/>
          <w:sz w:val="26"/>
          <w:lang w:val="en-US"/>
        </w:rPr>
        <w:t>The survey was developed using Google Forms. After pilot testing with 10 respondents to ensure clarity and comprehension, the final version was activated online and distributed with the assistance of bank managers and industry contacts. The questionnaire consisted of two main sections: Section 1 gathered demographic information</w:t>
      </w:r>
      <w:r w:rsidR="00AB6556" w:rsidRPr="003F6924">
        <w:rPr>
          <w:rFonts w:ascii="Times New Roman" w:hAnsi="Times New Roman" w:cs="Times New Roman"/>
          <w:color w:val="000000" w:themeColor="text1"/>
          <w:sz w:val="26"/>
          <w:lang w:val="en-US"/>
        </w:rPr>
        <w:t>.</w:t>
      </w:r>
      <w:r w:rsidRPr="003F6924">
        <w:rPr>
          <w:rFonts w:ascii="Times New Roman" w:hAnsi="Times New Roman" w:cs="Times New Roman"/>
          <w:color w:val="000000" w:themeColor="text1"/>
          <w:sz w:val="26"/>
          <w:lang w:val="en-US"/>
        </w:rPr>
        <w:t xml:space="preserve"> Section 2 measured the study constructs using established multi-item scales on a five-point Likert scale (1 = “strongly disagree” to 5 = “strongly agree”). Each respondent was allowed a single submission, and the survey link remained open from December 2024 to February 2025.</w:t>
      </w:r>
    </w:p>
    <w:p w14:paraId="1C6DE4DB" w14:textId="77777777"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lang w:val="en-US"/>
        </w:rPr>
      </w:pPr>
      <w:r w:rsidRPr="003F6924">
        <w:rPr>
          <w:rFonts w:ascii="Times New Roman" w:hAnsi="Times New Roman" w:cs="Times New Roman"/>
          <w:color w:val="000000" w:themeColor="text1"/>
          <w:sz w:val="26"/>
          <w:lang w:val="en-US"/>
        </w:rPr>
        <w:t xml:space="preserve">A non-probability sampling method, combining convenience and purposive techniques, was employed. This approach was deemed appropriate because (i) the study focuses specifically on employees with an understanding of digital transformation processes, and (ii) probability sampling was not feasible given the confidentiality and restricted access typical of the banking industry. This method also optimized time, financial, and human resources. </w:t>
      </w:r>
    </w:p>
    <w:p w14:paraId="3EF1780E" w14:textId="77777777" w:rsidR="00EF6E62" w:rsidRPr="003F6924" w:rsidRDefault="00B543E4" w:rsidP="00794E60">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The formula for calculating sample size is presented in Equation 1: </w:t>
      </w:r>
      <w:bookmarkStart w:id="0" w:name="_Toc151585519"/>
    </w:p>
    <w:p w14:paraId="50978A66" w14:textId="77777777" w:rsidR="006E65F6" w:rsidRPr="003F6924" w:rsidRDefault="006E65F6" w:rsidP="005723B1">
      <w:pPr>
        <w:pStyle w:val="af8"/>
        <w:snapToGrid w:val="0"/>
        <w:spacing w:after="0" w:line="300" w:lineRule="auto"/>
        <w:jc w:val="both"/>
        <w:rPr>
          <w:b/>
          <w:bCs/>
          <w:color w:val="000000" w:themeColor="text1"/>
          <w:sz w:val="26"/>
          <w:szCs w:val="26"/>
          <w:lang w:val="en-US"/>
        </w:rPr>
      </w:pPr>
    </w:p>
    <w:p w14:paraId="60A558AC" w14:textId="0A734A7F" w:rsidR="00EF6E62" w:rsidRPr="003F6924" w:rsidRDefault="00B543E4" w:rsidP="005723B1">
      <w:pPr>
        <w:pStyle w:val="af8"/>
        <w:snapToGrid w:val="0"/>
        <w:spacing w:after="0" w:line="300" w:lineRule="auto"/>
        <w:jc w:val="both"/>
        <w:rPr>
          <w:color w:val="000000" w:themeColor="text1"/>
          <w:sz w:val="26"/>
          <w:szCs w:val="26"/>
          <w:lang w:val="en-US"/>
        </w:rPr>
      </w:pPr>
      <w:r w:rsidRPr="003F6924">
        <w:rPr>
          <w:b/>
          <w:bCs/>
          <w:color w:val="000000" w:themeColor="text1"/>
          <w:sz w:val="26"/>
          <w:szCs w:val="26"/>
          <w:lang w:val="en-US"/>
        </w:rPr>
        <w:t xml:space="preserve">Equation </w:t>
      </w:r>
      <w:r w:rsidRPr="003F6924">
        <w:rPr>
          <w:b/>
          <w:bCs/>
          <w:color w:val="000000" w:themeColor="text1"/>
          <w:sz w:val="26"/>
          <w:szCs w:val="26"/>
          <w:lang w:val="en-US"/>
        </w:rPr>
        <w:fldChar w:fldCharType="begin"/>
      </w:r>
      <w:r w:rsidRPr="003F6924">
        <w:rPr>
          <w:b/>
          <w:bCs/>
          <w:color w:val="000000" w:themeColor="text1"/>
          <w:sz w:val="26"/>
          <w:szCs w:val="26"/>
          <w:lang w:val="en-US"/>
        </w:rPr>
        <w:instrText xml:space="preserve"> SEQ Equation \* ARABIC </w:instrText>
      </w:r>
      <w:r w:rsidRPr="003F6924">
        <w:rPr>
          <w:b/>
          <w:bCs/>
          <w:color w:val="000000" w:themeColor="text1"/>
          <w:sz w:val="26"/>
          <w:szCs w:val="26"/>
          <w:lang w:val="en-US"/>
        </w:rPr>
        <w:fldChar w:fldCharType="separate"/>
      </w:r>
      <w:r w:rsidR="0058062D">
        <w:rPr>
          <w:b/>
          <w:bCs/>
          <w:noProof/>
          <w:color w:val="000000" w:themeColor="text1"/>
          <w:sz w:val="26"/>
          <w:szCs w:val="26"/>
          <w:lang w:val="en-US"/>
        </w:rPr>
        <w:t>1</w:t>
      </w:r>
      <w:r w:rsidRPr="003F6924">
        <w:rPr>
          <w:b/>
          <w:bCs/>
          <w:noProof/>
          <w:color w:val="000000" w:themeColor="text1"/>
          <w:sz w:val="26"/>
          <w:szCs w:val="26"/>
          <w:lang w:val="en-US"/>
        </w:rPr>
        <w:fldChar w:fldCharType="end"/>
      </w:r>
      <w:r w:rsidRPr="003F6924">
        <w:rPr>
          <w:color w:val="000000" w:themeColor="text1"/>
          <w:sz w:val="26"/>
          <w:szCs w:val="26"/>
          <w:lang w:val="en-US"/>
        </w:rPr>
        <w:t>: Sample size calculation</w:t>
      </w:r>
      <w:bookmarkEnd w:id="0"/>
    </w:p>
    <w:p w14:paraId="4247B4B9" w14:textId="77777777" w:rsidR="00EF6E62" w:rsidRPr="003F6924" w:rsidRDefault="00B543E4" w:rsidP="005723B1">
      <w:pPr>
        <w:snapToGrid w:val="0"/>
        <w:spacing w:after="0" w:line="300" w:lineRule="auto"/>
        <w:jc w:val="both"/>
        <w:rPr>
          <w:rFonts w:ascii="Times New Roman" w:hAnsi="Times New Roman" w:cs="Times New Roman"/>
          <w:color w:val="000000" w:themeColor="text1"/>
          <w:sz w:val="20"/>
          <w:szCs w:val="20"/>
          <w:lang w:val="en-US"/>
        </w:rPr>
      </w:pPr>
      <m:oMathPara>
        <m:oMath>
          <m:r>
            <w:rPr>
              <w:rFonts w:ascii="Cambria Math" w:hAnsi="Cambria Math" w:cs="Times New Roman"/>
              <w:color w:val="000000" w:themeColor="text1"/>
              <w:sz w:val="20"/>
              <w:szCs w:val="20"/>
              <w:lang w:val="en-US"/>
            </w:rPr>
            <m:t>n=</m:t>
          </m:r>
          <m:f>
            <m:fPr>
              <m:ctrlPr>
                <w:rPr>
                  <w:rFonts w:ascii="Cambria Math" w:hAnsi="Cambria Math" w:cs="Times New Roman"/>
                  <w:i/>
                  <w:color w:val="000000" w:themeColor="text1"/>
                  <w:sz w:val="20"/>
                  <w:szCs w:val="20"/>
                  <w:lang w:val="en-US"/>
                </w:rPr>
              </m:ctrlPr>
            </m:fPr>
            <m:num>
              <m:r>
                <w:rPr>
                  <w:rFonts w:ascii="Cambria Math" w:hAnsi="Cambria Math" w:cs="Times New Roman"/>
                  <w:color w:val="000000" w:themeColor="text1"/>
                  <w:sz w:val="20"/>
                  <w:szCs w:val="20"/>
                  <w:lang w:val="en-US"/>
                </w:rPr>
                <m:t>N*X</m:t>
              </m:r>
            </m:num>
            <m:den>
              <m:r>
                <w:rPr>
                  <w:rFonts w:ascii="Cambria Math" w:hAnsi="Cambria Math" w:cs="Times New Roman"/>
                  <w:color w:val="000000" w:themeColor="text1"/>
                  <w:sz w:val="20"/>
                  <w:szCs w:val="20"/>
                  <w:lang w:val="en-US"/>
                </w:rPr>
                <m:t>X+N-1</m:t>
              </m:r>
            </m:den>
          </m:f>
        </m:oMath>
      </m:oMathPara>
    </w:p>
    <w:p w14:paraId="53ECE8CF" w14:textId="77777777" w:rsidR="00EF6E62" w:rsidRPr="003F6924" w:rsidRDefault="00B543E4" w:rsidP="005723B1">
      <w:pPr>
        <w:snapToGrid w:val="0"/>
        <w:spacing w:after="0" w:line="300" w:lineRule="auto"/>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Where:</w:t>
      </w:r>
    </w:p>
    <w:p w14:paraId="42AC319A" w14:textId="77777777" w:rsidR="00EF6E62" w:rsidRPr="003F6924" w:rsidRDefault="00B543E4" w:rsidP="00C96078">
      <w:pPr>
        <w:snapToGrid w:val="0"/>
        <w:spacing w:after="0" w:line="300" w:lineRule="auto"/>
        <w:ind w:leftChars="100" w:left="2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 </w:t>
      </w:r>
      <m:oMath>
        <m:r>
          <w:rPr>
            <w:rFonts w:ascii="Cambria Math" w:hAnsi="Cambria Math" w:cs="Times New Roman"/>
            <w:color w:val="000000" w:themeColor="text1"/>
            <w:sz w:val="26"/>
            <w:szCs w:val="26"/>
            <w:lang w:val="en-US"/>
          </w:rPr>
          <m:t>X=(</m:t>
        </m:r>
        <m:f>
          <m:fPr>
            <m:ctrlPr>
              <w:rPr>
                <w:rFonts w:ascii="Cambria Math" w:hAnsi="Cambria Math" w:cs="Times New Roman"/>
                <w:i/>
                <w:color w:val="000000" w:themeColor="text1"/>
                <w:sz w:val="26"/>
                <w:szCs w:val="26"/>
                <w:lang w:val="en-US"/>
              </w:rPr>
            </m:ctrlPr>
          </m:fPr>
          <m:num>
            <m:sSub>
              <m:sSubPr>
                <m:ctrlPr>
                  <w:rPr>
                    <w:rFonts w:ascii="Cambria Math" w:hAnsi="Cambria Math" w:cs="Times New Roman"/>
                    <w:i/>
                    <w:color w:val="000000" w:themeColor="text1"/>
                    <w:sz w:val="26"/>
                    <w:szCs w:val="26"/>
                    <w:lang w:val="en-US"/>
                  </w:rPr>
                </m:ctrlPr>
              </m:sSubPr>
              <m:e>
                <m:r>
                  <w:rPr>
                    <w:rFonts w:ascii="Cambria Math" w:hAnsi="Cambria Math" w:cs="Times New Roman"/>
                    <w:color w:val="000000" w:themeColor="text1"/>
                    <w:sz w:val="26"/>
                    <w:szCs w:val="26"/>
                    <w:lang w:val="en-US"/>
                  </w:rPr>
                  <m:t>Z</m:t>
                </m:r>
              </m:e>
              <m:sub>
                <m:r>
                  <w:rPr>
                    <w:rFonts w:ascii="Cambria Math" w:hAnsi="Cambria Math" w:cs="Times New Roman"/>
                    <w:color w:val="000000" w:themeColor="text1"/>
                    <w:sz w:val="26"/>
                    <w:szCs w:val="26"/>
                    <w:lang w:val="en-US"/>
                  </w:rPr>
                  <m:t>α</m:t>
                </m:r>
              </m:sub>
            </m:sSub>
          </m:num>
          <m:den>
            <m:sSup>
              <m:sSupPr>
                <m:ctrlPr>
                  <w:rPr>
                    <w:rFonts w:ascii="Cambria Math" w:hAnsi="Cambria Math" w:cs="Times New Roman"/>
                    <w:i/>
                    <w:color w:val="000000" w:themeColor="text1"/>
                    <w:sz w:val="26"/>
                    <w:szCs w:val="26"/>
                    <w:lang w:val="en-US"/>
                  </w:rPr>
                </m:ctrlPr>
              </m:sSupPr>
              <m:e>
                <m:r>
                  <w:rPr>
                    <w:rFonts w:ascii="Cambria Math" w:hAnsi="Cambria Math" w:cs="Times New Roman"/>
                    <w:color w:val="000000" w:themeColor="text1"/>
                    <w:sz w:val="26"/>
                    <w:szCs w:val="26"/>
                    <w:lang w:val="en-US"/>
                  </w:rPr>
                  <m:t>2</m:t>
                </m:r>
              </m:e>
              <m:sup>
                <m:r>
                  <w:rPr>
                    <w:rFonts w:ascii="Cambria Math" w:hAnsi="Cambria Math" w:cs="Times New Roman"/>
                    <w:color w:val="000000" w:themeColor="text1"/>
                    <w:sz w:val="26"/>
                    <w:szCs w:val="26"/>
                    <w:lang w:val="en-US"/>
                  </w:rPr>
                  <m:t>2</m:t>
                </m:r>
              </m:sup>
            </m:sSup>
          </m:den>
        </m:f>
        <m:r>
          <w:rPr>
            <w:rFonts w:ascii="Cambria Math" w:hAnsi="Cambria Math" w:cs="Times New Roman"/>
            <w:color w:val="000000" w:themeColor="text1"/>
            <w:sz w:val="26"/>
            <w:szCs w:val="26"/>
            <w:lang w:val="en-US"/>
          </w:rPr>
          <m:t>*P</m:t>
        </m:r>
        <m:d>
          <m:dPr>
            <m:ctrlPr>
              <w:rPr>
                <w:rFonts w:ascii="Cambria Math" w:hAnsi="Cambria Math" w:cs="Times New Roman"/>
                <w:i/>
                <w:color w:val="000000" w:themeColor="text1"/>
                <w:sz w:val="26"/>
                <w:szCs w:val="26"/>
                <w:lang w:val="en-US"/>
              </w:rPr>
            </m:ctrlPr>
          </m:dPr>
          <m:e>
            <m:r>
              <w:rPr>
                <w:rFonts w:ascii="Cambria Math" w:hAnsi="Cambria Math" w:cs="Times New Roman"/>
                <w:color w:val="000000" w:themeColor="text1"/>
                <w:sz w:val="26"/>
                <w:szCs w:val="26"/>
                <w:lang w:val="en-US"/>
              </w:rPr>
              <m:t>1-P</m:t>
            </m:r>
          </m:e>
        </m:d>
        <m:r>
          <w:rPr>
            <w:rFonts w:ascii="Cambria Math" w:hAnsi="Cambria Math" w:cs="Times New Roman"/>
            <w:color w:val="000000" w:themeColor="text1"/>
            <w:sz w:val="26"/>
            <w:szCs w:val="26"/>
            <w:lang w:val="en-US"/>
          </w:rPr>
          <m:t>)/</m:t>
        </m:r>
        <m:sSup>
          <m:sSupPr>
            <m:ctrlPr>
              <w:rPr>
                <w:rFonts w:ascii="Cambria Math" w:hAnsi="Cambria Math" w:cs="Times New Roman"/>
                <w:i/>
                <w:color w:val="000000" w:themeColor="text1"/>
                <w:sz w:val="26"/>
                <w:szCs w:val="26"/>
                <w:lang w:val="en-US"/>
              </w:rPr>
            </m:ctrlPr>
          </m:sSupPr>
          <m:e>
            <m:r>
              <w:rPr>
                <w:rFonts w:ascii="Cambria Math" w:hAnsi="Cambria Math" w:cs="Times New Roman"/>
                <w:color w:val="000000" w:themeColor="text1"/>
                <w:sz w:val="26"/>
                <w:szCs w:val="26"/>
                <w:lang w:val="en-US"/>
              </w:rPr>
              <m:t>MOE</m:t>
            </m:r>
          </m:e>
          <m:sup>
            <m:r>
              <w:rPr>
                <w:rFonts w:ascii="Cambria Math" w:hAnsi="Cambria Math" w:cs="Times New Roman"/>
                <w:color w:val="000000" w:themeColor="text1"/>
                <w:sz w:val="26"/>
                <w:szCs w:val="26"/>
                <w:lang w:val="en-US"/>
              </w:rPr>
              <m:t>2</m:t>
            </m:r>
          </m:sup>
        </m:sSup>
      </m:oMath>
    </w:p>
    <w:p w14:paraId="62F7CA11" w14:textId="77777777" w:rsidR="00EF6E62" w:rsidRPr="003F6924" w:rsidRDefault="00B543E4" w:rsidP="00C96078">
      <w:pPr>
        <w:snapToGrid w:val="0"/>
        <w:spacing w:after="0" w:line="300" w:lineRule="auto"/>
        <w:ind w:leftChars="100" w:left="2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n = Sample size, </w:t>
      </w:r>
    </w:p>
    <w:p w14:paraId="570FE84F" w14:textId="77777777" w:rsidR="00EF6E62" w:rsidRPr="003F6924" w:rsidRDefault="00B543E4" w:rsidP="00C96078">
      <w:pPr>
        <w:snapToGrid w:val="0"/>
        <w:spacing w:after="0" w:line="300" w:lineRule="auto"/>
        <w:ind w:leftChars="100" w:left="2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P</w:t>
      </w:r>
      <w:r w:rsidR="00AB6556"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 Proportion of the sample</w:t>
      </w:r>
    </w:p>
    <w:p w14:paraId="184FFB63" w14:textId="6F3AF0F7" w:rsidR="00EF6E62" w:rsidRPr="003F6924" w:rsidRDefault="00B543E4" w:rsidP="00C96078">
      <w:pPr>
        <w:snapToGrid w:val="0"/>
        <w:spacing w:after="0" w:line="300" w:lineRule="auto"/>
        <w:ind w:leftChars="100" w:left="2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MOE</w:t>
      </w:r>
      <w:r w:rsidR="00AB6556"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 xml:space="preserve">= Margin of error; a 5% margin of error is usually selected </w:t>
      </w:r>
    </w:p>
    <w:p w14:paraId="4F6BD2E4" w14:textId="77777777" w:rsidR="00EF6E62" w:rsidRPr="003F6924" w:rsidRDefault="00B543E4" w:rsidP="00C96078">
      <w:pPr>
        <w:snapToGrid w:val="0"/>
        <w:spacing w:after="0" w:line="300" w:lineRule="auto"/>
        <w:ind w:leftChars="100" w:left="2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N</w:t>
      </w:r>
      <w:r w:rsidR="00AB6556"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 Population size</w:t>
      </w:r>
    </w:p>
    <w:p w14:paraId="76864B11" w14:textId="77777777" w:rsidR="00EF6E62" w:rsidRPr="003F6924" w:rsidRDefault="00B543E4" w:rsidP="00C96078">
      <w:pPr>
        <w:snapToGrid w:val="0"/>
        <w:spacing w:after="0" w:line="300" w:lineRule="auto"/>
        <w:ind w:leftChars="100" w:left="2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Z-(</w:t>
      </w:r>
      <m:oMath>
        <m:r>
          <w:rPr>
            <w:rFonts w:ascii="Cambria Math" w:hAnsi="Cambria Math" w:cs="Times New Roman"/>
            <w:color w:val="000000" w:themeColor="text1"/>
            <w:sz w:val="26"/>
            <w:szCs w:val="26"/>
            <w:lang w:val="en-US"/>
          </w:rPr>
          <m:t xml:space="preserve">α/2) </m:t>
        </m:r>
      </m:oMath>
      <w:r w:rsidRPr="003F6924">
        <w:rPr>
          <w:rFonts w:ascii="Times New Roman" w:hAnsi="Times New Roman" w:cs="Times New Roman"/>
          <w:color w:val="000000" w:themeColor="text1"/>
          <w:sz w:val="26"/>
          <w:szCs w:val="26"/>
          <w:lang w:val="en-US"/>
        </w:rPr>
        <w:t xml:space="preserve">= The critical value of the normal distribution at a </w:t>
      </w:r>
      <m:oMath>
        <m:r>
          <w:rPr>
            <w:rFonts w:ascii="Cambria Math" w:hAnsi="Cambria Math" w:cs="Times New Roman"/>
            <w:color w:val="000000" w:themeColor="text1"/>
            <w:sz w:val="26"/>
            <w:szCs w:val="26"/>
            <w:lang w:val="en-US"/>
          </w:rPr>
          <m:t>α/2</m:t>
        </m:r>
      </m:oMath>
      <w:r w:rsidRPr="003F6924">
        <w:rPr>
          <w:rFonts w:ascii="Times New Roman" w:hAnsi="Times New Roman" w:cs="Times New Roman"/>
          <w:color w:val="000000" w:themeColor="text1"/>
          <w:sz w:val="26"/>
          <w:szCs w:val="26"/>
          <w:lang w:val="en-US"/>
        </w:rPr>
        <w:t xml:space="preserve"> (for a confidence interval level of 95%, </w:t>
      </w:r>
      <m:oMath>
        <m:r>
          <w:rPr>
            <w:rFonts w:ascii="Cambria Math" w:hAnsi="Cambria Math" w:cs="Times New Roman"/>
            <w:color w:val="000000" w:themeColor="text1"/>
            <w:sz w:val="26"/>
            <w:szCs w:val="26"/>
            <w:lang w:val="en-US"/>
          </w:rPr>
          <m:t>α</m:t>
        </m:r>
      </m:oMath>
      <w:r w:rsidRPr="003F6924">
        <w:rPr>
          <w:rFonts w:ascii="Times New Roman" w:hAnsi="Times New Roman" w:cs="Times New Roman"/>
          <w:color w:val="000000" w:themeColor="text1"/>
          <w:sz w:val="26"/>
          <w:szCs w:val="26"/>
          <w:lang w:val="en-US"/>
        </w:rPr>
        <w:t xml:space="preserve"> is 0.05 and the critical value is 1.96)</w:t>
      </w:r>
    </w:p>
    <w:p w14:paraId="18FACE01" w14:textId="77777777" w:rsidR="00BF2672" w:rsidRPr="003F6924" w:rsidRDefault="00BF2672" w:rsidP="005723B1">
      <w:pPr>
        <w:snapToGrid w:val="0"/>
        <w:spacing w:after="0" w:line="300" w:lineRule="auto"/>
        <w:jc w:val="both"/>
        <w:rPr>
          <w:rFonts w:ascii="Times New Roman" w:hAnsi="Times New Roman" w:cs="Times New Roman"/>
          <w:color w:val="000000" w:themeColor="text1"/>
          <w:sz w:val="26"/>
          <w:szCs w:val="26"/>
          <w:lang w:val="en-US"/>
        </w:rPr>
      </w:pPr>
    </w:p>
    <w:p w14:paraId="68BDB588" w14:textId="06A1D979"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For a 95% confidence level (Z = 1.96) and a 5% margin of error, the minimum required sample size was 385 (Etikan</w:t>
      </w:r>
      <w:r w:rsidR="007D4401" w:rsidRPr="003F6924">
        <w:rPr>
          <w:rFonts w:ascii="Times New Roman" w:hAnsi="Times New Roman" w:cs="Times New Roman"/>
          <w:color w:val="000000" w:themeColor="text1"/>
          <w:sz w:val="26"/>
          <w:szCs w:val="26"/>
          <w:lang w:val="vi-VN"/>
        </w:rPr>
        <w:t xml:space="preserve"> </w:t>
      </w:r>
      <w:r w:rsidR="00F377A7" w:rsidRPr="003F6924">
        <w:rPr>
          <w:rFonts w:ascii="Times New Roman" w:hAnsi="Times New Roman" w:cs="Times New Roman"/>
          <w:color w:val="000000" w:themeColor="text1"/>
          <w:sz w:val="26"/>
          <w:szCs w:val="26"/>
          <w:lang w:val="vi-VN"/>
        </w:rPr>
        <w:t>&amp;</w:t>
      </w:r>
      <w:r w:rsidR="007D4401" w:rsidRPr="003F6924">
        <w:rPr>
          <w:rFonts w:ascii="Times New Roman" w:hAnsi="Times New Roman" w:cs="Times New Roman"/>
          <w:color w:val="000000" w:themeColor="text1"/>
          <w:sz w:val="26"/>
          <w:szCs w:val="26"/>
          <w:lang w:val="vi-VN"/>
        </w:rPr>
        <w:t xml:space="preserve"> Babatope</w:t>
      </w:r>
      <w:r w:rsidRPr="003F6924">
        <w:rPr>
          <w:rFonts w:ascii="Times New Roman" w:hAnsi="Times New Roman" w:cs="Times New Roman"/>
          <w:color w:val="000000" w:themeColor="text1"/>
          <w:sz w:val="26"/>
          <w:szCs w:val="26"/>
          <w:lang w:val="en-US"/>
        </w:rPr>
        <w:t xml:space="preserve">, 2019). Additionally, an a priori power analysis using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{"citationID":"z0IUhUCi","properties":{"formattedCitation":"(Soper, 2023)","plainCitation":"(Soper, 2023)","dontUpdate":true,"noteIndex":0},"citationItems":[{"id":3515,"uris":["http://zotero.org/users/9020985/items/VRGIML8K"],"itemData":{"id":3515,"type":"webpage","container-title":"danielsoper.com","title":"A-priori Sample Size Calculator for Structural Equation Models [Software]","URL":"https://www.danielsoper.com/statcalc/calculator.aspx?id=89","author":[{"family":"Soper","given":"D.S."}],"accessed":{"date-parts":[["2023",11,27]]},"issued":{"date-parts":[["2023"]]}}}],"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Soper</w:t>
      </w:r>
      <w:r w:rsidR="0052243A" w:rsidRPr="003F6924">
        <w:rPr>
          <w:rFonts w:ascii="Times New Roman" w:hAnsi="Times New Roman" w:cs="Times New Roman"/>
          <w:noProof/>
          <w:color w:val="000000" w:themeColor="text1"/>
          <w:sz w:val="26"/>
          <w:szCs w:val="26"/>
          <w:lang w:val="en-US"/>
        </w:rPr>
        <w:t>'s</w:t>
      </w:r>
      <w:r w:rsidRPr="003F6924">
        <w:rPr>
          <w:rFonts w:ascii="Times New Roman" w:hAnsi="Times New Roman" w:cs="Times New Roman"/>
          <w:noProof/>
          <w:color w:val="000000" w:themeColor="text1"/>
          <w:sz w:val="26"/>
          <w:szCs w:val="26"/>
          <w:lang w:val="en-US"/>
        </w:rPr>
        <w:t xml:space="preserve"> (2023)</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online PLS-SEM calculator indicated a minimum of 200 cases to detect a medium effect size, given the study's model complexity. A total of 500 responses were collected, of which 50 were incomplete, resulting in a final sample of 450 valid responses (a 90% usable rate).</w:t>
      </w:r>
    </w:p>
    <w:p w14:paraId="50EA12F3" w14:textId="70EA91DA"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Ethical considerations were strictly observed. The survey did not collect any personally identifiable information</w:t>
      </w:r>
      <w:r w:rsidR="00C96078">
        <w:rPr>
          <w:rFonts w:ascii="Times New Roman" w:hAnsi="Times New Roman" w:cs="Times New Roman"/>
          <w:color w:val="000000" w:themeColor="text1"/>
          <w:sz w:val="26"/>
          <w:szCs w:val="26"/>
          <w:lang w:val="en-US"/>
        </w:rPr>
        <w:t>,</w:t>
      </w:r>
      <w:r w:rsidRPr="003F6924">
        <w:rPr>
          <w:rFonts w:ascii="Times New Roman" w:hAnsi="Times New Roman" w:cs="Times New Roman"/>
          <w:color w:val="000000" w:themeColor="text1"/>
          <w:sz w:val="26"/>
          <w:szCs w:val="26"/>
          <w:lang w:val="en-US"/>
        </w:rPr>
        <w:t xml:space="preserve"> such as names, addresses, or phone numbers. Respondents were informed about the study’s objectives, assured of confidentiality, and provided informed consent </w:t>
      </w:r>
      <w:r w:rsidR="00C96078">
        <w:rPr>
          <w:rFonts w:ascii="Times New Roman" w:hAnsi="Times New Roman" w:cs="Times New Roman"/>
          <w:color w:val="000000" w:themeColor="text1"/>
          <w:sz w:val="26"/>
          <w:szCs w:val="26"/>
          <w:lang w:val="en-US"/>
        </w:rPr>
        <w:t>before</w:t>
      </w:r>
      <w:r w:rsidRPr="003F6924">
        <w:rPr>
          <w:rFonts w:ascii="Times New Roman" w:hAnsi="Times New Roman" w:cs="Times New Roman"/>
          <w:color w:val="000000" w:themeColor="text1"/>
          <w:sz w:val="26"/>
          <w:szCs w:val="26"/>
          <w:lang w:val="en-US"/>
        </w:rPr>
        <w:t xml:space="preserve"> participation. A drop-off option was also available, allowing participants to complete the questionnaire at their convenience.</w:t>
      </w:r>
    </w:p>
    <w:p w14:paraId="3EE5C760" w14:textId="77777777" w:rsidR="00BF2672" w:rsidRPr="003F6924" w:rsidRDefault="00BF2672" w:rsidP="00684A04">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101E7236" w14:textId="56F42020" w:rsidR="00EF6E62" w:rsidRPr="003F6924" w:rsidRDefault="00B543E4" w:rsidP="005723B1">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Measurement </w:t>
      </w:r>
      <w:r w:rsidR="00673588" w:rsidRPr="003F6924">
        <w:rPr>
          <w:rFonts w:ascii="Times New Roman" w:hAnsi="Times New Roman" w:cs="Times New Roman"/>
          <w:b/>
          <w:bCs/>
          <w:color w:val="000000" w:themeColor="text1"/>
          <w:sz w:val="26"/>
          <w:szCs w:val="26"/>
          <w:lang w:val="en-US"/>
        </w:rPr>
        <w:t xml:space="preserve">Scales </w:t>
      </w:r>
    </w:p>
    <w:p w14:paraId="7B104E44" w14:textId="4B8DD5B9"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The variables utilized in the research model are presented in Table </w:t>
      </w:r>
      <w:r w:rsidR="00071B69" w:rsidRPr="003F6924">
        <w:rPr>
          <w:rFonts w:ascii="Times New Roman" w:hAnsi="Times New Roman" w:cs="Times New Roman"/>
          <w:color w:val="000000" w:themeColor="text1"/>
          <w:sz w:val="26"/>
          <w:szCs w:val="26"/>
          <w:lang w:val="en-US"/>
        </w:rPr>
        <w:t>2</w:t>
      </w:r>
      <w:r w:rsidRPr="003F6924">
        <w:rPr>
          <w:rFonts w:ascii="Times New Roman" w:hAnsi="Times New Roman" w:cs="Times New Roman"/>
          <w:color w:val="000000" w:themeColor="text1"/>
          <w:sz w:val="26"/>
          <w:szCs w:val="26"/>
          <w:lang w:val="en-US"/>
        </w:rPr>
        <w:t>. Accordingly</w:t>
      </w:r>
      <w:r w:rsidRPr="003F6924">
        <w:rPr>
          <w:rFonts w:ascii="Times New Roman" w:hAnsi="Times New Roman" w:cs="Times New Roman"/>
          <w:color w:val="000000" w:themeColor="text1"/>
          <w:sz w:val="26"/>
          <w:szCs w:val="26"/>
          <w:lang w:val="vi-VN"/>
        </w:rPr>
        <w:t>, t</w:t>
      </w:r>
      <w:r w:rsidRPr="003F6924">
        <w:rPr>
          <w:rFonts w:ascii="Times New Roman" w:hAnsi="Times New Roman" w:cs="Times New Roman"/>
          <w:color w:val="000000" w:themeColor="text1"/>
          <w:sz w:val="26"/>
          <w:szCs w:val="26"/>
          <w:lang w:val="en-US"/>
        </w:rPr>
        <w:t xml:space="preserve">he authors adapted validated scales developed by previous scholars (as shown in Table </w:t>
      </w:r>
      <w:r w:rsidR="00071B69" w:rsidRPr="003F6924">
        <w:rPr>
          <w:rFonts w:ascii="Times New Roman" w:hAnsi="Times New Roman" w:cs="Times New Roman"/>
          <w:color w:val="000000" w:themeColor="text1"/>
          <w:sz w:val="26"/>
          <w:szCs w:val="26"/>
          <w:lang w:val="en-US"/>
        </w:rPr>
        <w:t>2</w:t>
      </w:r>
      <w:r w:rsidRPr="003F6924">
        <w:rPr>
          <w:rFonts w:ascii="Times New Roman" w:hAnsi="Times New Roman" w:cs="Times New Roman"/>
          <w:color w:val="000000" w:themeColor="text1"/>
          <w:sz w:val="26"/>
          <w:szCs w:val="26"/>
          <w:lang w:val="en-US"/>
        </w:rPr>
        <w:t xml:space="preserve">). </w:t>
      </w:r>
    </w:p>
    <w:p w14:paraId="3B977FF0" w14:textId="77777777" w:rsidR="005723B1" w:rsidRPr="003F6924" w:rsidRDefault="005723B1" w:rsidP="005723B1">
      <w:pPr>
        <w:snapToGrid w:val="0"/>
        <w:spacing w:after="0" w:line="300" w:lineRule="auto"/>
        <w:jc w:val="both"/>
        <w:rPr>
          <w:rFonts w:ascii="Times New Roman" w:hAnsi="Times New Roman" w:cs="Times New Roman"/>
          <w:color w:val="000000" w:themeColor="text1"/>
          <w:sz w:val="26"/>
          <w:szCs w:val="26"/>
          <w:lang w:val="en-US"/>
        </w:rPr>
      </w:pPr>
    </w:p>
    <w:p w14:paraId="3E13F021" w14:textId="181B8EE9" w:rsidR="00EF6E62" w:rsidRPr="003F6924" w:rsidRDefault="00B543E4" w:rsidP="00794E60">
      <w:pPr>
        <w:rPr>
          <w:rFonts w:ascii="Times New Roman" w:hAnsi="Times New Roman" w:cs="Times New Roman"/>
          <w:color w:val="000000" w:themeColor="text1"/>
          <w:sz w:val="26"/>
          <w:szCs w:val="26"/>
          <w:highlight w:val="yellow"/>
          <w:lang w:val="en-US"/>
        </w:rPr>
      </w:pPr>
      <w:r w:rsidRPr="003F6924">
        <w:rPr>
          <w:rFonts w:ascii="Times New Roman" w:hAnsi="Times New Roman" w:cs="Times New Roman"/>
          <w:b/>
          <w:bCs/>
          <w:color w:val="000000" w:themeColor="text1"/>
          <w:sz w:val="26"/>
          <w:szCs w:val="26"/>
          <w:lang w:val="en-US"/>
        </w:rPr>
        <w:t xml:space="preserve">Table </w:t>
      </w:r>
      <w:r w:rsidRPr="003F6924">
        <w:rPr>
          <w:rFonts w:ascii="Times New Roman" w:hAnsi="Times New Roman" w:cs="Times New Roman"/>
          <w:b/>
          <w:bCs/>
          <w:color w:val="000000" w:themeColor="text1"/>
          <w:sz w:val="26"/>
          <w:szCs w:val="26"/>
          <w:lang w:val="en-US"/>
        </w:rPr>
        <w:fldChar w:fldCharType="begin"/>
      </w:r>
      <w:r w:rsidRPr="003F6924">
        <w:rPr>
          <w:rFonts w:ascii="Times New Roman" w:hAnsi="Times New Roman" w:cs="Times New Roman"/>
          <w:b/>
          <w:bCs/>
          <w:color w:val="000000" w:themeColor="text1"/>
          <w:sz w:val="26"/>
          <w:szCs w:val="26"/>
          <w:lang w:val="en-US"/>
        </w:rPr>
        <w:instrText xml:space="preserve"> SEQ Table \* ARABIC </w:instrText>
      </w:r>
      <w:r w:rsidRPr="003F6924">
        <w:rPr>
          <w:rFonts w:ascii="Times New Roman" w:hAnsi="Times New Roman" w:cs="Times New Roman"/>
          <w:b/>
          <w:bCs/>
          <w:color w:val="000000" w:themeColor="text1"/>
          <w:sz w:val="26"/>
          <w:szCs w:val="26"/>
          <w:lang w:val="en-US"/>
        </w:rPr>
        <w:fldChar w:fldCharType="separate"/>
      </w:r>
      <w:r w:rsidR="0058062D">
        <w:rPr>
          <w:rFonts w:ascii="Times New Roman" w:hAnsi="Times New Roman" w:cs="Times New Roman"/>
          <w:b/>
          <w:bCs/>
          <w:noProof/>
          <w:color w:val="000000" w:themeColor="text1"/>
          <w:sz w:val="26"/>
          <w:szCs w:val="26"/>
          <w:lang w:val="en-US"/>
        </w:rPr>
        <w:t>2</w:t>
      </w:r>
      <w:r w:rsidRPr="003F6924">
        <w:rPr>
          <w:rFonts w:ascii="Times New Roman" w:hAnsi="Times New Roman" w:cs="Times New Roman"/>
          <w:b/>
          <w:bCs/>
          <w:noProof/>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t>
      </w:r>
      <w:r w:rsidRPr="00C96078">
        <w:rPr>
          <w:rFonts w:ascii="Times New Roman" w:hAnsi="Times New Roman" w:cs="Times New Roman"/>
          <w:i/>
          <w:iCs/>
          <w:color w:val="000000" w:themeColor="text1"/>
          <w:sz w:val="26"/>
          <w:szCs w:val="26"/>
          <w:lang w:val="en-US"/>
        </w:rPr>
        <w:t>Variables and Items</w:t>
      </w:r>
    </w:p>
    <w:tbl>
      <w:tblPr>
        <w:tblStyle w:val="ac"/>
        <w:tblW w:w="9351" w:type="dxa"/>
        <w:tblLayout w:type="fixed"/>
        <w:tblLook w:val="04A0" w:firstRow="1" w:lastRow="0" w:firstColumn="1" w:lastColumn="0" w:noHBand="0" w:noVBand="1"/>
      </w:tblPr>
      <w:tblGrid>
        <w:gridCol w:w="1696"/>
        <w:gridCol w:w="5670"/>
        <w:gridCol w:w="1985"/>
      </w:tblGrid>
      <w:tr w:rsidR="0046229B" w:rsidRPr="003F6924" w14:paraId="29819A3A" w14:textId="77777777" w:rsidTr="00BF2672">
        <w:trPr>
          <w:tblHeader/>
        </w:trPr>
        <w:tc>
          <w:tcPr>
            <w:tcW w:w="1696" w:type="dxa"/>
            <w:vAlign w:val="center"/>
          </w:tcPr>
          <w:p w14:paraId="1DF008F1" w14:textId="77777777" w:rsidR="00EF6E62" w:rsidRPr="003F6924" w:rsidRDefault="00B543E4" w:rsidP="00BF2672">
            <w:pPr>
              <w:snapToGrid w:val="0"/>
              <w:spacing w:line="240" w:lineRule="atLeast"/>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Variable</w:t>
            </w:r>
          </w:p>
        </w:tc>
        <w:tc>
          <w:tcPr>
            <w:tcW w:w="5670" w:type="dxa"/>
            <w:vAlign w:val="center"/>
          </w:tcPr>
          <w:p w14:paraId="1C93CF0F" w14:textId="77777777" w:rsidR="00EF6E62" w:rsidRPr="003F6924" w:rsidRDefault="00B543E4" w:rsidP="00BF2672">
            <w:pPr>
              <w:snapToGrid w:val="0"/>
              <w:spacing w:line="240" w:lineRule="atLeast"/>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Items</w:t>
            </w:r>
          </w:p>
        </w:tc>
        <w:tc>
          <w:tcPr>
            <w:tcW w:w="1985" w:type="dxa"/>
            <w:vAlign w:val="center"/>
          </w:tcPr>
          <w:p w14:paraId="6D7B2D31" w14:textId="77777777" w:rsidR="00EF6E62" w:rsidRPr="003F6924" w:rsidRDefault="00B543E4" w:rsidP="00BF2672">
            <w:pPr>
              <w:snapToGrid w:val="0"/>
              <w:spacing w:line="240" w:lineRule="atLeast"/>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Instrumentation</w:t>
            </w:r>
          </w:p>
        </w:tc>
      </w:tr>
      <w:tr w:rsidR="0046229B" w:rsidRPr="003F6924" w14:paraId="1270F5A8" w14:textId="77777777" w:rsidTr="00BF2672">
        <w:tc>
          <w:tcPr>
            <w:tcW w:w="1696" w:type="dxa"/>
          </w:tcPr>
          <w:p w14:paraId="6C066C6C" w14:textId="77777777" w:rsidR="00EF6E62" w:rsidRPr="001418E6" w:rsidRDefault="00B543E4" w:rsidP="00BF2672">
            <w:pPr>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 xml:space="preserve">Bank technology platform – BTP </w:t>
            </w:r>
          </w:p>
        </w:tc>
        <w:tc>
          <w:tcPr>
            <w:tcW w:w="5670" w:type="dxa"/>
          </w:tcPr>
          <w:p w14:paraId="4D7A64C5"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employs digital technologies that are aligned with the needs of both customers and employees.</w:t>
            </w:r>
          </w:p>
          <w:p w14:paraId="6B78A504"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has developed technological infrastructure across its departments and divisions.</w:t>
            </w:r>
          </w:p>
          <w:p w14:paraId="0E5F8749"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maintains a modern website and offers advanced internet and mobile banking applications.</w:t>
            </w:r>
          </w:p>
          <w:p w14:paraId="01D5C6AD"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utilizes an internal interaction system to minimize direct task delegation.</w:t>
            </w:r>
          </w:p>
          <w:p w14:paraId="01339572" w14:textId="4D755C32" w:rsidR="00EF6E62" w:rsidRPr="001418E6" w:rsidRDefault="00B543E4" w:rsidP="00BF2672">
            <w:pPr>
              <w:pStyle w:val="a3"/>
              <w:numPr>
                <w:ilvl w:val="0"/>
                <w:numId w:val="20"/>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adopts cloud computing technology for internal management purposes.</w:t>
            </w:r>
          </w:p>
        </w:tc>
        <w:tc>
          <w:tcPr>
            <w:tcW w:w="1985" w:type="dxa"/>
          </w:tcPr>
          <w:p w14:paraId="32F8EB8B" w14:textId="77777777" w:rsidR="00EF6E62" w:rsidRPr="001418E6" w:rsidRDefault="00B543E4" w:rsidP="00BF2672">
            <w:pPr>
              <w:spacing w:line="360" w:lineRule="exact"/>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fldChar w:fldCharType="begin"/>
            </w:r>
            <w:r w:rsidRPr="001418E6">
              <w:rPr>
                <w:rFonts w:ascii="Times New Roman" w:hAnsi="Times New Roman" w:cs="Times New Roman"/>
                <w:color w:val="000000" w:themeColor="text1"/>
                <w:lang w:val="en-US"/>
              </w:rPr>
              <w:instrText xml:space="preserve"> ADDIN ZOTERO_ITEM CSL_CITATION {"citationID":"AYFauBcs","properties":{"formattedCitation":"(\\uc0\\u193{}nh &amp; N\\uc0\\u432{}\\uc0\\u417{}ng, 2022; Tungpantong et al., 2022)","plainCitation":"(Ánh &amp; Nương, 2022; Tungpantong et al., 2022)","noteIndex":0},"citationItems":[{"id":4269,"uris":["http://zotero.org/users/9020985/items/4A6W476I"],"itemData":{"id":4269,"type":"article-journal","abstract":"Digital transformation is inevitable for firms, but successful digital transformation depends on many factors. Using exploratory factor analysis techniques, the study identified 6 factors affecting the digital transformation ability of firms in Binh Dinh province, including: staff capacity, technology background, business pressure, leadership, digital business strategy and corporate culture. Applying multiple regression analysis on the survey sample in Binh Dinh province, the research shows that the two factors that have the strongest impact on digital transformation are staff capacity and technology background. In addition, there is no difference in digital transformation ability between firms of different sizes, business fields and ownership types.","container-title":"Journal of Economics and Development","issue":"2","language":"vi","page":"65-74","source":"Zotero","title":"CÁC NHÂN TỐ ẢNH HƯỞNG ĐẾN CHUYỂN ĐỔI SỐ CỦA DOANH NGHIỆP: TRƯỜNG HỢP NGHIÊN CỨU TẠI BÌNH ĐỊNH - FACTORS AFFECTING DIGITAL TRANSFORMATION OF ENTERPRISES: CASE STUDY IN BINH DINH","volume":"304","author":[{"family":"Ánh","given":"Nguyễn Thị Kim"},{"family":"Nương","given":"Nguyễn Thị Xuân"}],"issued":{"date-parts":[["2022"]]}}},{"id":4270,"uris":["http://zotero.org/users/9020985/items/WDH5NQJD"],"itemData":{"id":4270,"type":"article-journal","abstract":"This research aims to apply confirmatory factor analysis to identify the digital transformation components for higher education institutions. The research sample consisted of 300 personnel from agencies within higher education institutions, which are higher education institutions under the Ministry of Higher Education, Science, Research and Innovation, Thailand that use the database system on educational quality assurance called Commission on Higher Education Quality Assessment online system (CHE QA Online). The selection was the result of multi-stage random sampling from 100 higher education instructions. The research tool was an online questionnaire form on factors influencing the success of information systems in the digital transformation for higher education institutions by 5-level rating scale based on the Likert's scale. The result revealed that digital transformation factor consistent with empirical data (p-value = 0.860), which consist of 6 components: 1) Strategy 2) Process 3) Product/Service 4) People 5) Data) and 6) Technology. The research findings help higher education institutions prepare for the elements necessary for the institutional transformation to a digital organization.","container-title":"Higher Education Studies","DOI":"10.5539/hes.v12n2p9","ISSN":"1925-4741","issue":"2","language":"en","license":"Copyright (c) 2022 Chanin Tungpantong,Prachyanun Nilsook,Panita Wannapiroon","note":"number: 2","page":"p9","source":"ccsenet.org","title":"Factors Influencing Digital Transformation Adoption among Higher Education Institutions during Digital Disruption","volume":"12","author":[{"family":"Tungpantong","given":"Chanin"},{"family":"Nilsook","given":"Prachyanun"},{"family":"Wannapiroon","given":"Panita"}],"issued":{"date-parts":[["2022",3,3]]}}}],"schema":"https://github.com/citation-style-language/schema/raw/master/csl-citation.json"} </w:instrText>
            </w:r>
            <w:r w:rsidRPr="001418E6">
              <w:rPr>
                <w:rFonts w:ascii="Times New Roman" w:hAnsi="Times New Roman" w:cs="Times New Roman"/>
                <w:color w:val="000000" w:themeColor="text1"/>
                <w:lang w:val="en-US"/>
              </w:rPr>
              <w:fldChar w:fldCharType="separate"/>
            </w:r>
            <w:r w:rsidRPr="001418E6">
              <w:rPr>
                <w:rFonts w:ascii="Times New Roman" w:eastAsiaTheme="minorHAnsi" w:hAnsi="Times New Roman" w:cs="Times New Roman"/>
                <w:color w:val="000000" w:themeColor="text1"/>
                <w:lang w:val="en-US"/>
              </w:rPr>
              <w:t xml:space="preserve">(Ánh </w:t>
            </w:r>
            <w:r w:rsidR="00F377A7" w:rsidRPr="001418E6">
              <w:rPr>
                <w:rFonts w:ascii="Times New Roman" w:eastAsiaTheme="minorHAnsi" w:hAnsi="Times New Roman" w:cs="Times New Roman"/>
                <w:color w:val="000000" w:themeColor="text1"/>
                <w:lang w:val="vi-VN"/>
              </w:rPr>
              <w:t>&amp;</w:t>
            </w:r>
            <w:r w:rsidRPr="001418E6">
              <w:rPr>
                <w:rFonts w:ascii="Times New Roman" w:eastAsiaTheme="minorHAnsi" w:hAnsi="Times New Roman" w:cs="Times New Roman"/>
                <w:color w:val="000000" w:themeColor="text1"/>
                <w:lang w:val="en-US"/>
              </w:rPr>
              <w:t xml:space="preserve"> Nương, 2022; Tungpantong et al., 2022)</w:t>
            </w:r>
            <w:r w:rsidRPr="001418E6">
              <w:rPr>
                <w:rFonts w:ascii="Times New Roman" w:hAnsi="Times New Roman" w:cs="Times New Roman"/>
                <w:color w:val="000000" w:themeColor="text1"/>
                <w:lang w:val="en-US"/>
              </w:rPr>
              <w:fldChar w:fldCharType="end"/>
            </w:r>
          </w:p>
        </w:tc>
      </w:tr>
      <w:tr w:rsidR="0046229B" w:rsidRPr="003F6924" w14:paraId="4AEA6D51" w14:textId="77777777" w:rsidTr="00BF2672">
        <w:tc>
          <w:tcPr>
            <w:tcW w:w="1696" w:type="dxa"/>
          </w:tcPr>
          <w:p w14:paraId="128CDD47" w14:textId="77777777" w:rsidR="00EF6E62" w:rsidRPr="001418E6" w:rsidRDefault="00B543E4" w:rsidP="00BF2672">
            <w:pPr>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Digital transformation development - DTD</w:t>
            </w:r>
          </w:p>
        </w:tc>
        <w:tc>
          <w:tcPr>
            <w:tcW w:w="5670" w:type="dxa"/>
          </w:tcPr>
          <w:p w14:paraId="4111A135"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provides training programs for employees on digital transformation and digital applications.</w:t>
            </w:r>
          </w:p>
          <w:p w14:paraId="5C62371F"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empowers employees to engage in self-directed learning related to digital transformation.</w:t>
            </w:r>
          </w:p>
          <w:p w14:paraId="3EE97FB9"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has an information technology department that supports other departments in implementing digital transformation.</w:t>
            </w:r>
          </w:p>
          <w:p w14:paraId="1ED59F6C" w14:textId="70773DA2" w:rsidR="00EF6E62" w:rsidRPr="001418E6" w:rsidRDefault="00B543E4" w:rsidP="00BF2672">
            <w:pPr>
              <w:pStyle w:val="a3"/>
              <w:numPr>
                <w:ilvl w:val="0"/>
                <w:numId w:val="20"/>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places strong emphasis on developing employees’ skills in using digital applications.</w:t>
            </w:r>
          </w:p>
        </w:tc>
        <w:tc>
          <w:tcPr>
            <w:tcW w:w="1985" w:type="dxa"/>
          </w:tcPr>
          <w:p w14:paraId="0451A317" w14:textId="77777777" w:rsidR="00EF6E62" w:rsidRPr="001418E6" w:rsidRDefault="00B543E4" w:rsidP="00BF2672">
            <w:pPr>
              <w:spacing w:line="360" w:lineRule="exact"/>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fldChar w:fldCharType="begin"/>
            </w:r>
            <w:r w:rsidRPr="001418E6">
              <w:rPr>
                <w:rFonts w:ascii="Times New Roman" w:hAnsi="Times New Roman" w:cs="Times New Roman"/>
                <w:color w:val="000000" w:themeColor="text1"/>
                <w:lang w:val="en-US"/>
              </w:rPr>
              <w:instrText xml:space="preserve"> ADDIN ZOTERO_ITEM CSL_CITATION {"citationID":"2EIsF5zr","properties":{"formattedCitation":"(T. M. H. Nguyen &amp; Bui, 2021)","plainCitation":"(T. M. H. Nguyen &amp; Bui, 2021)","noteIndex":0},"citationItems":[{"id":4272,"uris":["http://zotero.org/users/9020985/items/AXQ5WSDY"],"itemData":{"id":4272,"type":"article-journal","container-title":"TNU Journal of Science and Technology","DOI":"https://doi.org/10.34238/tnu-jst.5263","issue":"18","page":"347-355","title":"CÁC YẾU TỐ ẢNH HƯỞNG ĐẾN Ý ĐỊNH THỰC HIỆN CHUYỂN ĐỔI SỐ TRONG CÁC DOANH NGHIỆP NHỎ VÀ VỪA TRÊN ĐỊA BÀN THÀNH PHỐ HÀ NỘI - FACTORS AFFECTING THE INTENTION TO IMPLEMENT DIGITAL TRANSFORMATION IN SMALL AND MEDIUM ENTERPRISES IN HANOI CITY","volume":"266","author":[{"family":"Nguyen","given":"T.M.H"},{"family":"Bui","given":"T.S"}],"issued":{"date-parts":[["2021"]]}}}],"schema":"https://github.com/citation-style-language/schema/raw/master/csl-citation.json"} </w:instrText>
            </w:r>
            <w:r w:rsidRPr="001418E6">
              <w:rPr>
                <w:rFonts w:ascii="Times New Roman" w:hAnsi="Times New Roman" w:cs="Times New Roman"/>
                <w:color w:val="000000" w:themeColor="text1"/>
                <w:lang w:val="en-US"/>
              </w:rPr>
              <w:fldChar w:fldCharType="separate"/>
            </w:r>
            <w:r w:rsidRPr="001418E6">
              <w:rPr>
                <w:rFonts w:ascii="Times New Roman" w:hAnsi="Times New Roman" w:cs="Times New Roman"/>
                <w:noProof/>
                <w:color w:val="000000" w:themeColor="text1"/>
                <w:lang w:val="en-US"/>
              </w:rPr>
              <w:t>(</w:t>
            </w:r>
            <w:r w:rsidR="005536C5" w:rsidRPr="001418E6">
              <w:rPr>
                <w:rFonts w:ascii="Times New Roman" w:hAnsi="Times New Roman" w:cs="Times New Roman"/>
                <w:noProof/>
                <w:color w:val="000000" w:themeColor="text1"/>
                <w:lang w:val="en-US"/>
              </w:rPr>
              <w:t xml:space="preserve">T. M. H. </w:t>
            </w:r>
            <w:r w:rsidRPr="001418E6">
              <w:rPr>
                <w:rFonts w:ascii="Times New Roman" w:hAnsi="Times New Roman" w:cs="Times New Roman"/>
                <w:noProof/>
                <w:color w:val="000000" w:themeColor="text1"/>
                <w:lang w:val="en-US"/>
              </w:rPr>
              <w:t xml:space="preserve">Nguyen </w:t>
            </w:r>
            <w:r w:rsidR="00F377A7" w:rsidRPr="001418E6">
              <w:rPr>
                <w:rFonts w:ascii="Times New Roman" w:hAnsi="Times New Roman" w:cs="Times New Roman"/>
                <w:noProof/>
                <w:color w:val="000000" w:themeColor="text1"/>
                <w:lang w:val="vi-VN"/>
              </w:rPr>
              <w:t>&amp;</w:t>
            </w:r>
            <w:r w:rsidRPr="001418E6">
              <w:rPr>
                <w:rFonts w:ascii="Times New Roman" w:hAnsi="Times New Roman" w:cs="Times New Roman"/>
                <w:noProof/>
                <w:color w:val="000000" w:themeColor="text1"/>
                <w:lang w:val="en-US"/>
              </w:rPr>
              <w:t xml:space="preserve"> Bui, 2021)</w:t>
            </w:r>
            <w:r w:rsidRPr="001418E6">
              <w:rPr>
                <w:rFonts w:ascii="Times New Roman" w:hAnsi="Times New Roman" w:cs="Times New Roman"/>
                <w:color w:val="000000" w:themeColor="text1"/>
                <w:lang w:val="en-US"/>
              </w:rPr>
              <w:fldChar w:fldCharType="end"/>
            </w:r>
          </w:p>
        </w:tc>
      </w:tr>
      <w:tr w:rsidR="0046229B" w:rsidRPr="003F6924" w14:paraId="4476D945" w14:textId="77777777" w:rsidTr="00BF2672">
        <w:tc>
          <w:tcPr>
            <w:tcW w:w="1696" w:type="dxa"/>
          </w:tcPr>
          <w:p w14:paraId="1E708C9A" w14:textId="77777777" w:rsidR="00EF6E62" w:rsidRPr="001418E6" w:rsidRDefault="00B543E4" w:rsidP="00BF2672">
            <w:pPr>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 xml:space="preserve">Leadership capability – LC </w:t>
            </w:r>
          </w:p>
        </w:tc>
        <w:tc>
          <w:tcPr>
            <w:tcW w:w="5670" w:type="dxa"/>
          </w:tcPr>
          <w:p w14:paraId="5ECEB10E"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 xml:space="preserve">The bank’s leadership demonstrates </w:t>
            </w:r>
            <w:r w:rsidR="0052243A" w:rsidRPr="001418E6">
              <w:rPr>
                <w:rFonts w:ascii="Times New Roman" w:hAnsi="Times New Roman" w:cs="Times New Roman"/>
                <w:color w:val="000000" w:themeColor="text1"/>
                <w:lang w:val="en-US"/>
              </w:rPr>
              <w:t xml:space="preserve">a </w:t>
            </w:r>
            <w:r w:rsidRPr="001418E6">
              <w:rPr>
                <w:rFonts w:ascii="Times New Roman" w:hAnsi="Times New Roman" w:cs="Times New Roman"/>
                <w:color w:val="000000" w:themeColor="text1"/>
                <w:lang w:val="en-US"/>
              </w:rPr>
              <w:t>strong interest in digital transformation.</w:t>
            </w:r>
          </w:p>
          <w:p w14:paraId="3A6B605F"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leadership maintains a positive attitude toward the bank’s digital transformation efforts.</w:t>
            </w:r>
          </w:p>
          <w:p w14:paraId="445CE0C5"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leadership uses new technological applications in their interactions.</w:t>
            </w:r>
          </w:p>
          <w:p w14:paraId="3A27D19D"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leadership actively supports proposals to apply technology in digitizing operational and managerial processes within the bank.</w:t>
            </w:r>
          </w:p>
          <w:p w14:paraId="24A14B07"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leadership continuously engages in learning to enhance their capabilities in response to the demands of digital transformation.</w:t>
            </w:r>
          </w:p>
          <w:p w14:paraId="5AC820F6" w14:textId="77777777" w:rsidR="00EF6E62" w:rsidRPr="001418E6" w:rsidRDefault="00B543E4" w:rsidP="00BF2672">
            <w:pPr>
              <w:pStyle w:val="a3"/>
              <w:numPr>
                <w:ilvl w:val="0"/>
                <w:numId w:val="20"/>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leadership is willing to address concerns arising from the potential downsides of digital transformation.</w:t>
            </w:r>
          </w:p>
        </w:tc>
        <w:tc>
          <w:tcPr>
            <w:tcW w:w="1985" w:type="dxa"/>
          </w:tcPr>
          <w:p w14:paraId="4AA559E7" w14:textId="77777777" w:rsidR="00EF6E62" w:rsidRPr="001418E6" w:rsidRDefault="00B543E4" w:rsidP="00BF2672">
            <w:pPr>
              <w:spacing w:line="360" w:lineRule="exact"/>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fldChar w:fldCharType="begin"/>
            </w:r>
            <w:r w:rsidRPr="001418E6">
              <w:rPr>
                <w:rFonts w:ascii="Times New Roman" w:hAnsi="Times New Roman" w:cs="Times New Roman"/>
                <w:color w:val="000000" w:themeColor="text1"/>
                <w:lang w:val="en-US"/>
              </w:rPr>
              <w:instrText xml:space="preserve"> ADDIN ZOTERO_ITEM CSL_CITATION {"citationID":"zwORbi9t","properties":{"formattedCitation":"(\\uc0\\u193{}nh &amp; N\\uc0\\u432{}\\uc0\\u417{}ng, 2022)","plainCitation":"(Ánh &amp; Nương, 2022)","noteIndex":0},"citationItems":[{"id":4269,"uris":["http://zotero.org/users/9020985/items/4A6W476I"],"itemData":{"id":4269,"type":"article-journal","abstract":"Digital transformation is inevitable for firms, but successful digital transformation depends on many factors. Using exploratory factor analysis techniques, the study identified 6 factors affecting the digital transformation ability of firms in Binh Dinh province, including: staff capacity, technology background, business pressure, leadership, digital business strategy and corporate culture. Applying multiple regression analysis on the survey sample in Binh Dinh province, the research shows that the two factors that have the strongest impact on digital transformation are staff capacity and technology background. In addition, there is no difference in digital transformation ability between firms of different sizes, business fields and ownership types.","container-title":"Journal of Economics and Development","issue":"2","language":"vi","page":"65-74","source":"Zotero","title":"CÁC NHÂN TỐ ẢNH HƯỞNG ĐẾN CHUYỂN ĐỔI SỐ CỦA DOANH NGHIỆP: TRƯỜNG HỢP NGHIÊN CỨU TẠI BÌNH ĐỊNH - FACTORS AFFECTING DIGITAL TRANSFORMATION OF ENTERPRISES: CASE STUDY IN BINH DINH","volume":"304","author":[{"family":"Ánh","given":"Nguyễn Thị Kim"},{"family":"Nương","given":"Nguyễn Thị Xuân"}],"issued":{"date-parts":[["2022"]]}}}],"schema":"https://github.com/citation-style-language/schema/raw/master/csl-citation.json"} </w:instrText>
            </w:r>
            <w:r w:rsidRPr="001418E6">
              <w:rPr>
                <w:rFonts w:ascii="Times New Roman" w:hAnsi="Times New Roman" w:cs="Times New Roman"/>
                <w:color w:val="000000" w:themeColor="text1"/>
                <w:lang w:val="en-US"/>
              </w:rPr>
              <w:fldChar w:fldCharType="separate"/>
            </w:r>
            <w:r w:rsidRPr="001418E6">
              <w:rPr>
                <w:rFonts w:ascii="Times New Roman" w:eastAsiaTheme="minorHAnsi" w:hAnsi="Times New Roman" w:cs="Times New Roman"/>
                <w:color w:val="000000" w:themeColor="text1"/>
                <w:lang w:val="en-US"/>
              </w:rPr>
              <w:t xml:space="preserve">(Ánh </w:t>
            </w:r>
            <w:r w:rsidR="00F377A7" w:rsidRPr="001418E6">
              <w:rPr>
                <w:rFonts w:ascii="Times New Roman" w:eastAsiaTheme="minorHAnsi" w:hAnsi="Times New Roman" w:cs="Times New Roman"/>
                <w:color w:val="000000" w:themeColor="text1"/>
                <w:lang w:val="vi-VN"/>
              </w:rPr>
              <w:t>&amp;</w:t>
            </w:r>
            <w:r w:rsidRPr="001418E6">
              <w:rPr>
                <w:rFonts w:ascii="Times New Roman" w:eastAsiaTheme="minorHAnsi" w:hAnsi="Times New Roman" w:cs="Times New Roman"/>
                <w:color w:val="000000" w:themeColor="text1"/>
                <w:lang w:val="en-US"/>
              </w:rPr>
              <w:t xml:space="preserve"> Nương, 2022)</w:t>
            </w:r>
            <w:r w:rsidRPr="001418E6">
              <w:rPr>
                <w:rFonts w:ascii="Times New Roman" w:hAnsi="Times New Roman" w:cs="Times New Roman"/>
                <w:color w:val="000000" w:themeColor="text1"/>
                <w:lang w:val="en-US"/>
              </w:rPr>
              <w:fldChar w:fldCharType="end"/>
            </w:r>
          </w:p>
        </w:tc>
      </w:tr>
      <w:tr w:rsidR="0046229B" w:rsidRPr="003F6924" w14:paraId="67A57942" w14:textId="77777777" w:rsidTr="00BF2672">
        <w:tc>
          <w:tcPr>
            <w:tcW w:w="1696" w:type="dxa"/>
          </w:tcPr>
          <w:p w14:paraId="1E7A0A8E" w14:textId="77777777" w:rsidR="00EF6E62" w:rsidRPr="001418E6" w:rsidRDefault="00B543E4" w:rsidP="00BF2672">
            <w:pPr>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 xml:space="preserve">Digital transformation strategy – DTS </w:t>
            </w:r>
          </w:p>
        </w:tc>
        <w:tc>
          <w:tcPr>
            <w:tcW w:w="5670" w:type="dxa"/>
          </w:tcPr>
          <w:p w14:paraId="4AF39EEF"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Digital transformation objectives are incorporated into the bank's business strategy.</w:t>
            </w:r>
          </w:p>
          <w:p w14:paraId="7F251D3F"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has established a dedicated unit to oversee the digital transformation process.</w:t>
            </w:r>
          </w:p>
          <w:p w14:paraId="4DE005B4"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engages specialized firms or organizations to provide consulting and implementation support for digital transformation initiatives.</w:t>
            </w:r>
          </w:p>
          <w:p w14:paraId="2647A222" w14:textId="77777777" w:rsidR="00EF6E62" w:rsidRPr="001418E6" w:rsidRDefault="00B543E4" w:rsidP="00BF2672">
            <w:pPr>
              <w:pStyle w:val="a3"/>
              <w:numPr>
                <w:ilvl w:val="0"/>
                <w:numId w:val="20"/>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aims to deliver an optimal customer experience through digital platforms.</w:t>
            </w:r>
          </w:p>
        </w:tc>
        <w:tc>
          <w:tcPr>
            <w:tcW w:w="1985" w:type="dxa"/>
          </w:tcPr>
          <w:p w14:paraId="2523C0BB" w14:textId="77777777" w:rsidR="00EF6E62" w:rsidRPr="001418E6" w:rsidRDefault="00B543E4" w:rsidP="00BF2672">
            <w:pPr>
              <w:spacing w:line="360" w:lineRule="exact"/>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fldChar w:fldCharType="begin"/>
            </w:r>
            <w:r w:rsidRPr="001418E6">
              <w:rPr>
                <w:rFonts w:ascii="Times New Roman" w:hAnsi="Times New Roman" w:cs="Times New Roman"/>
                <w:color w:val="000000" w:themeColor="text1"/>
                <w:lang w:val="en-US"/>
              </w:rPr>
              <w:instrText xml:space="preserve"> ADDIN ZOTERO_ITEM CSL_CITATION {"citationID":"5GMA3IWO","properties":{"formattedCitation":"(\\uc0\\u193{}nh &amp; N\\uc0\\u432{}\\uc0\\u417{}ng, 2022)","plainCitation":"(Ánh &amp; Nương, 2022)","noteIndex":0},"citationItems":[{"id":4269,"uris":["http://zotero.org/users/9020985/items/4A6W476I"],"itemData":{"id":4269,"type":"article-journal","abstract":"Digital transformation is inevitable for firms, but successful digital transformation depends on many factors. Using exploratory factor analysis techniques, the study identified 6 factors affecting the digital transformation ability of firms in Binh Dinh province, including: staff capacity, technology background, business pressure, leadership, digital business strategy and corporate culture. Applying multiple regression analysis on the survey sample in Binh Dinh province, the research shows that the two factors that have the strongest impact on digital transformation are staff capacity and technology background. In addition, there is no difference in digital transformation ability between firms of different sizes, business fields and ownership types.","container-title":"Journal of Economics and Development","issue":"2","language":"vi","page":"65-74","source":"Zotero","title":"CÁC NHÂN TỐ ẢNH HƯỞNG ĐẾN CHUYỂN ĐỔI SỐ CỦA DOANH NGHIỆP: TRƯỜNG HỢP NGHIÊN CỨU TẠI BÌNH ĐỊNH - FACTORS AFFECTING DIGITAL TRANSFORMATION OF ENTERPRISES: CASE STUDY IN BINH DINH","volume":"304","author":[{"family":"Ánh","given":"Nguyễn Thị Kim"},{"family":"Nương","given":"Nguyễn Thị Xuân"}],"issued":{"date-parts":[["2022"]]}}}],"schema":"https://github.com/citation-style-language/schema/raw/master/csl-citation.json"} </w:instrText>
            </w:r>
            <w:r w:rsidRPr="001418E6">
              <w:rPr>
                <w:rFonts w:ascii="Times New Roman" w:hAnsi="Times New Roman" w:cs="Times New Roman"/>
                <w:color w:val="000000" w:themeColor="text1"/>
                <w:lang w:val="en-US"/>
              </w:rPr>
              <w:fldChar w:fldCharType="separate"/>
            </w:r>
            <w:r w:rsidRPr="001418E6">
              <w:rPr>
                <w:rFonts w:ascii="Times New Roman" w:eastAsiaTheme="minorHAnsi" w:hAnsi="Times New Roman" w:cs="Times New Roman"/>
                <w:color w:val="000000" w:themeColor="text1"/>
                <w:lang w:val="en-US"/>
              </w:rPr>
              <w:t xml:space="preserve">(Ánh </w:t>
            </w:r>
            <w:r w:rsidR="00F377A7" w:rsidRPr="001418E6">
              <w:rPr>
                <w:rFonts w:ascii="Times New Roman" w:eastAsiaTheme="minorHAnsi" w:hAnsi="Times New Roman" w:cs="Times New Roman"/>
                <w:color w:val="000000" w:themeColor="text1"/>
                <w:lang w:val="vi-VN"/>
              </w:rPr>
              <w:t>&amp;</w:t>
            </w:r>
            <w:r w:rsidRPr="001418E6">
              <w:rPr>
                <w:rFonts w:ascii="Times New Roman" w:eastAsiaTheme="minorHAnsi" w:hAnsi="Times New Roman" w:cs="Times New Roman"/>
                <w:color w:val="000000" w:themeColor="text1"/>
                <w:lang w:val="en-US"/>
              </w:rPr>
              <w:t xml:space="preserve"> Nương, 2022)</w:t>
            </w:r>
            <w:r w:rsidRPr="001418E6">
              <w:rPr>
                <w:rFonts w:ascii="Times New Roman" w:hAnsi="Times New Roman" w:cs="Times New Roman"/>
                <w:color w:val="000000" w:themeColor="text1"/>
                <w:lang w:val="en-US"/>
              </w:rPr>
              <w:fldChar w:fldCharType="end"/>
            </w:r>
          </w:p>
        </w:tc>
      </w:tr>
      <w:tr w:rsidR="0046229B" w:rsidRPr="003F6924" w14:paraId="7756CBBB" w14:textId="77777777" w:rsidTr="00BF2672">
        <w:tc>
          <w:tcPr>
            <w:tcW w:w="1696" w:type="dxa"/>
          </w:tcPr>
          <w:p w14:paraId="5229C313" w14:textId="77777777" w:rsidR="00EF6E62" w:rsidRPr="001418E6" w:rsidRDefault="00B543E4" w:rsidP="00BF2672">
            <w:pPr>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 xml:space="preserve">Employee competency &amp; comprehension – ECC </w:t>
            </w:r>
          </w:p>
        </w:tc>
        <w:tc>
          <w:tcPr>
            <w:tcW w:w="5670" w:type="dxa"/>
          </w:tcPr>
          <w:p w14:paraId="272D9189"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Employees are proficient in using information technology applications.</w:t>
            </w:r>
          </w:p>
          <w:p w14:paraId="1A35023F"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 xml:space="preserve">Employees </w:t>
            </w:r>
            <w:proofErr w:type="gramStart"/>
            <w:r w:rsidRPr="001418E6">
              <w:rPr>
                <w:rFonts w:ascii="Times New Roman" w:hAnsi="Times New Roman" w:cs="Times New Roman"/>
                <w:color w:val="000000" w:themeColor="text1"/>
                <w:lang w:val="en-US"/>
              </w:rPr>
              <w:t>are capable of resolving</w:t>
            </w:r>
            <w:proofErr w:type="gramEnd"/>
            <w:r w:rsidRPr="001418E6">
              <w:rPr>
                <w:rFonts w:ascii="Times New Roman" w:hAnsi="Times New Roman" w:cs="Times New Roman"/>
                <w:color w:val="000000" w:themeColor="text1"/>
                <w:lang w:val="en-US"/>
              </w:rPr>
              <w:t xml:space="preserve"> technical issues related to technology.</w:t>
            </w:r>
          </w:p>
          <w:p w14:paraId="7EA3FDAE"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Employees can easily learn new digital technologies.</w:t>
            </w:r>
          </w:p>
          <w:p w14:paraId="7447F165"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 xml:space="preserve">Employees </w:t>
            </w:r>
            <w:r w:rsidR="0052243A" w:rsidRPr="001418E6">
              <w:rPr>
                <w:rFonts w:ascii="Times New Roman" w:hAnsi="Times New Roman" w:cs="Times New Roman"/>
                <w:color w:val="000000" w:themeColor="text1"/>
                <w:lang w:val="en-US"/>
              </w:rPr>
              <w:t>can</w:t>
            </w:r>
            <w:r w:rsidRPr="001418E6">
              <w:rPr>
                <w:rFonts w:ascii="Times New Roman" w:hAnsi="Times New Roman" w:cs="Times New Roman"/>
                <w:color w:val="000000" w:themeColor="text1"/>
                <w:lang w:val="en-US"/>
              </w:rPr>
              <w:t xml:space="preserve"> update their knowledge of emerging technologies with ease.</w:t>
            </w:r>
          </w:p>
          <w:p w14:paraId="0704B332" w14:textId="77777777" w:rsidR="00EF6E62" w:rsidRPr="001418E6" w:rsidRDefault="00B543E4" w:rsidP="00BF2672">
            <w:pPr>
              <w:pStyle w:val="a3"/>
              <w:numPr>
                <w:ilvl w:val="0"/>
                <w:numId w:val="20"/>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Employees are willing to collaborate and contribute to the development of new digital technologies.</w:t>
            </w:r>
          </w:p>
        </w:tc>
        <w:tc>
          <w:tcPr>
            <w:tcW w:w="1985" w:type="dxa"/>
          </w:tcPr>
          <w:p w14:paraId="5A5B303F" w14:textId="77777777" w:rsidR="00EF6E62" w:rsidRPr="001418E6" w:rsidRDefault="00B543E4" w:rsidP="00BF2672">
            <w:pPr>
              <w:spacing w:line="360" w:lineRule="exact"/>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fldChar w:fldCharType="begin"/>
            </w:r>
            <w:r w:rsidRPr="001418E6">
              <w:rPr>
                <w:rFonts w:ascii="Times New Roman" w:hAnsi="Times New Roman" w:cs="Times New Roman"/>
                <w:color w:val="000000" w:themeColor="text1"/>
                <w:lang w:val="en-US"/>
              </w:rPr>
              <w:instrText xml:space="preserve"> ADDIN ZOTERO_ITEM CSL_CITATION {"citationID":"H6bwhQbf","properties":{"formattedCitation":"(\\uc0\\u193{}nh &amp; N\\uc0\\u432{}\\uc0\\u417{}ng, 2022)","plainCitation":"(Ánh &amp; Nương, 2022)","noteIndex":0},"citationItems":[{"id":4269,"uris":["http://zotero.org/users/9020985/items/4A6W476I"],"itemData":{"id":4269,"type":"article-journal","abstract":"Digital transformation is inevitable for firms, but successful digital transformation depends on many factors. Using exploratory factor analysis techniques, the study identified 6 factors affecting the digital transformation ability of firms in Binh Dinh province, including: staff capacity, technology background, business pressure, leadership, digital business strategy and corporate culture. Applying multiple regression analysis on the survey sample in Binh Dinh province, the research shows that the two factors that have the strongest impact on digital transformation are staff capacity and technology background. In addition, there is no difference in digital transformation ability between firms of different sizes, business fields and ownership types.","container-title":"Journal of Economics and Development","issue":"2","language":"vi","page":"65-74","source":"Zotero","title":"CÁC NHÂN TỐ ẢNH HƯỞNG ĐẾN CHUYỂN ĐỔI SỐ CỦA DOANH NGHIỆP: TRƯỜNG HỢP NGHIÊN CỨU TẠI BÌNH ĐỊNH - FACTORS AFFECTING DIGITAL TRANSFORMATION OF ENTERPRISES: CASE STUDY IN BINH DINH","volume":"304","author":[{"family":"Ánh","given":"Nguyễn Thị Kim"},{"family":"Nương","given":"Nguyễn Thị Xuân"}],"issued":{"date-parts":[["2022"]]}}}],"schema":"https://github.com/citation-style-language/schema/raw/master/csl-citation.json"} </w:instrText>
            </w:r>
            <w:r w:rsidRPr="001418E6">
              <w:rPr>
                <w:rFonts w:ascii="Times New Roman" w:hAnsi="Times New Roman" w:cs="Times New Roman"/>
                <w:color w:val="000000" w:themeColor="text1"/>
                <w:lang w:val="en-US"/>
              </w:rPr>
              <w:fldChar w:fldCharType="separate"/>
            </w:r>
            <w:r w:rsidRPr="001418E6">
              <w:rPr>
                <w:rFonts w:ascii="Times New Roman" w:eastAsiaTheme="minorHAnsi" w:hAnsi="Times New Roman" w:cs="Times New Roman"/>
                <w:color w:val="000000" w:themeColor="text1"/>
                <w:lang w:val="en-US"/>
              </w:rPr>
              <w:t xml:space="preserve">(Ánh </w:t>
            </w:r>
            <w:r w:rsidR="00F377A7" w:rsidRPr="001418E6">
              <w:rPr>
                <w:rFonts w:ascii="Times New Roman" w:eastAsiaTheme="minorHAnsi" w:hAnsi="Times New Roman" w:cs="Times New Roman"/>
                <w:color w:val="000000" w:themeColor="text1"/>
                <w:lang w:val="vi-VN"/>
              </w:rPr>
              <w:t>&amp;</w:t>
            </w:r>
            <w:r w:rsidRPr="001418E6">
              <w:rPr>
                <w:rFonts w:ascii="Times New Roman" w:eastAsiaTheme="minorHAnsi" w:hAnsi="Times New Roman" w:cs="Times New Roman"/>
                <w:color w:val="000000" w:themeColor="text1"/>
                <w:lang w:val="en-US"/>
              </w:rPr>
              <w:t xml:space="preserve"> Nương, 2022)</w:t>
            </w:r>
            <w:r w:rsidRPr="001418E6">
              <w:rPr>
                <w:rFonts w:ascii="Times New Roman" w:hAnsi="Times New Roman" w:cs="Times New Roman"/>
                <w:color w:val="000000" w:themeColor="text1"/>
                <w:lang w:val="en-US"/>
              </w:rPr>
              <w:fldChar w:fldCharType="end"/>
            </w:r>
          </w:p>
        </w:tc>
      </w:tr>
      <w:tr w:rsidR="0046229B" w:rsidRPr="003F6924" w14:paraId="2FAE7EB6" w14:textId="77777777" w:rsidTr="00BF2672">
        <w:tc>
          <w:tcPr>
            <w:tcW w:w="1696" w:type="dxa"/>
          </w:tcPr>
          <w:p w14:paraId="57D2C5E2" w14:textId="77777777" w:rsidR="00EF6E62" w:rsidRPr="001418E6" w:rsidRDefault="00B543E4" w:rsidP="00BF2672">
            <w:pPr>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 xml:space="preserve">Bank risk management – BRM </w:t>
            </w:r>
          </w:p>
        </w:tc>
        <w:tc>
          <w:tcPr>
            <w:tcW w:w="5670" w:type="dxa"/>
          </w:tcPr>
          <w:p w14:paraId="4BFE602B"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consistently prioritizes risk management activities to ensure stable business operations.</w:t>
            </w:r>
          </w:p>
          <w:p w14:paraId="78BC2F21"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is capable of effectively handling risk incidents during business processes through the application of digital technologies.</w:t>
            </w:r>
          </w:p>
          <w:p w14:paraId="6668F933" w14:textId="77777777" w:rsidR="00EF6E62" w:rsidRPr="001418E6" w:rsidRDefault="00B543E4" w:rsidP="00BF2672">
            <w:pPr>
              <w:pStyle w:val="a3"/>
              <w:numPr>
                <w:ilvl w:val="0"/>
                <w:numId w:val="20"/>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has implemented a risk control system based on technological platforms.</w:t>
            </w:r>
          </w:p>
        </w:tc>
        <w:tc>
          <w:tcPr>
            <w:tcW w:w="1985" w:type="dxa"/>
          </w:tcPr>
          <w:p w14:paraId="642D0F3D" w14:textId="77777777" w:rsidR="00EF6E62" w:rsidRPr="001418E6" w:rsidRDefault="00B543E4" w:rsidP="00BF2672">
            <w:pPr>
              <w:spacing w:line="360" w:lineRule="exact"/>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fldChar w:fldCharType="begin"/>
            </w:r>
            <w:r w:rsidRPr="001418E6">
              <w:rPr>
                <w:rFonts w:ascii="Times New Roman" w:hAnsi="Times New Roman" w:cs="Times New Roman"/>
                <w:color w:val="000000" w:themeColor="text1"/>
                <w:lang w:val="en-US"/>
              </w:rPr>
              <w:instrText xml:space="preserve"> ADDIN ZOTERO_ITEM CSL_CITATION {"citationID":"pjpUTJiF","properties":{"formattedCitation":"(Hassan Al\\uc0\\u8208{}Tamimi &amp; Mohammed Al\\uc0\\u8208{}Mazrooei, 2007)","plainCitation":"(Hassan Al‐Tamimi &amp; Mohammed Al‐Mazrooei, 2007)","noteIndex":0},"citationItems":[{"id":4274,"uris":["http://zotero.org/users/9020985/items/FNMLRSTN"],"itemData":{"id":4274,"type":"article-journal","abstract":"Purpose\n              The purpose of this research is to examine the degree to which the UAE banks use risk management practices and techniques in dealing with different types of risk. The secondary objective is to compare risk management practices between the two sets of banks.\n            \n            \n              Design/methodology/approach\n              The authors developed a modified questionnaire, divided into two parts. The first part covers six aspects: understanding risk and risk management; risk identification; risk assessment and analysis; risk monitoring; risk management practices; and credit risk analysis. This part includes 43 closed‐ended questions based on an interval scale. The second part consists of two closed‐ended questions based on an ordinal scale dealing with two topics: methods of risk identification, and risks facing the sample banks.\n            \n            \n              Findings\n              This study found that the three most important types of risk facing the UAE commercial banks are foreign exchange risk, followed by credit risk, then operating risk. It also found that the UAE banks are somewhat efficient in managing risk, and risk identification and risk assessment and analysis are the most influencing variables in risk management practices. Finally, the results indicate that there is a significant difference between the UAE national and foreign banks in the practice of risk assessment and analysis, and in risk monitoring and controlling.\n            \n            \n              Originality/value\n              The article will be of value to those interested in the banking industry.","container-title":"The Journal of Risk Finance","DOI":"10.1108/15265940710777333","ISSN":"1526-5943","issue":"4","language":"en","license":"https://www.emerald.com/insight/site-policies","page":"394-409","source":"DOI.org (Crossref)","title":"Banks' risk management: a comparison study of UAE national and foreign banks","title-short":"Banks' risk management","volume":"8","editor":[{"family":"Powers","given":"Michael R."}],"author":[{"family":"Hassan Al‐Tamimi","given":"Hussein A."},{"family":"Mohammed Al‐Mazrooei","given":"Faris"}],"issued":{"date-parts":[["2007",8,21]]}}}],"schema":"https://github.com/citation-style-language/schema/raw/master/csl-citation.json"} </w:instrText>
            </w:r>
            <w:r w:rsidRPr="001418E6">
              <w:rPr>
                <w:rFonts w:ascii="Times New Roman" w:hAnsi="Times New Roman" w:cs="Times New Roman"/>
                <w:color w:val="000000" w:themeColor="text1"/>
                <w:lang w:val="en-US"/>
              </w:rPr>
              <w:fldChar w:fldCharType="separate"/>
            </w:r>
            <w:r w:rsidRPr="001418E6">
              <w:rPr>
                <w:rFonts w:ascii="Times New Roman" w:eastAsiaTheme="minorHAnsi" w:hAnsi="Times New Roman" w:cs="Times New Roman"/>
                <w:color w:val="000000" w:themeColor="text1"/>
                <w:lang w:val="en-US"/>
              </w:rPr>
              <w:t xml:space="preserve">(Hassan Al‐Tamimi </w:t>
            </w:r>
            <w:r w:rsidR="00F377A7" w:rsidRPr="001418E6">
              <w:rPr>
                <w:rFonts w:ascii="Times New Roman" w:eastAsiaTheme="minorHAnsi" w:hAnsi="Times New Roman" w:cs="Times New Roman"/>
                <w:color w:val="000000" w:themeColor="text1"/>
                <w:lang w:val="vi-VN"/>
              </w:rPr>
              <w:t>&amp;</w:t>
            </w:r>
            <w:r w:rsidRPr="001418E6">
              <w:rPr>
                <w:rFonts w:ascii="Times New Roman" w:eastAsiaTheme="minorHAnsi" w:hAnsi="Times New Roman" w:cs="Times New Roman"/>
                <w:color w:val="000000" w:themeColor="text1"/>
                <w:lang w:val="en-US"/>
              </w:rPr>
              <w:t xml:space="preserve"> Mohammed Al‐Mazrooei, 2007)</w:t>
            </w:r>
            <w:r w:rsidRPr="001418E6">
              <w:rPr>
                <w:rFonts w:ascii="Times New Roman" w:hAnsi="Times New Roman" w:cs="Times New Roman"/>
                <w:color w:val="000000" w:themeColor="text1"/>
                <w:lang w:val="en-US"/>
              </w:rPr>
              <w:fldChar w:fldCharType="end"/>
            </w:r>
          </w:p>
        </w:tc>
      </w:tr>
      <w:tr w:rsidR="0046229B" w:rsidRPr="003F6924" w14:paraId="63670969" w14:textId="77777777" w:rsidTr="00BF2672">
        <w:tc>
          <w:tcPr>
            <w:tcW w:w="1696" w:type="dxa"/>
          </w:tcPr>
          <w:p w14:paraId="543FE701" w14:textId="77777777" w:rsidR="00EF6E62" w:rsidRPr="001418E6" w:rsidRDefault="00B543E4" w:rsidP="00BF2672">
            <w:pPr>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 xml:space="preserve">Bank corporate culture – BCC </w:t>
            </w:r>
          </w:p>
        </w:tc>
        <w:tc>
          <w:tcPr>
            <w:tcW w:w="5670" w:type="dxa"/>
          </w:tcPr>
          <w:p w14:paraId="328DF7DE"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Bank employees are actively involved in processes, decision-making, and the execution of tasks related to digital transformation.</w:t>
            </w:r>
          </w:p>
          <w:p w14:paraId="0B6AC5B6"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Employees demonstrate a strong sense of responsibility.</w:t>
            </w:r>
          </w:p>
          <w:p w14:paraId="1A2F843A"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bank’s data is always verified before being stored or shared.</w:t>
            </w:r>
          </w:p>
          <w:p w14:paraId="2BF065E3"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There is a high level of coordination and consensus among employees within the bank.</w:t>
            </w:r>
          </w:p>
          <w:p w14:paraId="40816D83"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exercises control, conducts testing, and facilitates discussions before implementing digital transformation initiatives.</w:t>
            </w:r>
          </w:p>
          <w:p w14:paraId="40530F56"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is prepared to respond to changes brought about by the adoption of digital technologies.</w:t>
            </w:r>
          </w:p>
          <w:p w14:paraId="4D801A6D"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is willing to take risks and accept potential failures in the process of digital transformation.</w:t>
            </w:r>
          </w:p>
          <w:p w14:paraId="4682ACAD" w14:textId="77777777" w:rsidR="00EF6E62" w:rsidRPr="001418E6" w:rsidRDefault="00B543E4" w:rsidP="00BF2672">
            <w:pPr>
              <w:pStyle w:val="a3"/>
              <w:numPr>
                <w:ilvl w:val="0"/>
                <w:numId w:val="20"/>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makes dedicated efforts to achieve its digital transformation goals.</w:t>
            </w:r>
          </w:p>
        </w:tc>
        <w:tc>
          <w:tcPr>
            <w:tcW w:w="1985" w:type="dxa"/>
          </w:tcPr>
          <w:p w14:paraId="1E2743F6" w14:textId="77777777" w:rsidR="00EF6E62" w:rsidRPr="001418E6" w:rsidRDefault="00B543E4" w:rsidP="00BF2672">
            <w:pPr>
              <w:spacing w:line="360" w:lineRule="exact"/>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fldChar w:fldCharType="begin"/>
            </w:r>
            <w:r w:rsidRPr="001418E6">
              <w:rPr>
                <w:rFonts w:ascii="Times New Roman" w:hAnsi="Times New Roman" w:cs="Times New Roman"/>
                <w:color w:val="000000" w:themeColor="text1"/>
                <w:lang w:val="en-US"/>
              </w:rPr>
              <w:instrText xml:space="preserve"> ADDIN ZOTERO_ITEM CSL_CITATION {"citationID":"lIr14YcE","properties":{"formattedCitation":"(\\uc0\\u193{}nh &amp; N\\uc0\\u432{}\\uc0\\u417{}ng, 2022)","plainCitation":"(Ánh &amp; Nương, 2022)","noteIndex":0},"citationItems":[{"id":4269,"uris":["http://zotero.org/users/9020985/items/4A6W476I"],"itemData":{"id":4269,"type":"article-journal","abstract":"Digital transformation is inevitable for firms, but successful digital transformation depends on many factors. Using exploratory factor analysis techniques, the study identified 6 factors affecting the digital transformation ability of firms in Binh Dinh province, including: staff capacity, technology background, business pressure, leadership, digital business strategy and corporate culture. Applying multiple regression analysis on the survey sample in Binh Dinh province, the research shows that the two factors that have the strongest impact on digital transformation are staff capacity and technology background. In addition, there is no difference in digital transformation ability between firms of different sizes, business fields and ownership types.","container-title":"Journal of Economics and Development","issue":"2","language":"vi","page":"65-74","source":"Zotero","title":"CÁC NHÂN TỐ ẢNH HƯỞNG ĐẾN CHUYỂN ĐỔI SỐ CỦA DOANH NGHIỆP: TRƯỜNG HỢP NGHIÊN CỨU TẠI BÌNH ĐỊNH - FACTORS AFFECTING DIGITAL TRANSFORMATION OF ENTERPRISES: CASE STUDY IN BINH DINH","volume":"304","author":[{"family":"Ánh","given":"Nguyễn Thị Kim"},{"family":"Nương","given":"Nguyễn Thị Xuân"}],"issued":{"date-parts":[["2022"]]}}}],"schema":"https://github.com/citation-style-language/schema/raw/master/csl-citation.json"} </w:instrText>
            </w:r>
            <w:r w:rsidRPr="001418E6">
              <w:rPr>
                <w:rFonts w:ascii="Times New Roman" w:hAnsi="Times New Roman" w:cs="Times New Roman"/>
                <w:color w:val="000000" w:themeColor="text1"/>
                <w:lang w:val="en-US"/>
              </w:rPr>
              <w:fldChar w:fldCharType="separate"/>
            </w:r>
            <w:r w:rsidRPr="001418E6">
              <w:rPr>
                <w:rFonts w:ascii="Times New Roman" w:eastAsiaTheme="minorHAnsi" w:hAnsi="Times New Roman" w:cs="Times New Roman"/>
                <w:color w:val="000000" w:themeColor="text1"/>
                <w:lang w:val="en-US"/>
              </w:rPr>
              <w:t xml:space="preserve">(Ánh </w:t>
            </w:r>
            <w:r w:rsidR="00F377A7" w:rsidRPr="001418E6">
              <w:rPr>
                <w:rFonts w:ascii="Times New Roman" w:eastAsiaTheme="minorHAnsi" w:hAnsi="Times New Roman" w:cs="Times New Roman"/>
                <w:color w:val="000000" w:themeColor="text1"/>
                <w:lang w:val="vi-VN"/>
              </w:rPr>
              <w:t>&amp;</w:t>
            </w:r>
            <w:r w:rsidRPr="001418E6">
              <w:rPr>
                <w:rFonts w:ascii="Times New Roman" w:eastAsiaTheme="minorHAnsi" w:hAnsi="Times New Roman" w:cs="Times New Roman"/>
                <w:color w:val="000000" w:themeColor="text1"/>
                <w:lang w:val="en-US"/>
              </w:rPr>
              <w:t xml:space="preserve"> Nương, 2022)</w:t>
            </w:r>
            <w:r w:rsidRPr="001418E6">
              <w:rPr>
                <w:rFonts w:ascii="Times New Roman" w:hAnsi="Times New Roman" w:cs="Times New Roman"/>
                <w:color w:val="000000" w:themeColor="text1"/>
                <w:lang w:val="en-US"/>
              </w:rPr>
              <w:fldChar w:fldCharType="end"/>
            </w:r>
          </w:p>
        </w:tc>
      </w:tr>
      <w:tr w:rsidR="0046229B" w:rsidRPr="003F6924" w14:paraId="4E035510" w14:textId="77777777" w:rsidTr="00BF2672">
        <w:tc>
          <w:tcPr>
            <w:tcW w:w="1696" w:type="dxa"/>
          </w:tcPr>
          <w:p w14:paraId="02E0E135" w14:textId="77777777" w:rsidR="00EF6E62" w:rsidRPr="001418E6" w:rsidRDefault="00B543E4" w:rsidP="00BF2672">
            <w:pPr>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 xml:space="preserve">Digital transformation pressure – DTP </w:t>
            </w:r>
          </w:p>
        </w:tc>
        <w:tc>
          <w:tcPr>
            <w:tcW w:w="5670" w:type="dxa"/>
          </w:tcPr>
          <w:p w14:paraId="082C5C7D"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needs to leverage digital technology applications to enhance customer interactions.</w:t>
            </w:r>
          </w:p>
          <w:p w14:paraId="28E4DDAA"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needs to optimize its operational and management processes.</w:t>
            </w:r>
          </w:p>
          <w:p w14:paraId="6F187A58"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requires stronger integration and coordination among departments.</w:t>
            </w:r>
          </w:p>
          <w:p w14:paraId="191A6A62"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needs to utilize its resources more efficiently to remain competitive with other banks.</w:t>
            </w:r>
          </w:p>
          <w:p w14:paraId="256FFCC2"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needs to improve transparency and effectiveness in its governance.</w:t>
            </w:r>
          </w:p>
          <w:p w14:paraId="54405912" w14:textId="77777777" w:rsidR="00EF6E62" w:rsidRPr="001418E6" w:rsidRDefault="00B543E4" w:rsidP="00BF2672">
            <w:pPr>
              <w:pStyle w:val="a3"/>
              <w:numPr>
                <w:ilvl w:val="0"/>
                <w:numId w:val="20"/>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needs to innovate in developing products for its customers.</w:t>
            </w:r>
          </w:p>
        </w:tc>
        <w:tc>
          <w:tcPr>
            <w:tcW w:w="1985" w:type="dxa"/>
          </w:tcPr>
          <w:p w14:paraId="43A5E307" w14:textId="77777777" w:rsidR="00EF6E62" w:rsidRPr="001418E6" w:rsidRDefault="00B543E4" w:rsidP="00BF2672">
            <w:pPr>
              <w:spacing w:line="360" w:lineRule="exact"/>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fldChar w:fldCharType="begin"/>
            </w:r>
            <w:r w:rsidRPr="001418E6">
              <w:rPr>
                <w:rFonts w:ascii="Times New Roman" w:hAnsi="Times New Roman" w:cs="Times New Roman"/>
                <w:color w:val="000000" w:themeColor="text1"/>
                <w:lang w:val="en-US"/>
              </w:rPr>
              <w:instrText xml:space="preserve"> ADDIN ZOTERO_ITEM CSL_CITATION {"citationID":"DhJ5vCQK","properties":{"formattedCitation":"(\\uc0\\u193{}nh &amp; N\\uc0\\u432{}\\uc0\\u417{}ng, 2022)","plainCitation":"(Ánh &amp; Nương, 2022)","noteIndex":0},"citationItems":[{"id":4269,"uris":["http://zotero.org/users/9020985/items/4A6W476I"],"itemData":{"id":4269,"type":"article-journal","abstract":"Digital transformation is inevitable for firms, but successful digital transformation depends on many factors. Using exploratory factor analysis techniques, the study identified 6 factors affecting the digital transformation ability of firms in Binh Dinh province, including: staff capacity, technology background, business pressure, leadership, digital business strategy and corporate culture. Applying multiple regression analysis on the survey sample in Binh Dinh province, the research shows that the two factors that have the strongest impact on digital transformation are staff capacity and technology background. In addition, there is no difference in digital transformation ability between firms of different sizes, business fields and ownership types.","container-title":"Journal of Economics and Development","issue":"2","language":"vi","page":"65-74","source":"Zotero","title":"CÁC NHÂN TỐ ẢNH HƯỞNG ĐẾN CHUYỂN ĐỔI SỐ CỦA DOANH NGHIỆP: TRƯỜNG HỢP NGHIÊN CỨU TẠI BÌNH ĐỊNH - FACTORS AFFECTING DIGITAL TRANSFORMATION OF ENTERPRISES: CASE STUDY IN BINH DINH","volume":"304","author":[{"family":"Ánh","given":"Nguyễn Thị Kim"},{"family":"Nương","given":"Nguyễn Thị Xuân"}],"issued":{"date-parts":[["2022"]]}}}],"schema":"https://github.com/citation-style-language/schema/raw/master/csl-citation.json"} </w:instrText>
            </w:r>
            <w:r w:rsidRPr="001418E6">
              <w:rPr>
                <w:rFonts w:ascii="Times New Roman" w:hAnsi="Times New Roman" w:cs="Times New Roman"/>
                <w:color w:val="000000" w:themeColor="text1"/>
                <w:lang w:val="en-US"/>
              </w:rPr>
              <w:fldChar w:fldCharType="separate"/>
            </w:r>
            <w:r w:rsidRPr="001418E6">
              <w:rPr>
                <w:rFonts w:ascii="Times New Roman" w:eastAsiaTheme="minorHAnsi" w:hAnsi="Times New Roman" w:cs="Times New Roman"/>
                <w:color w:val="000000" w:themeColor="text1"/>
                <w:lang w:val="en-US"/>
              </w:rPr>
              <w:t xml:space="preserve">(Ánh </w:t>
            </w:r>
            <w:r w:rsidR="00F377A7" w:rsidRPr="001418E6">
              <w:rPr>
                <w:rFonts w:ascii="Times New Roman" w:eastAsiaTheme="minorHAnsi" w:hAnsi="Times New Roman" w:cs="Times New Roman"/>
                <w:color w:val="000000" w:themeColor="text1"/>
                <w:lang w:val="vi-VN"/>
              </w:rPr>
              <w:t>&amp;</w:t>
            </w:r>
            <w:r w:rsidRPr="001418E6">
              <w:rPr>
                <w:rFonts w:ascii="Times New Roman" w:eastAsiaTheme="minorHAnsi" w:hAnsi="Times New Roman" w:cs="Times New Roman"/>
                <w:color w:val="000000" w:themeColor="text1"/>
                <w:lang w:val="en-US"/>
              </w:rPr>
              <w:t xml:space="preserve"> Nương, 2022)</w:t>
            </w:r>
            <w:r w:rsidRPr="001418E6">
              <w:rPr>
                <w:rFonts w:ascii="Times New Roman" w:hAnsi="Times New Roman" w:cs="Times New Roman"/>
                <w:color w:val="000000" w:themeColor="text1"/>
                <w:lang w:val="en-US"/>
              </w:rPr>
              <w:fldChar w:fldCharType="end"/>
            </w:r>
          </w:p>
        </w:tc>
      </w:tr>
      <w:tr w:rsidR="0046229B" w:rsidRPr="003F6924" w14:paraId="4A8A1614" w14:textId="77777777" w:rsidTr="00BF2672">
        <w:tc>
          <w:tcPr>
            <w:tcW w:w="1696" w:type="dxa"/>
          </w:tcPr>
          <w:p w14:paraId="70E338A0" w14:textId="77777777" w:rsidR="00EF6E62" w:rsidRPr="001418E6" w:rsidRDefault="00B543E4" w:rsidP="00BF2672">
            <w:pPr>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 xml:space="preserve">Bank financial capability – BFC </w:t>
            </w:r>
          </w:p>
        </w:tc>
        <w:tc>
          <w:tcPr>
            <w:tcW w:w="5670" w:type="dxa"/>
          </w:tcPr>
          <w:p w14:paraId="58004EF4"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ensures funding for the infrastructure costs associated with digital transformation.</w:t>
            </w:r>
          </w:p>
          <w:p w14:paraId="1EE1D829"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is financially capable of compensating high-quality personnel to meet the demands of digital transformation.</w:t>
            </w:r>
          </w:p>
          <w:p w14:paraId="592E577D" w14:textId="77777777" w:rsidR="00EF6E62" w:rsidRPr="001418E6" w:rsidRDefault="00B543E4" w:rsidP="00BF2672">
            <w:pPr>
              <w:pStyle w:val="a3"/>
              <w:numPr>
                <w:ilvl w:val="0"/>
                <w:numId w:val="20"/>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guarantees payment for digital transformation service providers.</w:t>
            </w:r>
          </w:p>
        </w:tc>
        <w:tc>
          <w:tcPr>
            <w:tcW w:w="1985" w:type="dxa"/>
          </w:tcPr>
          <w:p w14:paraId="61DF31E5" w14:textId="77777777" w:rsidR="00EF6E62" w:rsidRPr="001418E6" w:rsidRDefault="00B543E4" w:rsidP="00BF2672">
            <w:pPr>
              <w:spacing w:line="360" w:lineRule="exact"/>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fldChar w:fldCharType="begin"/>
            </w:r>
            <w:r w:rsidRPr="001418E6">
              <w:rPr>
                <w:rFonts w:ascii="Times New Roman" w:hAnsi="Times New Roman" w:cs="Times New Roman"/>
                <w:color w:val="000000" w:themeColor="text1"/>
                <w:lang w:val="en-US"/>
              </w:rPr>
              <w:instrText xml:space="preserve"> ADDIN ZOTERO_ITEM CSL_CITATION {"citationID":"FKwMZ8KG","properties":{"formattedCitation":"(T. M. H. Nguyen &amp; Bui, 2021)","plainCitation":"(T. M. H. Nguyen &amp; Bui, 2021)","dontUpdate":true,"noteIndex":0},"citationItems":[{"id":4272,"uris":["http://zotero.org/users/9020985/items/AXQ5WSDY"],"itemData":{"id":4272,"type":"article-journal","container-title":"TNU Journal of Science and Technology","DOI":"https://doi.org/10.34238/tnu-jst.5263","issue":"18","page":"347-355","title":"CÁC YẾU TỐ ẢNH HƯỞNG ĐẾN Ý ĐỊNH THỰC HIỆN CHUYỂN ĐỔI SỐ TRONG CÁC DOANH NGHIỆP NHỎ VÀ VỪA TRÊN ĐỊA BÀN THÀNH PHỐ HÀ NỘI - FACTORS AFFECTING THE INTENTION TO IMPLEMENT DIGITAL TRANSFORMATION IN SMALL AND MEDIUM ENTERPRISES IN HANOI CITY","volume":"266","author":[{"family":"Nguyen","given":"T.M.H"},{"family":"Bui","given":"T.S"}],"issued":{"date-parts":[["2021"]]}}}],"schema":"https://github.com/citation-style-language/schema/raw/master/csl-citation.json"} </w:instrText>
            </w:r>
            <w:r w:rsidRPr="001418E6">
              <w:rPr>
                <w:rFonts w:ascii="Times New Roman" w:hAnsi="Times New Roman" w:cs="Times New Roman"/>
                <w:color w:val="000000" w:themeColor="text1"/>
                <w:lang w:val="en-US"/>
              </w:rPr>
              <w:fldChar w:fldCharType="separate"/>
            </w:r>
            <w:r w:rsidRPr="001418E6">
              <w:rPr>
                <w:rFonts w:ascii="Times New Roman" w:hAnsi="Times New Roman" w:cs="Times New Roman"/>
                <w:noProof/>
                <w:color w:val="000000" w:themeColor="text1"/>
                <w:lang w:val="en-US"/>
              </w:rPr>
              <w:t>(</w:t>
            </w:r>
            <w:r w:rsidR="005536C5" w:rsidRPr="001418E6">
              <w:rPr>
                <w:rFonts w:ascii="Times New Roman" w:hAnsi="Times New Roman" w:cs="Times New Roman"/>
                <w:noProof/>
                <w:color w:val="000000" w:themeColor="text1"/>
                <w:lang w:val="en-US"/>
              </w:rPr>
              <w:t>T.</w:t>
            </w:r>
            <w:r w:rsidR="00EB4C09" w:rsidRPr="001418E6">
              <w:rPr>
                <w:rFonts w:ascii="Times New Roman" w:hAnsi="Times New Roman" w:cs="Times New Roman"/>
                <w:noProof/>
                <w:color w:val="000000" w:themeColor="text1"/>
                <w:lang w:val="en-US"/>
              </w:rPr>
              <w:t xml:space="preserve"> M. H. </w:t>
            </w:r>
            <w:r w:rsidRPr="001418E6">
              <w:rPr>
                <w:rFonts w:ascii="Times New Roman" w:hAnsi="Times New Roman" w:cs="Times New Roman"/>
                <w:noProof/>
                <w:color w:val="000000" w:themeColor="text1"/>
                <w:lang w:val="en-US"/>
              </w:rPr>
              <w:t xml:space="preserve">Nguyen </w:t>
            </w:r>
            <w:r w:rsidR="00F377A7" w:rsidRPr="001418E6">
              <w:rPr>
                <w:rFonts w:ascii="Times New Roman" w:hAnsi="Times New Roman" w:cs="Times New Roman"/>
                <w:noProof/>
                <w:color w:val="000000" w:themeColor="text1"/>
                <w:lang w:val="vi-VN"/>
              </w:rPr>
              <w:t>&amp;</w:t>
            </w:r>
            <w:r w:rsidRPr="001418E6">
              <w:rPr>
                <w:rFonts w:ascii="Times New Roman" w:hAnsi="Times New Roman" w:cs="Times New Roman"/>
                <w:noProof/>
                <w:color w:val="000000" w:themeColor="text1"/>
                <w:lang w:val="en-US"/>
              </w:rPr>
              <w:t xml:space="preserve"> Bui, 2021)</w:t>
            </w:r>
            <w:r w:rsidRPr="001418E6">
              <w:rPr>
                <w:rFonts w:ascii="Times New Roman" w:hAnsi="Times New Roman" w:cs="Times New Roman"/>
                <w:color w:val="000000" w:themeColor="text1"/>
                <w:lang w:val="en-US"/>
              </w:rPr>
              <w:fldChar w:fldCharType="end"/>
            </w:r>
          </w:p>
        </w:tc>
      </w:tr>
      <w:tr w:rsidR="0046229B" w:rsidRPr="003F6924" w14:paraId="6A59DC39" w14:textId="77777777" w:rsidTr="00BF2672">
        <w:tc>
          <w:tcPr>
            <w:tcW w:w="1696" w:type="dxa"/>
          </w:tcPr>
          <w:p w14:paraId="2E7DC8B8" w14:textId="77777777" w:rsidR="00EF6E62" w:rsidRPr="001418E6" w:rsidRDefault="00B543E4" w:rsidP="00BF2672">
            <w:pPr>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Government support for digital transformation - GDS</w:t>
            </w:r>
          </w:p>
        </w:tc>
        <w:tc>
          <w:tcPr>
            <w:tcW w:w="5670" w:type="dxa"/>
          </w:tcPr>
          <w:p w14:paraId="2A8A1150"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government has introduced incentive policies to promote the adoption of digital transformation in the banking sector.</w:t>
            </w:r>
          </w:p>
          <w:p w14:paraId="0DC6F512"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government has reformed institutional frameworks, improved the business environment, and promoted the development of open data.</w:t>
            </w:r>
          </w:p>
          <w:p w14:paraId="24B46033"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government has implemented national digital transformation programs to support the digitalization of financial and credit institutions.</w:t>
            </w:r>
          </w:p>
          <w:p w14:paraId="36DB41E5" w14:textId="77777777" w:rsidR="00EF6E62" w:rsidRPr="001418E6" w:rsidRDefault="00B543E4" w:rsidP="00BF2672">
            <w:pPr>
              <w:pStyle w:val="a3"/>
              <w:numPr>
                <w:ilvl w:val="0"/>
                <w:numId w:val="20"/>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State Bank organizes the annual “Banking Digital Transformation Day” and hosts various conferences to foster collaboration between businesses and banks in digital transformation.</w:t>
            </w:r>
          </w:p>
        </w:tc>
        <w:tc>
          <w:tcPr>
            <w:tcW w:w="1985" w:type="dxa"/>
          </w:tcPr>
          <w:p w14:paraId="147BBEF8" w14:textId="77777777" w:rsidR="00EF6E62" w:rsidRPr="001418E6" w:rsidRDefault="00B543E4" w:rsidP="00BF2672">
            <w:pPr>
              <w:spacing w:line="360" w:lineRule="exact"/>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fldChar w:fldCharType="begin"/>
            </w:r>
            <w:r w:rsidRPr="001418E6">
              <w:rPr>
                <w:rFonts w:ascii="Times New Roman" w:hAnsi="Times New Roman" w:cs="Times New Roman"/>
                <w:color w:val="000000" w:themeColor="text1"/>
                <w:lang w:val="en-US"/>
              </w:rPr>
              <w:instrText xml:space="preserve"> ADDIN ZOTERO_ITEM CSL_CITATION {"citationID":"8ZMZzu03","properties":{"formattedCitation":"(Kr\\uc0\\u252{}ger &amp; Teuteberg, 2016; Zhu et al., 2006)","plainCitation":"(Krüger &amp; Teuteberg, 2016; Zhu et al., 2006)","noteIndex":0},"citationItems":[{"id":4275,"uris":["http://zotero.org/users/9020985/items/YVGE5R9Q"],"itemData":{"id":4275,"type":"article-journal","container-title":"In MKWI","page":"1019-1039","title":"IT Consultants as Change Agents in Digital Transformation Initiatives.","author":[{"family":"Krüger","given":"N"},{"family":"Teuteberg","given":"F"}],"issued":{"date-parts":[["2016"]]}}},{"id":4276,"uris":["http://zotero.org/users/9020985/items/DTR6Y4XQ"],"itemData":{"id":4276,"type":"article-journal","container-title":"Management science","DOI":"https://doi.org/10.1287/mnsc.1050.0487","issue":"10","page":"1557-1576","title":"The process of innovation assimilation by firms in different countries: a technology diffusion perspective on e-business.","volume":"52","author":[{"family":"Zhu","given":"K"},{"family":"Kraemer","given":"K. L"},{"family":"Xu","given":"S"}],"issued":{"date-parts":[["2006"]]}}}],"schema":"https://github.com/citation-style-language/schema/raw/master/csl-citation.json"} </w:instrText>
            </w:r>
            <w:r w:rsidRPr="001418E6">
              <w:rPr>
                <w:rFonts w:ascii="Times New Roman" w:hAnsi="Times New Roman" w:cs="Times New Roman"/>
                <w:color w:val="000000" w:themeColor="text1"/>
                <w:lang w:val="en-US"/>
              </w:rPr>
              <w:fldChar w:fldCharType="separate"/>
            </w:r>
            <w:r w:rsidRPr="001418E6">
              <w:rPr>
                <w:rFonts w:ascii="Times New Roman" w:eastAsiaTheme="minorHAnsi" w:hAnsi="Times New Roman" w:cs="Times New Roman"/>
                <w:color w:val="000000" w:themeColor="text1"/>
                <w:lang w:val="en-US"/>
              </w:rPr>
              <w:t xml:space="preserve">(Krüger </w:t>
            </w:r>
            <w:r w:rsidR="00F377A7" w:rsidRPr="001418E6">
              <w:rPr>
                <w:rFonts w:ascii="Times New Roman" w:eastAsiaTheme="minorHAnsi" w:hAnsi="Times New Roman" w:cs="Times New Roman"/>
                <w:color w:val="000000" w:themeColor="text1"/>
                <w:lang w:val="vi-VN"/>
              </w:rPr>
              <w:t>&amp;</w:t>
            </w:r>
            <w:r w:rsidRPr="001418E6">
              <w:rPr>
                <w:rFonts w:ascii="Times New Roman" w:eastAsiaTheme="minorHAnsi" w:hAnsi="Times New Roman" w:cs="Times New Roman"/>
                <w:color w:val="000000" w:themeColor="text1"/>
                <w:lang w:val="en-US"/>
              </w:rPr>
              <w:t xml:space="preserve"> Teuteberg, 2016; Zhu et al., 2006)</w:t>
            </w:r>
            <w:r w:rsidRPr="001418E6">
              <w:rPr>
                <w:rFonts w:ascii="Times New Roman" w:hAnsi="Times New Roman" w:cs="Times New Roman"/>
                <w:color w:val="000000" w:themeColor="text1"/>
                <w:lang w:val="en-US"/>
              </w:rPr>
              <w:fldChar w:fldCharType="end"/>
            </w:r>
          </w:p>
        </w:tc>
      </w:tr>
      <w:tr w:rsidR="0046229B" w:rsidRPr="003F6924" w14:paraId="20C81B0F" w14:textId="77777777" w:rsidTr="00BF2672">
        <w:tc>
          <w:tcPr>
            <w:tcW w:w="1696" w:type="dxa"/>
          </w:tcPr>
          <w:p w14:paraId="14627663" w14:textId="77777777" w:rsidR="00EF6E62" w:rsidRPr="001418E6" w:rsidRDefault="00B543E4" w:rsidP="00BF2672">
            <w:pPr>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 xml:space="preserve">Digital transformation capability – DTC </w:t>
            </w:r>
          </w:p>
        </w:tc>
        <w:tc>
          <w:tcPr>
            <w:tcW w:w="5670" w:type="dxa"/>
          </w:tcPr>
          <w:p w14:paraId="20647B39"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is fully capable of digitizing all operational and management processes.</w:t>
            </w:r>
          </w:p>
          <w:p w14:paraId="49D80995"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can deliver new value and customer experiences through digital technology platforms.</w:t>
            </w:r>
          </w:p>
          <w:p w14:paraId="7FF464BA"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can optimize resource allocation and utilization using digital technology platforms.</w:t>
            </w:r>
          </w:p>
          <w:p w14:paraId="5DC93E56"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is fully capable of achieving successful digital transformation.</w:t>
            </w:r>
          </w:p>
          <w:p w14:paraId="0C69525F" w14:textId="77777777" w:rsidR="00EF6E62" w:rsidRPr="001418E6" w:rsidRDefault="00B543E4" w:rsidP="00BF2672">
            <w:pPr>
              <w:pStyle w:val="a3"/>
              <w:numPr>
                <w:ilvl w:val="0"/>
                <w:numId w:val="20"/>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The bank can attain higher business performance following digital transformation.</w:t>
            </w:r>
          </w:p>
        </w:tc>
        <w:tc>
          <w:tcPr>
            <w:tcW w:w="1985" w:type="dxa"/>
          </w:tcPr>
          <w:p w14:paraId="3F89B3EB" w14:textId="77777777" w:rsidR="00EF6E62" w:rsidRPr="001418E6" w:rsidRDefault="00B543E4" w:rsidP="00BF2672">
            <w:pPr>
              <w:spacing w:line="360" w:lineRule="exact"/>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fldChar w:fldCharType="begin"/>
            </w:r>
            <w:r w:rsidRPr="001418E6">
              <w:rPr>
                <w:rFonts w:ascii="Times New Roman" w:hAnsi="Times New Roman" w:cs="Times New Roman"/>
                <w:color w:val="000000" w:themeColor="text1"/>
                <w:lang w:val="en-US"/>
              </w:rPr>
              <w:instrText xml:space="preserve"> ADDIN ZOTERO_ITEM CSL_CITATION {"citationID":"FbohDPXe","properties":{"formattedCitation":"(\\uc0\\u193{}nh &amp; N\\uc0\\u432{}\\uc0\\u417{}ng, 2022)","plainCitation":"(Ánh &amp; Nương, 2022)","noteIndex":0},"citationItems":[{"id":4269,"uris":["http://zotero.org/users/9020985/items/4A6W476I"],"itemData":{"id":4269,"type":"article-journal","abstract":"Digital transformation is inevitable for firms, but successful digital transformation depends on many factors. Using exploratory factor analysis techniques, the study identified 6 factors affecting the digital transformation ability of firms in Binh Dinh province, including: staff capacity, technology background, business pressure, leadership, digital business strategy and corporate culture. Applying multiple regression analysis on the survey sample in Binh Dinh province, the research shows that the two factors that have the strongest impact on digital transformation are staff capacity and technology background. In addition, there is no difference in digital transformation ability between firms of different sizes, business fields and ownership types.","container-title":"Journal of Economics and Development","issue":"2","language":"vi","page":"65-74","source":"Zotero","title":"CÁC NHÂN TỐ ẢNH HƯỞNG ĐẾN CHUYỂN ĐỔI SỐ CỦA DOANH NGHIỆP: TRƯỜNG HỢP NGHIÊN CỨU TẠI BÌNH ĐỊNH - FACTORS AFFECTING DIGITAL TRANSFORMATION OF ENTERPRISES: CASE STUDY IN BINH DINH","volume":"304","author":[{"family":"Ánh","given":"Nguyễn Thị Kim"},{"family":"Nương","given":"Nguyễn Thị Xuân"}],"issued":{"date-parts":[["2022"]]}}}],"schema":"https://github.com/citation-style-language/schema/raw/master/csl-citation.json"} </w:instrText>
            </w:r>
            <w:r w:rsidRPr="001418E6">
              <w:rPr>
                <w:rFonts w:ascii="Times New Roman" w:hAnsi="Times New Roman" w:cs="Times New Roman"/>
                <w:color w:val="000000" w:themeColor="text1"/>
                <w:lang w:val="en-US"/>
              </w:rPr>
              <w:fldChar w:fldCharType="separate"/>
            </w:r>
            <w:r w:rsidRPr="001418E6">
              <w:rPr>
                <w:rFonts w:ascii="Times New Roman" w:eastAsiaTheme="minorHAnsi" w:hAnsi="Times New Roman" w:cs="Times New Roman"/>
                <w:color w:val="000000" w:themeColor="text1"/>
                <w:lang w:val="en-US"/>
              </w:rPr>
              <w:t xml:space="preserve">(Ánh </w:t>
            </w:r>
            <w:r w:rsidR="00F377A7" w:rsidRPr="001418E6">
              <w:rPr>
                <w:rFonts w:ascii="Times New Roman" w:eastAsiaTheme="minorHAnsi" w:hAnsi="Times New Roman" w:cs="Times New Roman"/>
                <w:color w:val="000000" w:themeColor="text1"/>
                <w:lang w:val="vi-VN"/>
              </w:rPr>
              <w:t>&amp;</w:t>
            </w:r>
            <w:r w:rsidRPr="001418E6">
              <w:rPr>
                <w:rFonts w:ascii="Times New Roman" w:eastAsiaTheme="minorHAnsi" w:hAnsi="Times New Roman" w:cs="Times New Roman"/>
                <w:color w:val="000000" w:themeColor="text1"/>
                <w:lang w:val="en-US"/>
              </w:rPr>
              <w:t xml:space="preserve"> Nương, 2022)</w:t>
            </w:r>
            <w:r w:rsidRPr="001418E6">
              <w:rPr>
                <w:rFonts w:ascii="Times New Roman" w:hAnsi="Times New Roman" w:cs="Times New Roman"/>
                <w:color w:val="000000" w:themeColor="text1"/>
                <w:lang w:val="en-US"/>
              </w:rPr>
              <w:fldChar w:fldCharType="end"/>
            </w:r>
          </w:p>
        </w:tc>
      </w:tr>
      <w:tr w:rsidR="0046229B" w:rsidRPr="003F6924" w14:paraId="09A4911D" w14:textId="77777777" w:rsidTr="00BF2672">
        <w:tc>
          <w:tcPr>
            <w:tcW w:w="1696" w:type="dxa"/>
          </w:tcPr>
          <w:p w14:paraId="37C2DC60" w14:textId="77777777" w:rsidR="00EF6E62" w:rsidRPr="001418E6" w:rsidRDefault="00B543E4" w:rsidP="00BF2672">
            <w:pPr>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 xml:space="preserve">Level of digital transformation – LDT </w:t>
            </w:r>
          </w:p>
        </w:tc>
        <w:tc>
          <w:tcPr>
            <w:tcW w:w="5670" w:type="dxa"/>
          </w:tcPr>
          <w:p w14:paraId="498D251E"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Digital customer experience (innovation and transformation of services)</w:t>
            </w:r>
          </w:p>
          <w:p w14:paraId="46D5CC5C"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Digital business strategy (marketing, portfolio management, ecosystem development)</w:t>
            </w:r>
          </w:p>
          <w:p w14:paraId="130DC4CF"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Information management system, security, and data protection</w:t>
            </w:r>
          </w:p>
          <w:p w14:paraId="1243F572"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Operations</w:t>
            </w:r>
          </w:p>
          <w:p w14:paraId="542BCB63" w14:textId="77777777" w:rsidR="00EF6E62" w:rsidRPr="001418E6" w:rsidRDefault="00B543E4" w:rsidP="00BF2672">
            <w:pPr>
              <w:pStyle w:val="a3"/>
              <w:numPr>
                <w:ilvl w:val="0"/>
                <w:numId w:val="21"/>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Data (customer information and internal bank data)</w:t>
            </w:r>
          </w:p>
          <w:p w14:paraId="2F267EEA" w14:textId="77777777" w:rsidR="00EF6E62" w:rsidRPr="001418E6" w:rsidRDefault="00B543E4" w:rsidP="00BF2672">
            <w:pPr>
              <w:pStyle w:val="a3"/>
              <w:numPr>
                <w:ilvl w:val="0"/>
                <w:numId w:val="20"/>
              </w:numPr>
              <w:jc w:val="both"/>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t>Corporate culture</w:t>
            </w:r>
          </w:p>
        </w:tc>
        <w:tc>
          <w:tcPr>
            <w:tcW w:w="1985" w:type="dxa"/>
          </w:tcPr>
          <w:p w14:paraId="72DFAAB3" w14:textId="77777777" w:rsidR="00EF6E62" w:rsidRPr="001418E6" w:rsidRDefault="00B543E4" w:rsidP="00BF2672">
            <w:pPr>
              <w:spacing w:line="360" w:lineRule="exact"/>
              <w:rPr>
                <w:rFonts w:ascii="Times New Roman" w:hAnsi="Times New Roman" w:cs="Times New Roman"/>
                <w:color w:val="000000" w:themeColor="text1"/>
                <w:lang w:val="en-US"/>
              </w:rPr>
            </w:pPr>
            <w:r w:rsidRPr="001418E6">
              <w:rPr>
                <w:rFonts w:ascii="Times New Roman" w:hAnsi="Times New Roman" w:cs="Times New Roman"/>
                <w:color w:val="000000" w:themeColor="text1"/>
                <w:lang w:val="en-US"/>
              </w:rPr>
              <w:fldChar w:fldCharType="begin"/>
            </w:r>
            <w:r w:rsidRPr="001418E6">
              <w:rPr>
                <w:rFonts w:ascii="Times New Roman" w:hAnsi="Times New Roman" w:cs="Times New Roman"/>
                <w:color w:val="000000" w:themeColor="text1"/>
                <w:lang w:val="en-US"/>
              </w:rPr>
              <w:instrText xml:space="preserve"> ADDIN ZOTERO_ITEM CSL_CITATION {"citationID":"PZo3pSK0","properties":{"formattedCitation":"(Huong &amp; Hoa, 2024)","plainCitation":"(Huong &amp; Hoa, 2024)","noteIndex":0},"citationItems":[{"id":4278,"uris":["http://zotero.org/users/9020985/items/6GBVMQB3"],"itemData":{"id":4278,"type":"article-journal","abstract":"In the context of the 4.0 industrial revolution taking place globally, the digital transformation process is considered a revolution that changes operating and business models. In Vietnam, logistics is one of the areas that should be prioritized in the Prime Minister‟s National Transformation. This study analyzes the current status of digital transformation and barriers to digital transformation at express businesses in Thai Nguyen province today. A quantitative research approach was applied, with an online survey consisting of 500 questionnaires distributed to expess enterprises in the area. The results show that the most significant barrier to digital transformation is not technology but managers' awareness and the cost of implementing digital transformation. The study also offers practical solutions to promote digital transformation efforts in Thai Nguyen province's logistics industry, thereby aligning with the government's overall digital transformation goals.","container-title":"International Journal of Business Marketing and Management (IJBMM)","issue":"2","language":"en","page":"82-88","source":"Zotero","title":"Digital Transformation In Expess Enterprises: A Case Study In Thai Nguyen Province, Vietnam","volume":"9","author":[{"family":"Huong","given":"Duong Thi Thuy"},{"family":"Hoa","given":"Ha Thi Thanh"}],"issued":{"date-parts":[["2024"]]}}}],"schema":"https://github.com/citation-style-language/schema/raw/master/csl-citation.json"} </w:instrText>
            </w:r>
            <w:r w:rsidRPr="001418E6">
              <w:rPr>
                <w:rFonts w:ascii="Times New Roman" w:hAnsi="Times New Roman" w:cs="Times New Roman"/>
                <w:color w:val="000000" w:themeColor="text1"/>
                <w:lang w:val="en-US"/>
              </w:rPr>
              <w:fldChar w:fldCharType="separate"/>
            </w:r>
            <w:r w:rsidRPr="001418E6">
              <w:rPr>
                <w:rFonts w:ascii="Times New Roman" w:hAnsi="Times New Roman" w:cs="Times New Roman"/>
                <w:noProof/>
                <w:color w:val="000000" w:themeColor="text1"/>
                <w:lang w:val="en-US"/>
              </w:rPr>
              <w:t xml:space="preserve">(Huong </w:t>
            </w:r>
            <w:r w:rsidR="00F377A7" w:rsidRPr="001418E6">
              <w:rPr>
                <w:rFonts w:ascii="Times New Roman" w:hAnsi="Times New Roman" w:cs="Times New Roman"/>
                <w:noProof/>
                <w:color w:val="000000" w:themeColor="text1"/>
                <w:lang w:val="vi-VN"/>
              </w:rPr>
              <w:t>&amp;</w:t>
            </w:r>
            <w:r w:rsidRPr="001418E6">
              <w:rPr>
                <w:rFonts w:ascii="Times New Roman" w:hAnsi="Times New Roman" w:cs="Times New Roman"/>
                <w:noProof/>
                <w:color w:val="000000" w:themeColor="text1"/>
                <w:lang w:val="en-US"/>
              </w:rPr>
              <w:t xml:space="preserve"> Hoa, 2024)</w:t>
            </w:r>
            <w:r w:rsidRPr="001418E6">
              <w:rPr>
                <w:rFonts w:ascii="Times New Roman" w:hAnsi="Times New Roman" w:cs="Times New Roman"/>
                <w:color w:val="000000" w:themeColor="text1"/>
                <w:lang w:val="en-US"/>
              </w:rPr>
              <w:fldChar w:fldCharType="end"/>
            </w:r>
          </w:p>
        </w:tc>
      </w:tr>
    </w:tbl>
    <w:p w14:paraId="1DC59A47" w14:textId="77777777" w:rsidR="00673588" w:rsidRPr="003F6924" w:rsidRDefault="00673588" w:rsidP="005723B1">
      <w:pPr>
        <w:snapToGrid w:val="0"/>
        <w:spacing w:after="0" w:line="300" w:lineRule="auto"/>
        <w:jc w:val="both"/>
        <w:rPr>
          <w:rFonts w:ascii="Times New Roman" w:hAnsi="Times New Roman" w:cs="Times New Roman"/>
          <w:b/>
          <w:bCs/>
          <w:color w:val="000000" w:themeColor="text1"/>
          <w:sz w:val="26"/>
          <w:szCs w:val="26"/>
          <w:lang w:val="en-US"/>
        </w:rPr>
      </w:pPr>
    </w:p>
    <w:p w14:paraId="095FB139" w14:textId="5725DE1F" w:rsidR="00EF6E62" w:rsidRPr="003F6924" w:rsidRDefault="00B543E4" w:rsidP="005723B1">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Data </w:t>
      </w:r>
      <w:r w:rsidR="00673588" w:rsidRPr="003F6924">
        <w:rPr>
          <w:rFonts w:ascii="Times New Roman" w:hAnsi="Times New Roman" w:cs="Times New Roman"/>
          <w:b/>
          <w:bCs/>
          <w:color w:val="000000" w:themeColor="text1"/>
          <w:sz w:val="26"/>
          <w:szCs w:val="26"/>
          <w:lang w:val="en-US"/>
        </w:rPr>
        <w:t>Analysis Methods</w:t>
      </w:r>
    </w:p>
    <w:p w14:paraId="371E8736" w14:textId="77777777"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The data analysis was </w:t>
      </w:r>
      <w:r w:rsidR="0052243A" w:rsidRPr="003F6924">
        <w:rPr>
          <w:rFonts w:ascii="Times New Roman" w:hAnsi="Times New Roman" w:cs="Times New Roman"/>
          <w:color w:val="000000" w:themeColor="text1"/>
          <w:sz w:val="26"/>
          <w:szCs w:val="26"/>
          <w:lang w:val="en-US"/>
        </w:rPr>
        <w:t>conducted</w:t>
      </w:r>
      <w:r w:rsidRPr="003F6924">
        <w:rPr>
          <w:rFonts w:ascii="Times New Roman" w:hAnsi="Times New Roman" w:cs="Times New Roman"/>
          <w:color w:val="000000" w:themeColor="text1"/>
          <w:sz w:val="26"/>
          <w:szCs w:val="26"/>
          <w:lang w:val="en-US"/>
        </w:rPr>
        <w:t xml:space="preserve"> </w:t>
      </w:r>
      <w:r w:rsidR="0052243A" w:rsidRPr="003F6924">
        <w:rPr>
          <w:rFonts w:ascii="Times New Roman" w:hAnsi="Times New Roman" w:cs="Times New Roman"/>
          <w:color w:val="000000" w:themeColor="text1"/>
          <w:sz w:val="26"/>
          <w:szCs w:val="26"/>
          <w:lang w:val="en-US"/>
        </w:rPr>
        <w:t>using</w:t>
      </w:r>
      <w:r w:rsidRPr="003F6924">
        <w:rPr>
          <w:rFonts w:ascii="Times New Roman" w:hAnsi="Times New Roman" w:cs="Times New Roman"/>
          <w:color w:val="000000" w:themeColor="text1"/>
          <w:sz w:val="26"/>
          <w:szCs w:val="26"/>
          <w:lang w:val="en-US"/>
        </w:rPr>
        <w:t xml:space="preserve"> partial least squares structural equation modeling (PLS-SEM). The author employs Partial Least Squares (PLS) for model estimation due to (i) its predictive focus, which aligns with the model's objectives; (ii) the absence of </w:t>
      </w:r>
      <w:r w:rsidR="0052243A" w:rsidRPr="003F6924">
        <w:rPr>
          <w:rFonts w:ascii="Times New Roman" w:hAnsi="Times New Roman" w:cs="Times New Roman"/>
          <w:color w:val="000000" w:themeColor="text1"/>
          <w:sz w:val="26"/>
          <w:szCs w:val="26"/>
          <w:lang w:val="en-US"/>
        </w:rPr>
        <w:t>standard</w:t>
      </w:r>
      <w:r w:rsidRPr="003F6924">
        <w:rPr>
          <w:rFonts w:ascii="Times New Roman" w:hAnsi="Times New Roman" w:cs="Times New Roman"/>
          <w:color w:val="000000" w:themeColor="text1"/>
          <w:sz w:val="26"/>
          <w:szCs w:val="26"/>
          <w:lang w:val="en-US"/>
        </w:rPr>
        <w:t xml:space="preserve"> distribution requirements for the items; and (iii) the complexity of the research model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{"citationID":"yD4dMOZX","properties":{"formattedCitation":"(Henseler et al., 2009)","plainCitation":"(Henseler et al., 2009)","noteIndex":0},"citationItems":[{"id":1041,"uris":["http://zotero.org/users/9020985/items/BVZYGARJ"],"itemData":{"id":1041,"type":"chapter","abstract":"In order to determine the status quo of PLS path modeling in international marketing research, we conducted an exhaustive literature review. An evaluation of double-blind reviewed journals through important academic publishing databases (e.g., ABI/Inform, Elsevier ScienceDirect, Emerald Insight, Google Scholar, PsycINFO, Swetswise) revealed that more than 30 academic articles in the domain of international marketing (in a broad sense) used PLS path modeling as means of statistical analysis. We assessed what the main motivation for the use of PLS was in respect of each article. Moreover, we checked for applications of PLS in combination with one or more additional methods, and whether the main reason for conducting any additional method(s) was mentioned.","collection-title":"Advances in International Marketing","container-title":"New Challenges to International Marketing","ISBN":"978-1-84855-469-6","note":"DOI: 10.1108/S1474-7979(2009)0000020014","page":"277-319","publisher":"Emerald Group Publishing Limited","source":"Emerald Insight","title":"The use of partial least squares path modeling in international marketing","URL":"https://doi.org/10.1108/S1474-7979(2009)0000020014","volume":"20","author":[{"family":"Henseler","given":"Jörg"},{"family":"Ringle","given":"Christian M."},{"family":"Sinkovics","given":"Rudolf R."}],"editor":[{"family":"R. Sinkovics","given":"Rudolf"},{"family":"N. Ghauri","given":"Pervez"}],"accessed":{"date-parts":[["2022",4,3]]},"issued":{"date-parts":[["2009",1,1]]}}}],"schema":"https://github.com/citation-style-language/schema/raw/master/csl-citation.json"}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(Henseler et al., 2009)</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w:t>
      </w:r>
      <w:r w:rsidRPr="003F6924">
        <w:rPr>
          <w:rFonts w:ascii="Times New Roman" w:hAnsi="Times New Roman" w:cs="Times New Roman"/>
          <w:color w:val="000000" w:themeColor="text1"/>
          <w:sz w:val="26"/>
          <w:szCs w:val="26"/>
          <w:u w:val="single"/>
          <w:lang w:val="en-US"/>
        </w:rPr>
        <w:t>Ad</w:t>
      </w:r>
      <w:r w:rsidRPr="003F6924">
        <w:rPr>
          <w:rFonts w:ascii="Times New Roman" w:hAnsi="Times New Roman" w:cs="Times New Roman"/>
          <w:color w:val="000000" w:themeColor="text1"/>
          <w:sz w:val="26"/>
          <w:szCs w:val="26"/>
          <w:lang w:val="en-US"/>
        </w:rPr>
        <w:t xml:space="preserve">vanced </w:t>
      </w:r>
      <w:r w:rsidRPr="003F6924">
        <w:rPr>
          <w:rFonts w:ascii="Times New Roman" w:hAnsi="Times New Roman" w:cs="Times New Roman"/>
          <w:color w:val="000000" w:themeColor="text1"/>
          <w:sz w:val="26"/>
          <w:szCs w:val="26"/>
          <w:u w:val="single"/>
          <w:lang w:val="en-US"/>
        </w:rPr>
        <w:t>An</w:t>
      </w:r>
      <w:r w:rsidRPr="003F6924">
        <w:rPr>
          <w:rFonts w:ascii="Times New Roman" w:hAnsi="Times New Roman" w:cs="Times New Roman"/>
          <w:color w:val="000000" w:themeColor="text1"/>
          <w:sz w:val="26"/>
          <w:szCs w:val="26"/>
          <w:lang w:val="en-US"/>
        </w:rPr>
        <w:t xml:space="preserve">alysis of </w:t>
      </w:r>
      <w:r w:rsidRPr="003F6924">
        <w:rPr>
          <w:rFonts w:ascii="Times New Roman" w:hAnsi="Times New Roman" w:cs="Times New Roman"/>
          <w:color w:val="000000" w:themeColor="text1"/>
          <w:sz w:val="26"/>
          <w:szCs w:val="26"/>
          <w:u w:val="single"/>
          <w:lang w:val="en-US"/>
        </w:rPr>
        <w:t>Co</w:t>
      </w:r>
      <w:r w:rsidRPr="003F6924">
        <w:rPr>
          <w:rFonts w:ascii="Times New Roman" w:hAnsi="Times New Roman" w:cs="Times New Roman"/>
          <w:color w:val="000000" w:themeColor="text1"/>
          <w:sz w:val="26"/>
          <w:szCs w:val="26"/>
          <w:lang w:val="en-US"/>
        </w:rPr>
        <w:t xml:space="preserve">mposites” </w:t>
      </w:r>
      <w:r w:rsidR="0052243A" w:rsidRPr="003F6924">
        <w:rPr>
          <w:rFonts w:ascii="Times New Roman" w:hAnsi="Times New Roman" w:cs="Times New Roman"/>
          <w:color w:val="000000" w:themeColor="text1"/>
          <w:sz w:val="26"/>
          <w:szCs w:val="26"/>
          <w:lang w:val="en-US"/>
        </w:rPr>
        <w:t>(</w:t>
      </w:r>
      <w:r w:rsidRPr="003F6924">
        <w:rPr>
          <w:rFonts w:ascii="Times New Roman" w:hAnsi="Times New Roman" w:cs="Times New Roman"/>
          <w:color w:val="000000" w:themeColor="text1"/>
          <w:sz w:val="26"/>
          <w:szCs w:val="26"/>
          <w:lang w:val="en-US"/>
        </w:rPr>
        <w:t>ADANCO</w:t>
      </w:r>
      <w:r w:rsidR="0052243A" w:rsidRPr="003F6924">
        <w:rPr>
          <w:rFonts w:ascii="Times New Roman" w:hAnsi="Times New Roman" w:cs="Times New Roman"/>
          <w:color w:val="000000" w:themeColor="text1"/>
          <w:sz w:val="26"/>
          <w:szCs w:val="26"/>
          <w:lang w:val="en-US"/>
        </w:rPr>
        <w:t>)</w:t>
      </w:r>
      <w:r w:rsidRPr="003F6924">
        <w:rPr>
          <w:rFonts w:ascii="Times New Roman" w:hAnsi="Times New Roman" w:cs="Times New Roman"/>
          <w:color w:val="000000" w:themeColor="text1"/>
          <w:sz w:val="26"/>
          <w:szCs w:val="26"/>
          <w:lang w:val="en-US"/>
        </w:rPr>
        <w:t xml:space="preserve"> software was used to examine the hypothesized model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{"citationID":"z9gQ6mcY","properties":{"formattedCitation":"(Henseler, Dijkstra, et al., 2015)","plainCitation":"(Henseler, Dijkstra, et al., 2015)","noteIndex":0},"citationItems":[{"id":2646,"uris":["http://zotero.org/users/9020985/items/SQDQRQJT"],"itemData":{"id":2646,"type":"book","event-place":"Kleve, Germany","publisher-place":"Kleve, Germany","title":"ADANCO 2.0: Composite Modeling.","author":[{"family":"Henseler","given":""},{"family":"Dijkstra","given":"Jo ̈rg"},{"family":"Theo","given":"K"}],"issued":{"date-parts":[["2015"]]}}}],"schema":"https://github.com/citation-style-language/schema/raw/master/csl-citation.json"}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(Henseler</w:t>
      </w:r>
      <w:r w:rsidR="007D4401" w:rsidRPr="003F6924">
        <w:rPr>
          <w:rFonts w:ascii="Times New Roman" w:hAnsi="Times New Roman" w:cs="Times New Roman"/>
          <w:noProof/>
          <w:color w:val="000000" w:themeColor="text1"/>
          <w:sz w:val="26"/>
          <w:szCs w:val="26"/>
          <w:lang w:val="en-US"/>
        </w:rPr>
        <w:t xml:space="preserve"> </w:t>
      </w:r>
      <w:r w:rsidRPr="003F6924">
        <w:rPr>
          <w:rFonts w:ascii="Times New Roman" w:hAnsi="Times New Roman" w:cs="Times New Roman"/>
          <w:noProof/>
          <w:color w:val="000000" w:themeColor="text1"/>
          <w:sz w:val="26"/>
          <w:szCs w:val="26"/>
          <w:lang w:val="en-US"/>
        </w:rPr>
        <w:t>et al., 2015)</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The assessment of the hypotheses established in SEM follows a twofold pre-analysis phase for both the measurement models and, thereafter, the structural model. </w:t>
      </w:r>
    </w:p>
    <w:p w14:paraId="2936029A" w14:textId="77777777" w:rsidR="00EF6E62" w:rsidRPr="003F6924" w:rsidRDefault="00B543E4" w:rsidP="00794E60">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Additionally, the authors also conducted a fuzzy set qualitative comparative analysis (fsQCA) to determine the configurations that result in a high degree of digital transformation capability (DTC) in the banking sector, and the role of factors, whether core or supporting, within three categories</w:t>
      </w:r>
      <w:r w:rsidR="0052243A" w:rsidRPr="003F6924">
        <w:rPr>
          <w:rFonts w:ascii="Times New Roman" w:hAnsi="Times New Roman" w:cs="Times New Roman"/>
          <w:color w:val="000000" w:themeColor="text1"/>
          <w:sz w:val="26"/>
          <w:szCs w:val="26"/>
          <w:lang w:val="en-US"/>
        </w:rPr>
        <w:t>:</w:t>
      </w:r>
      <w:r w:rsidRPr="003F6924">
        <w:rPr>
          <w:rFonts w:ascii="Times New Roman" w:hAnsi="Times New Roman" w:cs="Times New Roman"/>
          <w:color w:val="000000" w:themeColor="text1"/>
          <w:sz w:val="26"/>
          <w:szCs w:val="26"/>
          <w:lang w:val="en-US"/>
        </w:rPr>
        <w:t xml:space="preserve"> technological factors, organizational factors, and environmental factors. While PLS-SEM identifies the net and linear effects of technological, organizational, and environmental factors, fsQCA complements these results by revealing how different configurations of these factors jointly produce the outcome. This dual-method approach is conceptually justified because SEM assumes symmetric and additive relationships among variables</w:t>
      </w:r>
      <w:r w:rsidR="0052243A" w:rsidRPr="003F6924">
        <w:rPr>
          <w:rFonts w:ascii="Times New Roman" w:hAnsi="Times New Roman" w:cs="Times New Roman"/>
          <w:color w:val="000000" w:themeColor="text1"/>
          <w:sz w:val="26"/>
          <w:szCs w:val="26"/>
          <w:lang w:val="en-US"/>
        </w:rPr>
        <w:t>. In contrast,</w:t>
      </w:r>
      <w:r w:rsidRPr="003F6924">
        <w:rPr>
          <w:rFonts w:ascii="Times New Roman" w:hAnsi="Times New Roman" w:cs="Times New Roman"/>
          <w:color w:val="000000" w:themeColor="text1"/>
          <w:sz w:val="26"/>
          <w:szCs w:val="26"/>
          <w:lang w:val="en-US"/>
        </w:rPr>
        <w:t xml:space="preserve"> fsQCA captures causal asymmetry and equifinality—showing that multiple, distinct pathways can lead to the same level of DTC (Fainshmidt et al., 2020). Therefore, the combination of PLS-SEM and fsQCA provides a more comprehensive understanding of the phenomenon by integrating the strengths of variance-based (SEM) and set-theoretic (fsQCA) perspectives. Accordingly, the authors posit that digital transformation capability (DTC) in the banking sector is a function of 10 factors (Equation 2).</w:t>
      </w:r>
    </w:p>
    <w:p w14:paraId="180E9B93" w14:textId="77777777" w:rsidR="006E65F6" w:rsidRPr="003F6924" w:rsidRDefault="006E65F6" w:rsidP="005723B1">
      <w:pPr>
        <w:pStyle w:val="af8"/>
        <w:snapToGrid w:val="0"/>
        <w:spacing w:after="0" w:line="300" w:lineRule="auto"/>
        <w:jc w:val="both"/>
        <w:rPr>
          <w:b/>
          <w:bCs/>
          <w:color w:val="000000" w:themeColor="text1"/>
          <w:sz w:val="26"/>
          <w:szCs w:val="26"/>
          <w:lang w:val="en-US"/>
        </w:rPr>
      </w:pPr>
    </w:p>
    <w:p w14:paraId="037310C7" w14:textId="5283BEFD" w:rsidR="00EF6E62" w:rsidRPr="003F6924" w:rsidRDefault="00B543E4" w:rsidP="005723B1">
      <w:pPr>
        <w:pStyle w:val="af8"/>
        <w:snapToGrid w:val="0"/>
        <w:spacing w:after="0" w:line="300" w:lineRule="auto"/>
        <w:jc w:val="both"/>
        <w:rPr>
          <w:b/>
          <w:bCs/>
          <w:i w:val="0"/>
          <w:iCs w:val="0"/>
          <w:color w:val="000000" w:themeColor="text1"/>
          <w:sz w:val="26"/>
          <w:szCs w:val="26"/>
          <w:lang w:val="en-US"/>
        </w:rPr>
      </w:pPr>
      <w:r w:rsidRPr="003F6924">
        <w:rPr>
          <w:b/>
          <w:bCs/>
          <w:color w:val="000000" w:themeColor="text1"/>
          <w:sz w:val="26"/>
          <w:szCs w:val="26"/>
          <w:lang w:val="en-US"/>
        </w:rPr>
        <w:t xml:space="preserve">Equation </w:t>
      </w:r>
      <w:r w:rsidRPr="003F6924">
        <w:rPr>
          <w:b/>
          <w:bCs/>
          <w:color w:val="000000" w:themeColor="text1"/>
          <w:sz w:val="26"/>
          <w:szCs w:val="26"/>
          <w:lang w:val="en-US"/>
        </w:rPr>
        <w:fldChar w:fldCharType="begin"/>
      </w:r>
      <w:r w:rsidRPr="003F6924">
        <w:rPr>
          <w:b/>
          <w:bCs/>
          <w:color w:val="000000" w:themeColor="text1"/>
          <w:sz w:val="26"/>
          <w:szCs w:val="26"/>
          <w:lang w:val="en-US"/>
        </w:rPr>
        <w:instrText xml:space="preserve"> SEQ Equation \* ARABIC </w:instrText>
      </w:r>
      <w:r w:rsidRPr="003F6924">
        <w:rPr>
          <w:b/>
          <w:bCs/>
          <w:color w:val="000000" w:themeColor="text1"/>
          <w:sz w:val="26"/>
          <w:szCs w:val="26"/>
          <w:lang w:val="en-US"/>
        </w:rPr>
        <w:fldChar w:fldCharType="separate"/>
      </w:r>
      <w:r w:rsidR="0058062D">
        <w:rPr>
          <w:b/>
          <w:bCs/>
          <w:noProof/>
          <w:color w:val="000000" w:themeColor="text1"/>
          <w:sz w:val="26"/>
          <w:szCs w:val="26"/>
          <w:lang w:val="en-US"/>
        </w:rPr>
        <w:t>2</w:t>
      </w:r>
      <w:r w:rsidRPr="003F6924">
        <w:rPr>
          <w:b/>
          <w:bCs/>
          <w:noProof/>
          <w:color w:val="000000" w:themeColor="text1"/>
          <w:sz w:val="26"/>
          <w:szCs w:val="26"/>
          <w:lang w:val="en-US"/>
        </w:rPr>
        <w:fldChar w:fldCharType="end"/>
      </w:r>
      <w:r w:rsidRPr="003F6924">
        <w:rPr>
          <w:b/>
          <w:bCs/>
          <w:i w:val="0"/>
          <w:iCs w:val="0"/>
          <w:color w:val="000000" w:themeColor="text1"/>
          <w:sz w:val="26"/>
          <w:szCs w:val="26"/>
          <w:lang w:val="en-US"/>
        </w:rPr>
        <w:t xml:space="preserve">: </w:t>
      </w:r>
      <w:r w:rsidRPr="003F6924">
        <w:rPr>
          <w:color w:val="000000" w:themeColor="text1"/>
          <w:sz w:val="26"/>
          <w:szCs w:val="26"/>
          <w:lang w:val="en-US"/>
        </w:rPr>
        <w:t>Fuzzy-set model</w:t>
      </w:r>
    </w:p>
    <w:p w14:paraId="70574282" w14:textId="77777777" w:rsidR="00EF6E62" w:rsidRPr="003F6924" w:rsidRDefault="00B543E4" w:rsidP="005723B1">
      <w:pPr>
        <w:snapToGrid w:val="0"/>
        <w:spacing w:after="0" w:line="300" w:lineRule="auto"/>
        <w:jc w:val="both"/>
        <w:rPr>
          <w:rFonts w:ascii="Times New Roman" w:hAnsi="Times New Roman" w:cs="Times New Roman"/>
          <w:color w:val="000000" w:themeColor="text1"/>
          <w:sz w:val="26"/>
          <w:szCs w:val="26"/>
          <w:lang w:val="en-US"/>
        </w:rPr>
      </w:pPr>
      <m:oMathPara>
        <m:oMath>
          <m:r>
            <w:rPr>
              <w:rFonts w:ascii="Cambria Math" w:hAnsi="Cambria Math" w:cs="Times New Roman"/>
              <w:color w:val="000000" w:themeColor="text1"/>
              <w:sz w:val="26"/>
              <w:szCs w:val="26"/>
              <w:lang w:val="en-US"/>
            </w:rPr>
            <m:t>DTC=∫</m:t>
          </m:r>
          <m:d>
            <m:dPr>
              <m:ctrlPr>
                <w:rPr>
                  <w:rFonts w:ascii="Cambria Math" w:hAnsi="Cambria Math" w:cs="Times New Roman"/>
                  <w:i/>
                  <w:color w:val="000000" w:themeColor="text1"/>
                  <w:sz w:val="26"/>
                  <w:szCs w:val="26"/>
                  <w:lang w:val="en-US"/>
                </w:rPr>
              </m:ctrlPr>
            </m:dPr>
            <m:e>
              <m:r>
                <w:rPr>
                  <w:rFonts w:ascii="Cambria Math" w:hAnsi="Cambria Math" w:cs="Times New Roman"/>
                  <w:color w:val="000000" w:themeColor="text1"/>
                  <w:sz w:val="26"/>
                  <w:szCs w:val="26"/>
                  <w:lang w:val="en-US"/>
                </w:rPr>
                <m:t>BTP, DTD, LC, DTS, ECC, BRM, BCC, DPT, BFC, GDS</m:t>
              </m:r>
            </m:e>
          </m:d>
        </m:oMath>
      </m:oMathPara>
    </w:p>
    <w:p w14:paraId="5E9F7979" w14:textId="77777777" w:rsidR="00EF6E62" w:rsidRPr="003F6924" w:rsidRDefault="00B543E4" w:rsidP="005723B1">
      <w:pPr>
        <w:snapToGrid w:val="0"/>
        <w:spacing w:after="0" w:line="300" w:lineRule="auto"/>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Where DTC – Digital transformation capability, BTP – Bank technology platform, DTD – Digital transformation development, LC – leadership capability, DTS – Digital transformation strategy, ECC – Employee competency &amp; comprehension, BRM – Bank risk management, BCC – Bank corporate culture, DTP – Digital transformation pressure, BFC – Bank financial capability, GDS – Government support for digital transformation.</w:t>
      </w:r>
    </w:p>
    <w:p w14:paraId="270407BA" w14:textId="77777777" w:rsidR="00212314" w:rsidRPr="003F6924" w:rsidRDefault="00212314" w:rsidP="005723B1">
      <w:pPr>
        <w:snapToGrid w:val="0"/>
        <w:spacing w:after="0" w:line="300" w:lineRule="auto"/>
        <w:jc w:val="both"/>
        <w:rPr>
          <w:rFonts w:ascii="Times New Roman" w:hAnsi="Times New Roman" w:cs="Times New Roman"/>
          <w:color w:val="000000" w:themeColor="text1"/>
          <w:sz w:val="26"/>
          <w:szCs w:val="26"/>
          <w:lang w:val="en-US"/>
        </w:rPr>
      </w:pPr>
    </w:p>
    <w:p w14:paraId="60A92C35" w14:textId="77777777" w:rsidR="00CC4810" w:rsidRPr="003F6924" w:rsidRDefault="00B543E4" w:rsidP="00794E60">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Because the survey used 5-point Likert scales to measure the constructs, thresholds of 4, 3, and 2 were adopted to represent full membership, crossover, and full non-membership, respectively, when converting the data for fsQCA. This calibration ensured that all values ranged from 0 to 1 </w:t>
      </w:r>
      <w:r w:rsidR="00EF6E62" w:rsidRPr="003F6924">
        <w:rPr>
          <w:rFonts w:ascii="Times New Roman" w:hAnsi="Times New Roman" w:cs="Times New Roman"/>
          <w:color w:val="000000" w:themeColor="text1"/>
          <w:sz w:val="26"/>
          <w:szCs w:val="26"/>
          <w:lang w:val="en-US"/>
        </w:rPr>
        <w:fldChar w:fldCharType="begin"/>
      </w:r>
      <w:r w:rsidR="00EF6E62" w:rsidRPr="003F6924">
        <w:rPr>
          <w:rFonts w:ascii="Times New Roman" w:hAnsi="Times New Roman" w:cs="Times New Roman"/>
          <w:color w:val="000000" w:themeColor="text1"/>
          <w:sz w:val="26"/>
          <w:szCs w:val="26"/>
          <w:lang w:val="en-US"/>
        </w:rPr>
        <w:instrText xml:space="preserve"> ADDIN ZOTERO_ITEM CSL_CITATION {"citationID":"3rcor2Tj","properties":{"formattedCitation":"(I. O. Pappas &amp; Woodside, 2021)","plainCitation":"(I. O. Pappas &amp; Woodside, 2021)","dontUpdate":true,"noteIndex":0},"citationItems":[{"id":3809,"uris":["http://zotero.org/users/9020985/items/THCH55NG"],"itemData":{"id":3809,"type":"article-journal","abstract":"The increasing interest in fuzzy-set Qualitative Comparative Analysis (fsQCA) in Information Systems and marketing raises the need for a tutorial paper that discusses the basic concepts and principles of the method, provide answers to typical questions that editors, reviewers, and authors would have when dealing with a new tool of analysis, and practically guide researchers on how to employ fsQCA. This article helps the reader to gain richer information from their data and understand the importance of avoiding shallow information‐from‐data reporting. To this end, it proposes a different research paradigm that includes asymmetric, configurational‐focused case‐outcome theory construction and somewhat precise outcome testing. This article offers a detailed step-by-step guide on how to employ fsQCA by using as an example an already published study. We analyze the same dataset and present all the details in each step of the analysis to guide the reader onto how to employ fsQCA. The article discusses differences between fsQCA and variance-based approaches and compares fsQCA with those from structured equation modelling. Finally, the article offers a summary of thresholds and guidelines for practice, along with a discussion on how existing papers that employ variance-based methods are extendable and complemented through fsQCA.","container-title":"International Journal of Information Management","DOI":"10.1016/j.ijinfomgt.2021.102310","ISSN":"0268-4012","journalAbbreviation":"International Journal of Information Management","page":"102310","source":"ScienceDirect","title":"Fuzzy-set Qualitative Comparative Analysis (fsQCA): Guidelines for research practice in Information Systems and marketing","title-short":"Fuzzy-set Qualitative Comparative Analysis (fsQCA)","volume":"58","author":[{"family":"Pappas","given":"Ilias O."},{"family":"Woodside","given":"Arch G."}],"issued":{"date-parts":[["2021",6,1]]}}}],"schema":"https://github.com/citation-style-language/schema/raw/master/csl-citation.json"} </w:instrText>
      </w:r>
      <w:r w:rsidR="00EF6E62" w:rsidRPr="003F6924">
        <w:rPr>
          <w:rFonts w:ascii="Times New Roman" w:hAnsi="Times New Roman" w:cs="Times New Roman"/>
          <w:color w:val="000000" w:themeColor="text1"/>
          <w:sz w:val="26"/>
          <w:szCs w:val="26"/>
          <w:lang w:val="en-US"/>
        </w:rPr>
        <w:fldChar w:fldCharType="separate"/>
      </w:r>
      <w:r w:rsidR="00EF6E62" w:rsidRPr="003F6924">
        <w:rPr>
          <w:rFonts w:ascii="Times New Roman" w:hAnsi="Times New Roman" w:cs="Times New Roman"/>
          <w:noProof/>
          <w:color w:val="000000" w:themeColor="text1"/>
          <w:sz w:val="26"/>
          <w:szCs w:val="26"/>
          <w:lang w:val="en-US"/>
        </w:rPr>
        <w:t xml:space="preserve">(Pappas </w:t>
      </w:r>
      <w:r w:rsidR="00F377A7" w:rsidRPr="003F6924">
        <w:rPr>
          <w:rFonts w:ascii="Times New Roman" w:hAnsi="Times New Roman" w:cs="Times New Roman"/>
          <w:noProof/>
          <w:color w:val="000000" w:themeColor="text1"/>
          <w:sz w:val="26"/>
          <w:szCs w:val="26"/>
          <w:lang w:val="vi-VN"/>
        </w:rPr>
        <w:t>&amp;</w:t>
      </w:r>
      <w:r w:rsidR="00EF6E62" w:rsidRPr="003F6924">
        <w:rPr>
          <w:rFonts w:ascii="Times New Roman" w:hAnsi="Times New Roman" w:cs="Times New Roman"/>
          <w:noProof/>
          <w:color w:val="000000" w:themeColor="text1"/>
          <w:sz w:val="26"/>
          <w:szCs w:val="26"/>
          <w:lang w:val="en-US"/>
        </w:rPr>
        <w:t xml:space="preserve"> Woodside, 2021)</w:t>
      </w:r>
      <w:r w:rsidR="00EF6E62" w:rsidRPr="003F6924">
        <w:rPr>
          <w:rFonts w:ascii="Times New Roman" w:hAnsi="Times New Roman" w:cs="Times New Roman"/>
          <w:color w:val="000000" w:themeColor="text1"/>
          <w:sz w:val="26"/>
          <w:szCs w:val="26"/>
          <w:lang w:val="en-US"/>
        </w:rPr>
        <w:fldChar w:fldCharType="end"/>
      </w:r>
      <w:r w:rsidR="00EF6E62" w:rsidRPr="003F6924">
        <w:rPr>
          <w:rFonts w:ascii="Times New Roman" w:hAnsi="Times New Roman" w:cs="Times New Roman"/>
          <w:color w:val="000000" w:themeColor="text1"/>
          <w:sz w:val="26"/>
          <w:szCs w:val="26"/>
          <w:lang w:val="en-US"/>
        </w:rPr>
        <w:t xml:space="preserve">. </w:t>
      </w:r>
      <w:r w:rsidR="00AA56CC" w:rsidRPr="003F6924">
        <w:rPr>
          <w:rFonts w:ascii="Times New Roman" w:hAnsi="Times New Roman" w:cs="Times New Roman"/>
          <w:color w:val="000000" w:themeColor="text1"/>
          <w:sz w:val="26"/>
          <w:szCs w:val="26"/>
          <w:lang w:val="en-US"/>
        </w:rPr>
        <w:t>Next, truth tables were constructed to identify all possible causal configurations leading to high levels of digital transformation capability (DTC). Each condition was calibrated with binary values, where one indicates the presence of a high DTC, and 0 denotes a low DTC</w:t>
      </w:r>
      <w:r w:rsidR="00EF6E62" w:rsidRPr="003F6924">
        <w:rPr>
          <w:rFonts w:ascii="Times New Roman" w:hAnsi="Times New Roman" w:cs="Times New Roman"/>
          <w:color w:val="000000" w:themeColor="text1"/>
          <w:sz w:val="26"/>
          <w:szCs w:val="26"/>
          <w:lang w:val="en-US"/>
        </w:rPr>
        <w:t xml:space="preserve">. Accordingly, the authors also sorted the truth table by frequency threshold at 1 and raw consistency threshold at 0.8 to remove the configurations with low frequency and consistency </w:t>
      </w:r>
      <w:r w:rsidR="00EF6E62" w:rsidRPr="003F6924">
        <w:rPr>
          <w:rFonts w:ascii="Times New Roman" w:hAnsi="Times New Roman" w:cs="Times New Roman"/>
          <w:color w:val="000000" w:themeColor="text1"/>
          <w:sz w:val="26"/>
          <w:szCs w:val="26"/>
          <w:lang w:val="en-US"/>
        </w:rPr>
        <w:fldChar w:fldCharType="begin"/>
      </w:r>
      <w:r w:rsidR="00EF6E62" w:rsidRPr="003F6924">
        <w:rPr>
          <w:rFonts w:ascii="Times New Roman" w:hAnsi="Times New Roman" w:cs="Times New Roman"/>
          <w:color w:val="000000" w:themeColor="text1"/>
          <w:sz w:val="26"/>
          <w:szCs w:val="26"/>
          <w:lang w:val="en-US"/>
        </w:rPr>
        <w:instrText xml:space="preserve"> ADDIN ZOTERO_ITEM CSL_CITATION {"citationID":"mJZYD4f6","properties":{"formattedCitation":"(I. O. Pappas &amp; Woodside, 2021)","plainCitation":"(I. O. Pappas &amp; Woodside, 2021)","dontUpdate":true,"noteIndex":0},"citationItems":[{"id":3809,"uris":["http://zotero.org/users/9020985/items/THCH55NG"],"itemData":{"id":3809,"type":"article-journal","abstract":"The increasing interest in fuzzy-set Qualitative Comparative Analysis (fsQCA) in Information Systems and marketing raises the need for a tutorial paper that discusses the basic concepts and principles of the method, provide answers to typical questions that editors, reviewers, and authors would have when dealing with a new tool of analysis, and practically guide researchers on how to employ fsQCA. This article helps the reader to gain richer information from their data and understand the importance of avoiding shallow information‐from‐data reporting. To this end, it proposes a different research paradigm that includes asymmetric, configurational‐focused case‐outcome theory construction and somewhat precise outcome testing. This article offers a detailed step-by-step guide on how to employ fsQCA by using as an example an already published study. We analyze the same dataset and present all the details in each step of the analysis to guide the reader onto how to employ fsQCA. The article discusses differences between fsQCA and variance-based approaches and compares fsQCA with those from structured equation modelling. Finally, the article offers a summary of thresholds and guidelines for practice, along with a discussion on how existing papers that employ variance-based methods are extendable and complemented through fsQCA.","container-title":"International Journal of Information Management","DOI":"10.1016/j.ijinfomgt.2021.102310","ISSN":"0268-4012","journalAbbreviation":"International Journal of Information Management","page":"102310","source":"ScienceDirect","title":"Fuzzy-set Qualitative Comparative Analysis (fsQCA): Guidelines for research practice in Information Systems and marketing","title-short":"Fuzzy-set Qualitative Comparative Analysis (fsQCA)","volume":"58","author":[{"family":"Pappas","given":"Ilias O."},{"family":"Woodside","given":"Arch G."}],"issued":{"date-parts":[["2021",6,1]]}}}],"schema":"https://github.com/citation-style-language/schema/raw/master/csl-citation.json"} </w:instrText>
      </w:r>
      <w:r w:rsidR="00EF6E62" w:rsidRPr="003F6924">
        <w:rPr>
          <w:rFonts w:ascii="Times New Roman" w:hAnsi="Times New Roman" w:cs="Times New Roman"/>
          <w:color w:val="000000" w:themeColor="text1"/>
          <w:sz w:val="26"/>
          <w:szCs w:val="26"/>
          <w:lang w:val="en-US"/>
        </w:rPr>
        <w:fldChar w:fldCharType="separate"/>
      </w:r>
      <w:r w:rsidR="00EF6E62" w:rsidRPr="003F6924">
        <w:rPr>
          <w:rFonts w:ascii="Times New Roman" w:hAnsi="Times New Roman" w:cs="Times New Roman"/>
          <w:noProof/>
          <w:color w:val="000000" w:themeColor="text1"/>
          <w:sz w:val="26"/>
          <w:szCs w:val="26"/>
          <w:lang w:val="en-US"/>
        </w:rPr>
        <w:t xml:space="preserve">(Pappas </w:t>
      </w:r>
      <w:r w:rsidR="00F377A7" w:rsidRPr="003F6924">
        <w:rPr>
          <w:rFonts w:ascii="Times New Roman" w:hAnsi="Times New Roman" w:cs="Times New Roman"/>
          <w:noProof/>
          <w:color w:val="000000" w:themeColor="text1"/>
          <w:sz w:val="26"/>
          <w:szCs w:val="26"/>
          <w:lang w:val="vi-VN"/>
        </w:rPr>
        <w:t>&amp;</w:t>
      </w:r>
      <w:r w:rsidR="00EF6E62" w:rsidRPr="003F6924">
        <w:rPr>
          <w:rFonts w:ascii="Times New Roman" w:hAnsi="Times New Roman" w:cs="Times New Roman"/>
          <w:noProof/>
          <w:color w:val="000000" w:themeColor="text1"/>
          <w:sz w:val="26"/>
          <w:szCs w:val="26"/>
          <w:lang w:val="en-US"/>
        </w:rPr>
        <w:t xml:space="preserve"> Woodside, 2021)</w:t>
      </w:r>
      <w:r w:rsidR="00EF6E62" w:rsidRPr="003F6924">
        <w:rPr>
          <w:rFonts w:ascii="Times New Roman" w:hAnsi="Times New Roman" w:cs="Times New Roman"/>
          <w:color w:val="000000" w:themeColor="text1"/>
          <w:sz w:val="26"/>
          <w:szCs w:val="26"/>
          <w:lang w:val="en-US"/>
        </w:rPr>
        <w:fldChar w:fldCharType="end"/>
      </w:r>
      <w:r w:rsidR="00EF6E62" w:rsidRPr="003F6924">
        <w:rPr>
          <w:rFonts w:ascii="Times New Roman" w:hAnsi="Times New Roman" w:cs="Times New Roman"/>
          <w:color w:val="000000" w:themeColor="text1"/>
          <w:sz w:val="26"/>
          <w:szCs w:val="26"/>
          <w:lang w:val="en-US"/>
        </w:rPr>
        <w:t xml:space="preserve">. </w:t>
      </w:r>
    </w:p>
    <w:p w14:paraId="5511CB96" w14:textId="77777777" w:rsidR="00212314" w:rsidRPr="003F6924" w:rsidRDefault="00212314" w:rsidP="005723B1">
      <w:pPr>
        <w:snapToGrid w:val="0"/>
        <w:spacing w:after="0" w:line="300" w:lineRule="auto"/>
        <w:jc w:val="center"/>
        <w:rPr>
          <w:rFonts w:ascii="Times New Roman" w:hAnsi="Times New Roman" w:cs="Times New Roman"/>
          <w:b/>
          <w:color w:val="000000" w:themeColor="text1"/>
          <w:sz w:val="26"/>
          <w:szCs w:val="26"/>
          <w:lang w:val="en-US"/>
        </w:rPr>
      </w:pPr>
    </w:p>
    <w:p w14:paraId="26BC2DA2" w14:textId="77777777" w:rsidR="00437119" w:rsidRPr="003F6924" w:rsidRDefault="00B543E4" w:rsidP="005723B1">
      <w:pPr>
        <w:snapToGrid w:val="0"/>
        <w:spacing w:after="0" w:line="300" w:lineRule="auto"/>
        <w:jc w:val="center"/>
        <w:rPr>
          <w:rFonts w:ascii="Times New Roman" w:hAnsi="Times New Roman" w:cs="Times New Roman"/>
          <w:b/>
          <w:color w:val="000000" w:themeColor="text1"/>
          <w:sz w:val="26"/>
          <w:szCs w:val="26"/>
          <w:lang w:val="en-US"/>
        </w:rPr>
      </w:pPr>
      <w:r w:rsidRPr="003F6924">
        <w:rPr>
          <w:rFonts w:ascii="Times New Roman" w:hAnsi="Times New Roman" w:cs="Times New Roman"/>
          <w:b/>
          <w:color w:val="000000" w:themeColor="text1"/>
          <w:sz w:val="26"/>
          <w:szCs w:val="26"/>
          <w:lang w:val="en-US"/>
        </w:rPr>
        <w:t>R</w:t>
      </w:r>
      <w:r w:rsidR="00CC4810" w:rsidRPr="003F6924">
        <w:rPr>
          <w:rFonts w:ascii="Times New Roman" w:hAnsi="Times New Roman" w:cs="Times New Roman"/>
          <w:b/>
          <w:color w:val="000000" w:themeColor="text1"/>
          <w:sz w:val="26"/>
          <w:szCs w:val="26"/>
          <w:lang w:val="en-US"/>
        </w:rPr>
        <w:t>ESULTS AND ANALYSIS</w:t>
      </w:r>
    </w:p>
    <w:p w14:paraId="1C2F6829" w14:textId="6C08BDE9" w:rsidR="00EF6E62" w:rsidRPr="003F6924" w:rsidRDefault="00B543E4" w:rsidP="005723B1">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Descriptive </w:t>
      </w:r>
      <w:r w:rsidR="005F3932" w:rsidRPr="003F6924">
        <w:rPr>
          <w:rFonts w:ascii="Times New Roman" w:hAnsi="Times New Roman" w:cs="Times New Roman"/>
          <w:b/>
          <w:bCs/>
          <w:color w:val="000000" w:themeColor="text1"/>
          <w:sz w:val="26"/>
          <w:szCs w:val="26"/>
          <w:lang w:val="en-US"/>
        </w:rPr>
        <w:t xml:space="preserve">Analysis </w:t>
      </w:r>
    </w:p>
    <w:p w14:paraId="61BBAB3C" w14:textId="6BC82B56"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The demographic profile of respondents in this study indicates a workforce that is both youthful and comparatively experienced, with a robust educational background (Table </w:t>
      </w:r>
      <w:r w:rsidR="00071B69" w:rsidRPr="003F6924">
        <w:rPr>
          <w:rFonts w:ascii="Times New Roman" w:hAnsi="Times New Roman" w:cs="Times New Roman"/>
          <w:color w:val="000000" w:themeColor="text1"/>
          <w:sz w:val="26"/>
          <w:szCs w:val="26"/>
          <w:lang w:val="en-US"/>
        </w:rPr>
        <w:t>3</w:t>
      </w:r>
      <w:r w:rsidRPr="003F6924">
        <w:rPr>
          <w:rFonts w:ascii="Times New Roman" w:hAnsi="Times New Roman" w:cs="Times New Roman"/>
          <w:color w:val="000000" w:themeColor="text1"/>
          <w:sz w:val="26"/>
          <w:szCs w:val="26"/>
          <w:lang w:val="en-US"/>
        </w:rPr>
        <w:t>). Of the 450 participants, 54% are female</w:t>
      </w:r>
      <w:r w:rsidR="006E65F6" w:rsidRPr="003F6924">
        <w:rPr>
          <w:rFonts w:ascii="Times New Roman" w:hAnsi="Times New Roman" w:cs="Times New Roman"/>
          <w:color w:val="000000" w:themeColor="text1"/>
          <w:sz w:val="26"/>
          <w:szCs w:val="26"/>
          <w:lang w:val="en-US"/>
        </w:rPr>
        <w:t>,</w:t>
      </w:r>
      <w:r w:rsidRPr="003F6924">
        <w:rPr>
          <w:rFonts w:ascii="Times New Roman" w:hAnsi="Times New Roman" w:cs="Times New Roman"/>
          <w:color w:val="000000" w:themeColor="text1"/>
          <w:sz w:val="26"/>
          <w:szCs w:val="26"/>
          <w:lang w:val="en-US"/>
        </w:rPr>
        <w:t xml:space="preserve"> and 46% are male, indicating a somewhat even gender distribution. </w:t>
      </w:r>
      <w:r w:rsidR="00AA56CC" w:rsidRPr="003F6924">
        <w:rPr>
          <w:rFonts w:ascii="Times New Roman" w:hAnsi="Times New Roman" w:cs="Times New Roman"/>
          <w:color w:val="000000" w:themeColor="text1"/>
          <w:sz w:val="26"/>
          <w:szCs w:val="26"/>
          <w:lang w:val="en-US"/>
        </w:rPr>
        <w:t>The majority of respondents (64.89%) were between 20 and 39 years old, representing the most dynamic and adaptable segment of the workforce, typically more engaged with and influenced by technological advancements</w:t>
      </w:r>
      <w:r w:rsidRPr="003F6924">
        <w:rPr>
          <w:rFonts w:ascii="Times New Roman" w:hAnsi="Times New Roman" w:cs="Times New Roman"/>
          <w:color w:val="000000" w:themeColor="text1"/>
          <w:sz w:val="26"/>
          <w:szCs w:val="26"/>
          <w:lang w:val="en-US"/>
        </w:rPr>
        <w:t xml:space="preserve">. </w:t>
      </w:r>
      <w:r w:rsidR="00AA56CC" w:rsidRPr="003F6924">
        <w:rPr>
          <w:rFonts w:ascii="Times New Roman" w:hAnsi="Times New Roman" w:cs="Times New Roman"/>
          <w:color w:val="000000" w:themeColor="text1"/>
          <w:sz w:val="26"/>
          <w:szCs w:val="26"/>
          <w:lang w:val="en-US"/>
        </w:rPr>
        <w:t>Educational attainment among participants was relatively high: 58.44% held a bachelor’s degree, 8.89% possessed postgraduate qualifications, and fewer than 15% had only a high school education</w:t>
      </w:r>
      <w:r w:rsidRPr="003F6924">
        <w:rPr>
          <w:rFonts w:ascii="Times New Roman" w:hAnsi="Times New Roman" w:cs="Times New Roman"/>
          <w:color w:val="000000" w:themeColor="text1"/>
          <w:sz w:val="26"/>
          <w:szCs w:val="26"/>
          <w:lang w:val="en-US"/>
        </w:rPr>
        <w:t xml:space="preserve">. Income distribution indicates that 68% of respondents earn less than 20 million VND per month, suggesting a predominance of personnel in junior- to mid-level roles. </w:t>
      </w:r>
      <w:r w:rsidR="00AA56CC" w:rsidRPr="003F6924">
        <w:rPr>
          <w:rFonts w:ascii="Times New Roman" w:hAnsi="Times New Roman" w:cs="Times New Roman"/>
          <w:color w:val="000000" w:themeColor="text1"/>
          <w:sz w:val="26"/>
          <w:szCs w:val="26"/>
          <w:lang w:val="en-US"/>
        </w:rPr>
        <w:t>Work experience was evenly distributed, with 32.67% of respondents having more than five years of experience in the banking industry and 51.9% having between one and five years, indicating a workforce that blends fresh perspectives with institutional expertise</w:t>
      </w:r>
      <w:r w:rsidRPr="003F6924">
        <w:rPr>
          <w:rFonts w:ascii="Times New Roman" w:hAnsi="Times New Roman" w:cs="Times New Roman"/>
          <w:color w:val="000000" w:themeColor="text1"/>
          <w:sz w:val="26"/>
          <w:szCs w:val="26"/>
          <w:lang w:val="en-US"/>
        </w:rPr>
        <w:t>. Respondents hold various positions: 35.56% of total respondents are bank tellers, while significant percentages also include functional officers (40.00%), middle managers (15.56%), and senior managers (8.89%), indicating a multi-tiered comprehension of digital transformation across hierarchical levels.</w:t>
      </w:r>
    </w:p>
    <w:p w14:paraId="77A4FB6E" w14:textId="2B5C724C" w:rsidR="00EF6E62" w:rsidRPr="003F6924" w:rsidRDefault="00B543E4" w:rsidP="00684A04">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The execution of digital transformation within these organizations appears to focus primarily on strategic initiatives and customer-oriented improvements. A significant majority (81.11%) report that their banks have implemented digital business strategies encompassing marketing, investment portfolios, and ecosystem growth. Approximately 49.33% indicate initiatives aimed at enhancing the digital consumer experience, implying a focus on outward-facing enhancements. Nonetheless, profound internal transformation appears to be infrequent: just 30% reported progress in information management systems and cybersecurity, with even fewer recognizing alterations in operations (1.11%), internal data use (4.00%), or company culture (3.11%). Th</w:t>
      </w:r>
      <w:r w:rsidR="000007EA" w:rsidRPr="003F6924">
        <w:rPr>
          <w:rFonts w:ascii="Times New Roman" w:hAnsi="Times New Roman" w:cs="Times New Roman"/>
          <w:color w:val="000000" w:themeColor="text1"/>
          <w:sz w:val="26"/>
          <w:szCs w:val="26"/>
          <w:lang w:val="vi-VN"/>
        </w:rPr>
        <w:t>e data</w:t>
      </w:r>
      <w:r w:rsidRPr="003F6924">
        <w:rPr>
          <w:rFonts w:ascii="Times New Roman" w:hAnsi="Times New Roman" w:cs="Times New Roman"/>
          <w:color w:val="000000" w:themeColor="text1"/>
          <w:sz w:val="26"/>
          <w:szCs w:val="26"/>
          <w:lang w:val="en-US"/>
        </w:rPr>
        <w:t xml:space="preserve"> underscores a trend in which banks emphasize apparent, customer-focused modifications rather than fundamental, infrastructure alterations. </w:t>
      </w:r>
      <w:r w:rsidR="000007EA" w:rsidRPr="003F6924">
        <w:rPr>
          <w:rFonts w:ascii="Times New Roman" w:hAnsi="Times New Roman" w:cs="Times New Roman"/>
          <w:color w:val="000000" w:themeColor="text1"/>
          <w:sz w:val="26"/>
          <w:szCs w:val="26"/>
          <w:lang w:val="vi-VN"/>
        </w:rPr>
        <w:t>When asked about the objectives of digital transformation, only 16.67% of participants cited improved operational or commercial efficiency as the primary goal.</w:t>
      </w:r>
    </w:p>
    <w:p w14:paraId="0F4E949D" w14:textId="78028D7A" w:rsidR="00EF6E62" w:rsidRPr="003F6924" w:rsidRDefault="000007EA"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vi-VN"/>
        </w:rPr>
        <w:t>In comparison, even smaller proportions mentioned enhancing customer connections (0.44%) or increasing competitiveness (0.22%)</w:t>
      </w:r>
      <w:r w:rsidR="00B543E4" w:rsidRPr="003F6924">
        <w:rPr>
          <w:rFonts w:ascii="Times New Roman" w:hAnsi="Times New Roman" w:cs="Times New Roman"/>
          <w:color w:val="000000" w:themeColor="text1"/>
          <w:sz w:val="26"/>
          <w:szCs w:val="26"/>
          <w:lang w:val="en-US"/>
        </w:rPr>
        <w:t>. Th</w:t>
      </w:r>
      <w:r w:rsidRPr="003F6924">
        <w:rPr>
          <w:rFonts w:ascii="Times New Roman" w:hAnsi="Times New Roman" w:cs="Times New Roman"/>
          <w:color w:val="000000" w:themeColor="text1"/>
          <w:sz w:val="26"/>
          <w:szCs w:val="26"/>
          <w:lang w:val="vi-VN"/>
        </w:rPr>
        <w:t>e data</w:t>
      </w:r>
      <w:r w:rsidR="00B543E4" w:rsidRPr="003F6924">
        <w:rPr>
          <w:rFonts w:ascii="Times New Roman" w:hAnsi="Times New Roman" w:cs="Times New Roman"/>
          <w:color w:val="000000" w:themeColor="text1"/>
          <w:sz w:val="26"/>
          <w:szCs w:val="26"/>
          <w:lang w:val="en-US"/>
        </w:rPr>
        <w:t xml:space="preserve"> suggests either employees</w:t>
      </w:r>
      <w:r w:rsidR="00C96078">
        <w:rPr>
          <w:rFonts w:ascii="Times New Roman" w:hAnsi="Times New Roman" w:cs="Times New Roman"/>
          <w:color w:val="000000" w:themeColor="text1"/>
          <w:sz w:val="26"/>
          <w:szCs w:val="26"/>
          <w:lang w:val="en-US"/>
        </w:rPr>
        <w:t>’</w:t>
      </w:r>
      <w:r w:rsidR="00B543E4" w:rsidRPr="003F6924">
        <w:rPr>
          <w:rFonts w:ascii="Times New Roman" w:hAnsi="Times New Roman" w:cs="Times New Roman"/>
          <w:color w:val="000000" w:themeColor="text1"/>
          <w:sz w:val="26"/>
          <w:szCs w:val="26"/>
          <w:lang w:val="en-US"/>
        </w:rPr>
        <w:t xml:space="preserve"> unawareness of overarching strategic objectives or a disconnect in communication and alignment between leadership and personnel. In the assessment of their bank's total digital transformation on a scale of 1 to 10, the majority (59.11%) ranked it within the intermediate range (4–6), while just 23.56% classified it as advanced (7–10), and 17.33% assigned a poor grade (1–3). </w:t>
      </w:r>
      <w:r w:rsidRPr="003F6924">
        <w:rPr>
          <w:rFonts w:ascii="Times New Roman" w:hAnsi="Times New Roman" w:cs="Times New Roman"/>
          <w:color w:val="000000" w:themeColor="text1"/>
          <w:sz w:val="26"/>
          <w:szCs w:val="26"/>
          <w:lang w:val="en-US"/>
        </w:rPr>
        <w:t>These findings suggest that although banks have begun implementing digital transformation initiatives, most employees perceive the progress as partial or superficial. This highlights the need for more comprehensive, integrated, and organization-wide strategies to ensure meaningful transformation in the future</w:t>
      </w:r>
      <w:r w:rsidR="00B543E4" w:rsidRPr="003F6924">
        <w:rPr>
          <w:rFonts w:ascii="Times New Roman" w:hAnsi="Times New Roman" w:cs="Times New Roman"/>
          <w:color w:val="000000" w:themeColor="text1"/>
          <w:sz w:val="26"/>
          <w:szCs w:val="26"/>
          <w:lang w:val="en-US"/>
        </w:rPr>
        <w:t>.</w:t>
      </w:r>
    </w:p>
    <w:p w14:paraId="54A80301" w14:textId="77777777" w:rsidR="005723B1" w:rsidRPr="003F6924" w:rsidRDefault="005723B1" w:rsidP="005723B1">
      <w:pPr>
        <w:snapToGrid w:val="0"/>
        <w:spacing w:after="0" w:line="300" w:lineRule="auto"/>
        <w:jc w:val="both"/>
        <w:rPr>
          <w:rFonts w:ascii="Times New Roman" w:hAnsi="Times New Roman" w:cs="Times New Roman"/>
          <w:color w:val="000000" w:themeColor="text1"/>
          <w:sz w:val="26"/>
          <w:szCs w:val="26"/>
          <w:lang w:val="en-US"/>
        </w:rPr>
      </w:pPr>
    </w:p>
    <w:p w14:paraId="4C883180" w14:textId="7E999C2A" w:rsidR="00EF6E62" w:rsidRPr="003F6924" w:rsidRDefault="00B543E4" w:rsidP="005723B1">
      <w:pPr>
        <w:pStyle w:val="af8"/>
        <w:snapToGrid w:val="0"/>
        <w:spacing w:after="0" w:line="300" w:lineRule="auto"/>
        <w:jc w:val="both"/>
        <w:rPr>
          <w:color w:val="000000" w:themeColor="text1"/>
          <w:sz w:val="26"/>
          <w:szCs w:val="26"/>
          <w:lang w:val="en-US"/>
        </w:rPr>
      </w:pPr>
      <w:r w:rsidRPr="00C96078">
        <w:rPr>
          <w:b/>
          <w:bCs/>
          <w:i w:val="0"/>
          <w:iCs w:val="0"/>
          <w:color w:val="000000" w:themeColor="text1"/>
          <w:sz w:val="26"/>
          <w:szCs w:val="26"/>
          <w:lang w:val="en-US"/>
        </w:rPr>
        <w:t xml:space="preserve">Table </w:t>
      </w:r>
      <w:r w:rsidRPr="00C96078">
        <w:rPr>
          <w:b/>
          <w:bCs/>
          <w:i w:val="0"/>
          <w:iCs w:val="0"/>
          <w:color w:val="000000" w:themeColor="text1"/>
          <w:sz w:val="26"/>
          <w:szCs w:val="26"/>
          <w:lang w:val="en-US"/>
        </w:rPr>
        <w:fldChar w:fldCharType="begin"/>
      </w:r>
      <w:r w:rsidRPr="00C96078">
        <w:rPr>
          <w:b/>
          <w:bCs/>
          <w:i w:val="0"/>
          <w:iCs w:val="0"/>
          <w:color w:val="000000" w:themeColor="text1"/>
          <w:sz w:val="26"/>
          <w:szCs w:val="26"/>
          <w:lang w:val="en-US"/>
        </w:rPr>
        <w:instrText xml:space="preserve"> SEQ Table \* ARABIC </w:instrText>
      </w:r>
      <w:r w:rsidRPr="00C96078">
        <w:rPr>
          <w:b/>
          <w:bCs/>
          <w:i w:val="0"/>
          <w:iCs w:val="0"/>
          <w:color w:val="000000" w:themeColor="text1"/>
          <w:sz w:val="26"/>
          <w:szCs w:val="26"/>
          <w:lang w:val="en-US"/>
        </w:rPr>
        <w:fldChar w:fldCharType="separate"/>
      </w:r>
      <w:r w:rsidR="0058062D">
        <w:rPr>
          <w:b/>
          <w:bCs/>
          <w:i w:val="0"/>
          <w:iCs w:val="0"/>
          <w:noProof/>
          <w:color w:val="000000" w:themeColor="text1"/>
          <w:sz w:val="26"/>
          <w:szCs w:val="26"/>
          <w:lang w:val="en-US"/>
        </w:rPr>
        <w:t>3</w:t>
      </w:r>
      <w:r w:rsidRPr="00C96078">
        <w:rPr>
          <w:b/>
          <w:bCs/>
          <w:i w:val="0"/>
          <w:iCs w:val="0"/>
          <w:noProof/>
          <w:color w:val="000000" w:themeColor="text1"/>
          <w:sz w:val="26"/>
          <w:szCs w:val="26"/>
          <w:lang w:val="en-US"/>
        </w:rPr>
        <w:fldChar w:fldCharType="end"/>
      </w:r>
      <w:r w:rsidRPr="003F6924">
        <w:rPr>
          <w:color w:val="000000" w:themeColor="text1"/>
          <w:sz w:val="26"/>
          <w:szCs w:val="26"/>
          <w:lang w:val="en-US"/>
        </w:rPr>
        <w:t xml:space="preserve"> Demographic </w:t>
      </w:r>
      <w:r w:rsidR="006E65F6" w:rsidRPr="003F6924">
        <w:rPr>
          <w:color w:val="000000" w:themeColor="text1"/>
          <w:sz w:val="26"/>
          <w:szCs w:val="26"/>
          <w:lang w:val="en-US"/>
        </w:rPr>
        <w:t xml:space="preserve">Profile </w:t>
      </w:r>
      <w:r w:rsidRPr="003F6924">
        <w:rPr>
          <w:color w:val="000000" w:themeColor="text1"/>
          <w:sz w:val="26"/>
          <w:szCs w:val="26"/>
          <w:lang w:val="en-US"/>
        </w:rPr>
        <w:t xml:space="preserve">of the </w:t>
      </w:r>
      <w:r w:rsidR="006E65F6" w:rsidRPr="003F6924">
        <w:rPr>
          <w:color w:val="000000" w:themeColor="text1"/>
          <w:sz w:val="26"/>
          <w:szCs w:val="26"/>
          <w:lang w:val="en-US"/>
        </w:rPr>
        <w:t>Respondents</w:t>
      </w:r>
    </w:p>
    <w:tbl>
      <w:tblPr>
        <w:tblW w:w="0" w:type="auto"/>
        <w:tblLook w:val="04A0" w:firstRow="1" w:lastRow="0" w:firstColumn="1" w:lastColumn="0" w:noHBand="0" w:noVBand="1"/>
      </w:tblPr>
      <w:tblGrid>
        <w:gridCol w:w="2246"/>
        <w:gridCol w:w="3177"/>
        <w:gridCol w:w="1960"/>
        <w:gridCol w:w="1809"/>
      </w:tblGrid>
      <w:tr w:rsidR="0046229B" w:rsidRPr="003F6924" w14:paraId="53CC76BE" w14:textId="77777777" w:rsidTr="005F3932">
        <w:trPr>
          <w:trHeight w:val="20"/>
          <w:tblHeader/>
        </w:trPr>
        <w:tc>
          <w:tcPr>
            <w:tcW w:w="0" w:type="auto"/>
            <w:gridSpan w:val="2"/>
            <w:tcBorders>
              <w:top w:val="single" w:sz="4" w:space="0" w:color="auto"/>
              <w:left w:val="nil"/>
              <w:bottom w:val="single" w:sz="4" w:space="0" w:color="auto"/>
              <w:right w:val="nil"/>
            </w:tcBorders>
            <w:shd w:val="clear" w:color="auto" w:fill="auto"/>
            <w:vAlign w:val="center"/>
            <w:hideMark/>
          </w:tcPr>
          <w:p w14:paraId="1FDFEA2C" w14:textId="77777777" w:rsidR="00EF6E62" w:rsidRPr="003F6924" w:rsidRDefault="00B543E4" w:rsidP="005F3932">
            <w:pPr>
              <w:spacing w:after="0" w:line="240" w:lineRule="auto"/>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Criteria</w:t>
            </w:r>
          </w:p>
        </w:tc>
        <w:tc>
          <w:tcPr>
            <w:tcW w:w="0" w:type="auto"/>
            <w:tcBorders>
              <w:top w:val="single" w:sz="4" w:space="0" w:color="auto"/>
              <w:left w:val="nil"/>
              <w:bottom w:val="single" w:sz="4" w:space="0" w:color="auto"/>
              <w:right w:val="nil"/>
            </w:tcBorders>
            <w:shd w:val="clear" w:color="auto" w:fill="auto"/>
            <w:noWrap/>
            <w:vAlign w:val="center"/>
            <w:hideMark/>
          </w:tcPr>
          <w:p w14:paraId="6C275853" w14:textId="77777777" w:rsidR="00EF6E62" w:rsidRPr="003F6924" w:rsidRDefault="00B543E4" w:rsidP="005F3932">
            <w:pPr>
              <w:spacing w:after="0" w:line="240" w:lineRule="auto"/>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Number (N=450)</w:t>
            </w:r>
          </w:p>
        </w:tc>
        <w:tc>
          <w:tcPr>
            <w:tcW w:w="0" w:type="auto"/>
            <w:tcBorders>
              <w:top w:val="single" w:sz="4" w:space="0" w:color="auto"/>
              <w:left w:val="nil"/>
              <w:bottom w:val="single" w:sz="4" w:space="0" w:color="auto"/>
              <w:right w:val="nil"/>
            </w:tcBorders>
            <w:shd w:val="clear" w:color="auto" w:fill="auto"/>
            <w:noWrap/>
            <w:vAlign w:val="center"/>
            <w:hideMark/>
          </w:tcPr>
          <w:p w14:paraId="3C7446CA" w14:textId="77777777" w:rsidR="00EF6E62" w:rsidRPr="003F6924" w:rsidRDefault="00B543E4" w:rsidP="005F3932">
            <w:pPr>
              <w:spacing w:after="0" w:line="240" w:lineRule="auto"/>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Percentage (%)</w:t>
            </w:r>
          </w:p>
        </w:tc>
      </w:tr>
      <w:tr w:rsidR="0046229B" w:rsidRPr="003F6924" w14:paraId="475826EB" w14:textId="77777777" w:rsidTr="004159AA">
        <w:trPr>
          <w:trHeight w:val="397"/>
        </w:trPr>
        <w:tc>
          <w:tcPr>
            <w:tcW w:w="0" w:type="auto"/>
            <w:vMerge w:val="restart"/>
            <w:tcBorders>
              <w:top w:val="nil"/>
              <w:left w:val="nil"/>
              <w:bottom w:val="single" w:sz="4" w:space="0" w:color="000000"/>
              <w:right w:val="nil"/>
            </w:tcBorders>
            <w:shd w:val="clear" w:color="auto" w:fill="auto"/>
            <w:vAlign w:val="center"/>
            <w:hideMark/>
          </w:tcPr>
          <w:p w14:paraId="65F43C2D" w14:textId="77777777" w:rsidR="00EF6E62" w:rsidRPr="003F6924" w:rsidRDefault="00B543E4" w:rsidP="005F3932">
            <w:pPr>
              <w:spacing w:after="0" w:line="240" w:lineRule="auto"/>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Gender</w:t>
            </w:r>
          </w:p>
        </w:tc>
        <w:tc>
          <w:tcPr>
            <w:tcW w:w="0" w:type="auto"/>
            <w:tcBorders>
              <w:top w:val="nil"/>
              <w:left w:val="nil"/>
              <w:bottom w:val="nil"/>
              <w:right w:val="nil"/>
            </w:tcBorders>
            <w:shd w:val="clear" w:color="auto" w:fill="auto"/>
            <w:vAlign w:val="center"/>
            <w:hideMark/>
          </w:tcPr>
          <w:p w14:paraId="65B56C6D"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Male</w:t>
            </w:r>
          </w:p>
        </w:tc>
        <w:tc>
          <w:tcPr>
            <w:tcW w:w="0" w:type="auto"/>
            <w:tcBorders>
              <w:top w:val="nil"/>
              <w:left w:val="nil"/>
              <w:bottom w:val="nil"/>
              <w:right w:val="nil"/>
            </w:tcBorders>
            <w:shd w:val="clear" w:color="auto" w:fill="auto"/>
            <w:noWrap/>
            <w:vAlign w:val="center"/>
            <w:hideMark/>
          </w:tcPr>
          <w:p w14:paraId="7C0D88E1"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207</w:t>
            </w:r>
          </w:p>
        </w:tc>
        <w:tc>
          <w:tcPr>
            <w:tcW w:w="0" w:type="auto"/>
            <w:tcBorders>
              <w:top w:val="nil"/>
              <w:left w:val="nil"/>
              <w:bottom w:val="nil"/>
              <w:right w:val="nil"/>
            </w:tcBorders>
            <w:shd w:val="clear" w:color="auto" w:fill="auto"/>
            <w:noWrap/>
            <w:vAlign w:val="center"/>
            <w:hideMark/>
          </w:tcPr>
          <w:p w14:paraId="2E492689"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46.00</w:t>
            </w:r>
          </w:p>
        </w:tc>
      </w:tr>
      <w:tr w:rsidR="0046229B" w:rsidRPr="003F6924" w14:paraId="56A84747" w14:textId="77777777" w:rsidTr="004159AA">
        <w:trPr>
          <w:trHeight w:val="397"/>
        </w:trPr>
        <w:tc>
          <w:tcPr>
            <w:tcW w:w="0" w:type="auto"/>
            <w:vMerge/>
            <w:tcBorders>
              <w:top w:val="nil"/>
              <w:left w:val="nil"/>
              <w:bottom w:val="single" w:sz="4" w:space="0" w:color="000000"/>
              <w:right w:val="nil"/>
            </w:tcBorders>
            <w:vAlign w:val="center"/>
            <w:hideMark/>
          </w:tcPr>
          <w:p w14:paraId="1BD9D459"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single" w:sz="4" w:space="0" w:color="auto"/>
              <w:right w:val="nil"/>
            </w:tcBorders>
            <w:shd w:val="clear" w:color="auto" w:fill="auto"/>
            <w:vAlign w:val="center"/>
            <w:hideMark/>
          </w:tcPr>
          <w:p w14:paraId="0EB41F0B"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Female</w:t>
            </w:r>
          </w:p>
        </w:tc>
        <w:tc>
          <w:tcPr>
            <w:tcW w:w="0" w:type="auto"/>
            <w:tcBorders>
              <w:top w:val="nil"/>
              <w:left w:val="nil"/>
              <w:bottom w:val="single" w:sz="4" w:space="0" w:color="auto"/>
              <w:right w:val="nil"/>
            </w:tcBorders>
            <w:shd w:val="clear" w:color="auto" w:fill="auto"/>
            <w:noWrap/>
            <w:vAlign w:val="center"/>
            <w:hideMark/>
          </w:tcPr>
          <w:p w14:paraId="2F17B221"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243</w:t>
            </w:r>
          </w:p>
        </w:tc>
        <w:tc>
          <w:tcPr>
            <w:tcW w:w="0" w:type="auto"/>
            <w:tcBorders>
              <w:top w:val="nil"/>
              <w:left w:val="nil"/>
              <w:bottom w:val="single" w:sz="4" w:space="0" w:color="auto"/>
              <w:right w:val="nil"/>
            </w:tcBorders>
            <w:shd w:val="clear" w:color="auto" w:fill="auto"/>
            <w:noWrap/>
            <w:vAlign w:val="center"/>
            <w:hideMark/>
          </w:tcPr>
          <w:p w14:paraId="3B195A41"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54.00</w:t>
            </w:r>
          </w:p>
        </w:tc>
      </w:tr>
      <w:tr w:rsidR="0046229B" w:rsidRPr="003F6924" w14:paraId="5A5B911B" w14:textId="77777777" w:rsidTr="004159AA">
        <w:trPr>
          <w:trHeight w:val="397"/>
        </w:trPr>
        <w:tc>
          <w:tcPr>
            <w:tcW w:w="0" w:type="auto"/>
            <w:vMerge w:val="restart"/>
            <w:tcBorders>
              <w:top w:val="nil"/>
              <w:left w:val="nil"/>
              <w:bottom w:val="single" w:sz="4" w:space="0" w:color="000000"/>
              <w:right w:val="nil"/>
            </w:tcBorders>
            <w:shd w:val="clear" w:color="auto" w:fill="auto"/>
            <w:vAlign w:val="center"/>
            <w:hideMark/>
          </w:tcPr>
          <w:p w14:paraId="10C35C91" w14:textId="77777777" w:rsidR="00EF6E62" w:rsidRPr="003F6924" w:rsidRDefault="00B543E4" w:rsidP="005F3932">
            <w:pPr>
              <w:spacing w:after="0" w:line="240" w:lineRule="auto"/>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Age</w:t>
            </w:r>
          </w:p>
        </w:tc>
        <w:tc>
          <w:tcPr>
            <w:tcW w:w="0" w:type="auto"/>
            <w:tcBorders>
              <w:top w:val="nil"/>
              <w:left w:val="nil"/>
              <w:bottom w:val="nil"/>
              <w:right w:val="nil"/>
            </w:tcBorders>
            <w:shd w:val="clear" w:color="auto" w:fill="auto"/>
            <w:vAlign w:val="center"/>
            <w:hideMark/>
          </w:tcPr>
          <w:p w14:paraId="31C2DE20"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Below 20 years old</w:t>
            </w:r>
          </w:p>
        </w:tc>
        <w:tc>
          <w:tcPr>
            <w:tcW w:w="0" w:type="auto"/>
            <w:tcBorders>
              <w:top w:val="nil"/>
              <w:left w:val="nil"/>
              <w:bottom w:val="nil"/>
              <w:right w:val="nil"/>
            </w:tcBorders>
            <w:shd w:val="clear" w:color="auto" w:fill="auto"/>
            <w:noWrap/>
            <w:vAlign w:val="center"/>
            <w:hideMark/>
          </w:tcPr>
          <w:p w14:paraId="1BD034FD"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34</w:t>
            </w:r>
          </w:p>
        </w:tc>
        <w:tc>
          <w:tcPr>
            <w:tcW w:w="0" w:type="auto"/>
            <w:tcBorders>
              <w:top w:val="nil"/>
              <w:left w:val="nil"/>
              <w:bottom w:val="nil"/>
              <w:right w:val="nil"/>
            </w:tcBorders>
            <w:shd w:val="clear" w:color="auto" w:fill="auto"/>
            <w:noWrap/>
            <w:vAlign w:val="center"/>
            <w:hideMark/>
          </w:tcPr>
          <w:p w14:paraId="1D8D8CB4"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7.56</w:t>
            </w:r>
          </w:p>
        </w:tc>
      </w:tr>
      <w:tr w:rsidR="0046229B" w:rsidRPr="003F6924" w14:paraId="3D71723D" w14:textId="77777777" w:rsidTr="004159AA">
        <w:trPr>
          <w:trHeight w:val="397"/>
        </w:trPr>
        <w:tc>
          <w:tcPr>
            <w:tcW w:w="0" w:type="auto"/>
            <w:vMerge/>
            <w:tcBorders>
              <w:top w:val="nil"/>
              <w:left w:val="nil"/>
              <w:bottom w:val="single" w:sz="4" w:space="0" w:color="000000"/>
              <w:right w:val="nil"/>
            </w:tcBorders>
            <w:vAlign w:val="center"/>
            <w:hideMark/>
          </w:tcPr>
          <w:p w14:paraId="05DAB019"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31A26927"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[20-30</w:t>
            </w:r>
            <w:r w:rsidR="000007EA" w:rsidRPr="003F6924">
              <w:rPr>
                <w:rFonts w:ascii="Times New Roman" w:hAnsi="Times New Roman" w:cs="Times New Roman"/>
                <w:color w:val="000000" w:themeColor="text1"/>
                <w:sz w:val="24"/>
                <w:szCs w:val="24"/>
                <w:lang w:val="vi-VN"/>
              </w:rPr>
              <w:t>]</w:t>
            </w:r>
            <w:r w:rsidRPr="003F6924">
              <w:rPr>
                <w:rFonts w:ascii="Times New Roman" w:hAnsi="Times New Roman" w:cs="Times New Roman"/>
                <w:color w:val="000000" w:themeColor="text1"/>
                <w:sz w:val="24"/>
                <w:szCs w:val="24"/>
                <w:lang w:val="en-US"/>
              </w:rPr>
              <w:t xml:space="preserve"> years old</w:t>
            </w:r>
          </w:p>
        </w:tc>
        <w:tc>
          <w:tcPr>
            <w:tcW w:w="0" w:type="auto"/>
            <w:tcBorders>
              <w:top w:val="nil"/>
              <w:left w:val="nil"/>
              <w:bottom w:val="nil"/>
              <w:right w:val="nil"/>
            </w:tcBorders>
            <w:shd w:val="clear" w:color="auto" w:fill="auto"/>
            <w:noWrap/>
            <w:vAlign w:val="center"/>
            <w:hideMark/>
          </w:tcPr>
          <w:p w14:paraId="3EA8CE3E"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135</w:t>
            </w:r>
          </w:p>
        </w:tc>
        <w:tc>
          <w:tcPr>
            <w:tcW w:w="0" w:type="auto"/>
            <w:tcBorders>
              <w:top w:val="nil"/>
              <w:left w:val="nil"/>
              <w:bottom w:val="nil"/>
              <w:right w:val="nil"/>
            </w:tcBorders>
            <w:shd w:val="clear" w:color="auto" w:fill="auto"/>
            <w:noWrap/>
            <w:vAlign w:val="center"/>
            <w:hideMark/>
          </w:tcPr>
          <w:p w14:paraId="6CFCE887"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30.00</w:t>
            </w:r>
          </w:p>
        </w:tc>
      </w:tr>
      <w:tr w:rsidR="0046229B" w:rsidRPr="003F6924" w14:paraId="1CF96692" w14:textId="77777777" w:rsidTr="004159AA">
        <w:trPr>
          <w:trHeight w:val="397"/>
        </w:trPr>
        <w:tc>
          <w:tcPr>
            <w:tcW w:w="0" w:type="auto"/>
            <w:vMerge/>
            <w:tcBorders>
              <w:top w:val="nil"/>
              <w:left w:val="nil"/>
              <w:bottom w:val="single" w:sz="4" w:space="0" w:color="000000"/>
              <w:right w:val="nil"/>
            </w:tcBorders>
            <w:vAlign w:val="center"/>
            <w:hideMark/>
          </w:tcPr>
          <w:p w14:paraId="443856EA"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406B3729"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[3</w:t>
            </w:r>
            <w:r w:rsidR="000007EA" w:rsidRPr="003F6924">
              <w:rPr>
                <w:rFonts w:ascii="Times New Roman" w:hAnsi="Times New Roman" w:cs="Times New Roman"/>
                <w:color w:val="000000" w:themeColor="text1"/>
                <w:sz w:val="24"/>
                <w:szCs w:val="24"/>
                <w:lang w:val="vi-VN"/>
              </w:rPr>
              <w:t>1</w:t>
            </w:r>
            <w:r w:rsidRPr="003F6924">
              <w:rPr>
                <w:rFonts w:ascii="Times New Roman" w:hAnsi="Times New Roman" w:cs="Times New Roman"/>
                <w:color w:val="000000" w:themeColor="text1"/>
                <w:sz w:val="24"/>
                <w:szCs w:val="24"/>
                <w:lang w:val="en-US"/>
              </w:rPr>
              <w:t>-40</w:t>
            </w:r>
            <w:r w:rsidR="000007EA" w:rsidRPr="003F6924">
              <w:rPr>
                <w:rFonts w:ascii="Times New Roman" w:hAnsi="Times New Roman" w:cs="Times New Roman"/>
                <w:color w:val="000000" w:themeColor="text1"/>
                <w:sz w:val="24"/>
                <w:szCs w:val="24"/>
                <w:lang w:val="vi-VN"/>
              </w:rPr>
              <w:t>]</w:t>
            </w:r>
            <w:r w:rsidRPr="003F6924">
              <w:rPr>
                <w:rFonts w:ascii="Times New Roman" w:hAnsi="Times New Roman" w:cs="Times New Roman"/>
                <w:color w:val="000000" w:themeColor="text1"/>
                <w:sz w:val="24"/>
                <w:szCs w:val="24"/>
                <w:lang w:val="en-US"/>
              </w:rPr>
              <w:t xml:space="preserve"> years old</w:t>
            </w:r>
          </w:p>
        </w:tc>
        <w:tc>
          <w:tcPr>
            <w:tcW w:w="0" w:type="auto"/>
            <w:tcBorders>
              <w:top w:val="nil"/>
              <w:left w:val="nil"/>
              <w:bottom w:val="nil"/>
              <w:right w:val="nil"/>
            </w:tcBorders>
            <w:shd w:val="clear" w:color="auto" w:fill="auto"/>
            <w:noWrap/>
            <w:vAlign w:val="center"/>
            <w:hideMark/>
          </w:tcPr>
          <w:p w14:paraId="6C2FE5CD"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157</w:t>
            </w:r>
          </w:p>
        </w:tc>
        <w:tc>
          <w:tcPr>
            <w:tcW w:w="0" w:type="auto"/>
            <w:tcBorders>
              <w:top w:val="nil"/>
              <w:left w:val="nil"/>
              <w:bottom w:val="nil"/>
              <w:right w:val="nil"/>
            </w:tcBorders>
            <w:shd w:val="clear" w:color="auto" w:fill="auto"/>
            <w:noWrap/>
            <w:vAlign w:val="center"/>
            <w:hideMark/>
          </w:tcPr>
          <w:p w14:paraId="048FD560"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34.89</w:t>
            </w:r>
          </w:p>
        </w:tc>
      </w:tr>
      <w:tr w:rsidR="0046229B" w:rsidRPr="003F6924" w14:paraId="03A7004A" w14:textId="77777777" w:rsidTr="004159AA">
        <w:trPr>
          <w:trHeight w:val="397"/>
        </w:trPr>
        <w:tc>
          <w:tcPr>
            <w:tcW w:w="0" w:type="auto"/>
            <w:vMerge/>
            <w:tcBorders>
              <w:top w:val="nil"/>
              <w:left w:val="nil"/>
              <w:bottom w:val="single" w:sz="4" w:space="0" w:color="000000"/>
              <w:right w:val="nil"/>
            </w:tcBorders>
            <w:vAlign w:val="center"/>
            <w:hideMark/>
          </w:tcPr>
          <w:p w14:paraId="26E0A657"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135A0D08"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[4</w:t>
            </w:r>
            <w:r w:rsidR="000007EA" w:rsidRPr="003F6924">
              <w:rPr>
                <w:rFonts w:ascii="Times New Roman" w:hAnsi="Times New Roman" w:cs="Times New Roman"/>
                <w:color w:val="000000" w:themeColor="text1"/>
                <w:sz w:val="24"/>
                <w:szCs w:val="24"/>
                <w:lang w:val="vi-VN"/>
              </w:rPr>
              <w:t>1</w:t>
            </w:r>
            <w:r w:rsidRPr="003F6924">
              <w:rPr>
                <w:rFonts w:ascii="Times New Roman" w:hAnsi="Times New Roman" w:cs="Times New Roman"/>
                <w:color w:val="000000" w:themeColor="text1"/>
                <w:sz w:val="24"/>
                <w:szCs w:val="24"/>
                <w:lang w:val="en-US"/>
              </w:rPr>
              <w:t>-50</w:t>
            </w:r>
            <w:r w:rsidR="000007EA" w:rsidRPr="003F6924">
              <w:rPr>
                <w:rFonts w:ascii="Times New Roman" w:hAnsi="Times New Roman" w:cs="Times New Roman"/>
                <w:color w:val="000000" w:themeColor="text1"/>
                <w:sz w:val="24"/>
                <w:szCs w:val="24"/>
                <w:lang w:val="vi-VN"/>
              </w:rPr>
              <w:t>]</w:t>
            </w:r>
            <w:r w:rsidRPr="003F6924">
              <w:rPr>
                <w:rFonts w:ascii="Times New Roman" w:hAnsi="Times New Roman" w:cs="Times New Roman"/>
                <w:color w:val="000000" w:themeColor="text1"/>
                <w:sz w:val="24"/>
                <w:szCs w:val="24"/>
                <w:lang w:val="en-US"/>
              </w:rPr>
              <w:t xml:space="preserve"> years old</w:t>
            </w:r>
          </w:p>
        </w:tc>
        <w:tc>
          <w:tcPr>
            <w:tcW w:w="0" w:type="auto"/>
            <w:tcBorders>
              <w:top w:val="nil"/>
              <w:left w:val="nil"/>
              <w:bottom w:val="nil"/>
              <w:right w:val="nil"/>
            </w:tcBorders>
            <w:shd w:val="clear" w:color="auto" w:fill="auto"/>
            <w:noWrap/>
            <w:vAlign w:val="center"/>
            <w:hideMark/>
          </w:tcPr>
          <w:p w14:paraId="00B2B2F1"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76</w:t>
            </w:r>
          </w:p>
        </w:tc>
        <w:tc>
          <w:tcPr>
            <w:tcW w:w="0" w:type="auto"/>
            <w:tcBorders>
              <w:top w:val="nil"/>
              <w:left w:val="nil"/>
              <w:bottom w:val="nil"/>
              <w:right w:val="nil"/>
            </w:tcBorders>
            <w:shd w:val="clear" w:color="auto" w:fill="auto"/>
            <w:noWrap/>
            <w:vAlign w:val="center"/>
            <w:hideMark/>
          </w:tcPr>
          <w:p w14:paraId="62878284"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16.89</w:t>
            </w:r>
          </w:p>
        </w:tc>
      </w:tr>
      <w:tr w:rsidR="0046229B" w:rsidRPr="003F6924" w14:paraId="67E282D4" w14:textId="77777777" w:rsidTr="004159AA">
        <w:trPr>
          <w:trHeight w:val="397"/>
        </w:trPr>
        <w:tc>
          <w:tcPr>
            <w:tcW w:w="0" w:type="auto"/>
            <w:vMerge/>
            <w:tcBorders>
              <w:top w:val="nil"/>
              <w:left w:val="nil"/>
              <w:bottom w:val="single" w:sz="4" w:space="0" w:color="000000"/>
              <w:right w:val="nil"/>
            </w:tcBorders>
            <w:vAlign w:val="center"/>
            <w:hideMark/>
          </w:tcPr>
          <w:p w14:paraId="38C2B8E7"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213C3B3B"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[5</w:t>
            </w:r>
            <w:r w:rsidR="000007EA" w:rsidRPr="003F6924">
              <w:rPr>
                <w:rFonts w:ascii="Times New Roman" w:hAnsi="Times New Roman" w:cs="Times New Roman"/>
                <w:color w:val="000000" w:themeColor="text1"/>
                <w:sz w:val="24"/>
                <w:szCs w:val="24"/>
                <w:lang w:val="vi-VN"/>
              </w:rPr>
              <w:t>1</w:t>
            </w:r>
            <w:r w:rsidRPr="003F6924">
              <w:rPr>
                <w:rFonts w:ascii="Times New Roman" w:hAnsi="Times New Roman" w:cs="Times New Roman"/>
                <w:color w:val="000000" w:themeColor="text1"/>
                <w:sz w:val="24"/>
                <w:szCs w:val="24"/>
                <w:lang w:val="en-US"/>
              </w:rPr>
              <w:t>-60</w:t>
            </w:r>
            <w:r w:rsidR="000007EA" w:rsidRPr="003F6924">
              <w:rPr>
                <w:rFonts w:ascii="Times New Roman" w:hAnsi="Times New Roman" w:cs="Times New Roman"/>
                <w:color w:val="000000" w:themeColor="text1"/>
                <w:sz w:val="24"/>
                <w:szCs w:val="24"/>
                <w:lang w:val="vi-VN"/>
              </w:rPr>
              <w:t>]</w:t>
            </w:r>
            <w:r w:rsidRPr="003F6924">
              <w:rPr>
                <w:rFonts w:ascii="Times New Roman" w:hAnsi="Times New Roman" w:cs="Times New Roman"/>
                <w:color w:val="000000" w:themeColor="text1"/>
                <w:sz w:val="24"/>
                <w:szCs w:val="24"/>
                <w:lang w:val="en-US"/>
              </w:rPr>
              <w:t xml:space="preserve"> years old</w:t>
            </w:r>
          </w:p>
        </w:tc>
        <w:tc>
          <w:tcPr>
            <w:tcW w:w="0" w:type="auto"/>
            <w:tcBorders>
              <w:top w:val="nil"/>
              <w:left w:val="nil"/>
              <w:bottom w:val="nil"/>
              <w:right w:val="nil"/>
            </w:tcBorders>
            <w:shd w:val="clear" w:color="auto" w:fill="auto"/>
            <w:noWrap/>
            <w:vAlign w:val="center"/>
            <w:hideMark/>
          </w:tcPr>
          <w:p w14:paraId="1EB8FA96"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34</w:t>
            </w:r>
          </w:p>
        </w:tc>
        <w:tc>
          <w:tcPr>
            <w:tcW w:w="0" w:type="auto"/>
            <w:tcBorders>
              <w:top w:val="nil"/>
              <w:left w:val="nil"/>
              <w:bottom w:val="nil"/>
              <w:right w:val="nil"/>
            </w:tcBorders>
            <w:shd w:val="clear" w:color="auto" w:fill="auto"/>
            <w:noWrap/>
            <w:vAlign w:val="center"/>
            <w:hideMark/>
          </w:tcPr>
          <w:p w14:paraId="39721027"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7.56</w:t>
            </w:r>
          </w:p>
        </w:tc>
      </w:tr>
      <w:tr w:rsidR="0046229B" w:rsidRPr="003F6924" w14:paraId="5D48A8D3" w14:textId="77777777" w:rsidTr="004159AA">
        <w:trPr>
          <w:trHeight w:val="397"/>
        </w:trPr>
        <w:tc>
          <w:tcPr>
            <w:tcW w:w="0" w:type="auto"/>
            <w:vMerge/>
            <w:tcBorders>
              <w:top w:val="nil"/>
              <w:left w:val="nil"/>
              <w:bottom w:val="single" w:sz="4" w:space="0" w:color="000000"/>
              <w:right w:val="nil"/>
            </w:tcBorders>
            <w:vAlign w:val="center"/>
            <w:hideMark/>
          </w:tcPr>
          <w:p w14:paraId="77C1F6F9"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single" w:sz="4" w:space="0" w:color="auto"/>
              <w:right w:val="nil"/>
            </w:tcBorders>
            <w:shd w:val="clear" w:color="auto" w:fill="auto"/>
            <w:vAlign w:val="center"/>
            <w:hideMark/>
          </w:tcPr>
          <w:p w14:paraId="672CA73D"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from 60 years old</w:t>
            </w:r>
          </w:p>
        </w:tc>
        <w:tc>
          <w:tcPr>
            <w:tcW w:w="0" w:type="auto"/>
            <w:tcBorders>
              <w:top w:val="nil"/>
              <w:left w:val="nil"/>
              <w:bottom w:val="single" w:sz="4" w:space="0" w:color="auto"/>
              <w:right w:val="nil"/>
            </w:tcBorders>
            <w:shd w:val="clear" w:color="auto" w:fill="auto"/>
            <w:noWrap/>
            <w:vAlign w:val="center"/>
            <w:hideMark/>
          </w:tcPr>
          <w:p w14:paraId="3718C7DF"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16</w:t>
            </w:r>
          </w:p>
        </w:tc>
        <w:tc>
          <w:tcPr>
            <w:tcW w:w="0" w:type="auto"/>
            <w:tcBorders>
              <w:top w:val="nil"/>
              <w:left w:val="nil"/>
              <w:bottom w:val="single" w:sz="4" w:space="0" w:color="auto"/>
              <w:right w:val="nil"/>
            </w:tcBorders>
            <w:shd w:val="clear" w:color="auto" w:fill="auto"/>
            <w:noWrap/>
            <w:vAlign w:val="center"/>
            <w:hideMark/>
          </w:tcPr>
          <w:p w14:paraId="4CB88164"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3.56</w:t>
            </w:r>
          </w:p>
        </w:tc>
      </w:tr>
      <w:tr w:rsidR="0046229B" w:rsidRPr="003F6924" w14:paraId="485756B9" w14:textId="77777777" w:rsidTr="004159AA">
        <w:trPr>
          <w:trHeight w:val="397"/>
        </w:trPr>
        <w:tc>
          <w:tcPr>
            <w:tcW w:w="0" w:type="auto"/>
            <w:vMerge w:val="restart"/>
            <w:tcBorders>
              <w:top w:val="nil"/>
              <w:left w:val="nil"/>
              <w:bottom w:val="single" w:sz="4" w:space="0" w:color="000000"/>
              <w:right w:val="nil"/>
            </w:tcBorders>
            <w:shd w:val="clear" w:color="auto" w:fill="auto"/>
            <w:vAlign w:val="center"/>
            <w:hideMark/>
          </w:tcPr>
          <w:p w14:paraId="47819C24" w14:textId="77777777" w:rsidR="00EF6E62" w:rsidRPr="003F6924" w:rsidRDefault="00B543E4" w:rsidP="005F3932">
            <w:pPr>
              <w:spacing w:after="0" w:line="240" w:lineRule="auto"/>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Educational qualification</w:t>
            </w:r>
          </w:p>
        </w:tc>
        <w:tc>
          <w:tcPr>
            <w:tcW w:w="0" w:type="auto"/>
            <w:tcBorders>
              <w:top w:val="nil"/>
              <w:left w:val="nil"/>
              <w:bottom w:val="nil"/>
              <w:right w:val="nil"/>
            </w:tcBorders>
            <w:shd w:val="clear" w:color="auto" w:fill="auto"/>
            <w:vAlign w:val="center"/>
            <w:hideMark/>
          </w:tcPr>
          <w:p w14:paraId="524FE3B9"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High school</w:t>
            </w:r>
          </w:p>
        </w:tc>
        <w:tc>
          <w:tcPr>
            <w:tcW w:w="0" w:type="auto"/>
            <w:tcBorders>
              <w:top w:val="nil"/>
              <w:left w:val="nil"/>
              <w:bottom w:val="nil"/>
              <w:right w:val="nil"/>
            </w:tcBorders>
            <w:shd w:val="clear" w:color="auto" w:fill="auto"/>
            <w:noWrap/>
            <w:vAlign w:val="center"/>
            <w:hideMark/>
          </w:tcPr>
          <w:p w14:paraId="5DE01775"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63</w:t>
            </w:r>
          </w:p>
        </w:tc>
        <w:tc>
          <w:tcPr>
            <w:tcW w:w="0" w:type="auto"/>
            <w:tcBorders>
              <w:top w:val="nil"/>
              <w:left w:val="nil"/>
              <w:bottom w:val="nil"/>
              <w:right w:val="nil"/>
            </w:tcBorders>
            <w:shd w:val="clear" w:color="auto" w:fill="auto"/>
            <w:noWrap/>
            <w:vAlign w:val="center"/>
            <w:hideMark/>
          </w:tcPr>
          <w:p w14:paraId="78F0C8E1"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14.00</w:t>
            </w:r>
          </w:p>
        </w:tc>
      </w:tr>
      <w:tr w:rsidR="0046229B" w:rsidRPr="003F6924" w14:paraId="1E637D80" w14:textId="77777777" w:rsidTr="004159AA">
        <w:trPr>
          <w:trHeight w:val="397"/>
        </w:trPr>
        <w:tc>
          <w:tcPr>
            <w:tcW w:w="0" w:type="auto"/>
            <w:vMerge/>
            <w:tcBorders>
              <w:top w:val="nil"/>
              <w:left w:val="nil"/>
              <w:bottom w:val="single" w:sz="4" w:space="0" w:color="000000"/>
              <w:right w:val="nil"/>
            </w:tcBorders>
            <w:vAlign w:val="center"/>
            <w:hideMark/>
          </w:tcPr>
          <w:p w14:paraId="59A6E221"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723DED8B"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Vocational/College diploma</w:t>
            </w:r>
          </w:p>
        </w:tc>
        <w:tc>
          <w:tcPr>
            <w:tcW w:w="0" w:type="auto"/>
            <w:tcBorders>
              <w:top w:val="nil"/>
              <w:left w:val="nil"/>
              <w:bottom w:val="nil"/>
              <w:right w:val="nil"/>
            </w:tcBorders>
            <w:shd w:val="clear" w:color="auto" w:fill="auto"/>
            <w:noWrap/>
            <w:vAlign w:val="center"/>
            <w:hideMark/>
          </w:tcPr>
          <w:p w14:paraId="4CCEDA5E"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84</w:t>
            </w:r>
          </w:p>
        </w:tc>
        <w:tc>
          <w:tcPr>
            <w:tcW w:w="0" w:type="auto"/>
            <w:tcBorders>
              <w:top w:val="nil"/>
              <w:left w:val="nil"/>
              <w:bottom w:val="nil"/>
              <w:right w:val="nil"/>
            </w:tcBorders>
            <w:shd w:val="clear" w:color="auto" w:fill="auto"/>
            <w:noWrap/>
            <w:vAlign w:val="center"/>
            <w:hideMark/>
          </w:tcPr>
          <w:p w14:paraId="369C1F24"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18.67</w:t>
            </w:r>
          </w:p>
        </w:tc>
      </w:tr>
      <w:tr w:rsidR="0046229B" w:rsidRPr="003F6924" w14:paraId="5C0C6416" w14:textId="77777777" w:rsidTr="004159AA">
        <w:trPr>
          <w:trHeight w:val="397"/>
        </w:trPr>
        <w:tc>
          <w:tcPr>
            <w:tcW w:w="0" w:type="auto"/>
            <w:vMerge/>
            <w:tcBorders>
              <w:top w:val="nil"/>
              <w:left w:val="nil"/>
              <w:bottom w:val="single" w:sz="4" w:space="0" w:color="000000"/>
              <w:right w:val="nil"/>
            </w:tcBorders>
            <w:vAlign w:val="center"/>
            <w:hideMark/>
          </w:tcPr>
          <w:p w14:paraId="69D24DAC"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43FAA5D6"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Bachelor's degree</w:t>
            </w:r>
          </w:p>
        </w:tc>
        <w:tc>
          <w:tcPr>
            <w:tcW w:w="0" w:type="auto"/>
            <w:tcBorders>
              <w:top w:val="nil"/>
              <w:left w:val="nil"/>
              <w:bottom w:val="nil"/>
              <w:right w:val="nil"/>
            </w:tcBorders>
            <w:shd w:val="clear" w:color="auto" w:fill="auto"/>
            <w:noWrap/>
            <w:vAlign w:val="center"/>
            <w:hideMark/>
          </w:tcPr>
          <w:p w14:paraId="01B8E13B"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263</w:t>
            </w:r>
          </w:p>
        </w:tc>
        <w:tc>
          <w:tcPr>
            <w:tcW w:w="0" w:type="auto"/>
            <w:tcBorders>
              <w:top w:val="nil"/>
              <w:left w:val="nil"/>
              <w:bottom w:val="nil"/>
              <w:right w:val="nil"/>
            </w:tcBorders>
            <w:shd w:val="clear" w:color="auto" w:fill="auto"/>
            <w:noWrap/>
            <w:vAlign w:val="center"/>
            <w:hideMark/>
          </w:tcPr>
          <w:p w14:paraId="2CA549C9"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58.44</w:t>
            </w:r>
          </w:p>
        </w:tc>
      </w:tr>
      <w:tr w:rsidR="0046229B" w:rsidRPr="003F6924" w14:paraId="525A6824" w14:textId="77777777" w:rsidTr="004159AA">
        <w:trPr>
          <w:trHeight w:val="397"/>
        </w:trPr>
        <w:tc>
          <w:tcPr>
            <w:tcW w:w="0" w:type="auto"/>
            <w:vMerge/>
            <w:tcBorders>
              <w:top w:val="nil"/>
              <w:left w:val="nil"/>
              <w:bottom w:val="single" w:sz="4" w:space="0" w:color="000000"/>
              <w:right w:val="nil"/>
            </w:tcBorders>
            <w:vAlign w:val="center"/>
            <w:hideMark/>
          </w:tcPr>
          <w:p w14:paraId="62687615"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single" w:sz="4" w:space="0" w:color="auto"/>
              <w:right w:val="nil"/>
            </w:tcBorders>
            <w:shd w:val="clear" w:color="auto" w:fill="auto"/>
            <w:vAlign w:val="center"/>
            <w:hideMark/>
          </w:tcPr>
          <w:p w14:paraId="5C86F884"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Postgraduate degree (Master's/PhD)</w:t>
            </w:r>
          </w:p>
        </w:tc>
        <w:tc>
          <w:tcPr>
            <w:tcW w:w="0" w:type="auto"/>
            <w:tcBorders>
              <w:top w:val="nil"/>
              <w:left w:val="nil"/>
              <w:bottom w:val="single" w:sz="4" w:space="0" w:color="auto"/>
              <w:right w:val="nil"/>
            </w:tcBorders>
            <w:shd w:val="clear" w:color="auto" w:fill="auto"/>
            <w:noWrap/>
            <w:vAlign w:val="center"/>
            <w:hideMark/>
          </w:tcPr>
          <w:p w14:paraId="40F8C794"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40</w:t>
            </w:r>
          </w:p>
        </w:tc>
        <w:tc>
          <w:tcPr>
            <w:tcW w:w="0" w:type="auto"/>
            <w:tcBorders>
              <w:top w:val="nil"/>
              <w:left w:val="nil"/>
              <w:bottom w:val="single" w:sz="4" w:space="0" w:color="auto"/>
              <w:right w:val="nil"/>
            </w:tcBorders>
            <w:shd w:val="clear" w:color="auto" w:fill="auto"/>
            <w:noWrap/>
            <w:vAlign w:val="center"/>
            <w:hideMark/>
          </w:tcPr>
          <w:p w14:paraId="230D5AA0"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8.89</w:t>
            </w:r>
          </w:p>
        </w:tc>
      </w:tr>
      <w:tr w:rsidR="0046229B" w:rsidRPr="003F6924" w14:paraId="39B7C3CD" w14:textId="77777777" w:rsidTr="004159AA">
        <w:trPr>
          <w:trHeight w:val="397"/>
        </w:trPr>
        <w:tc>
          <w:tcPr>
            <w:tcW w:w="0" w:type="auto"/>
            <w:vMerge w:val="restart"/>
            <w:tcBorders>
              <w:top w:val="nil"/>
              <w:left w:val="nil"/>
              <w:bottom w:val="single" w:sz="4" w:space="0" w:color="000000"/>
              <w:right w:val="nil"/>
            </w:tcBorders>
            <w:shd w:val="clear" w:color="auto" w:fill="auto"/>
            <w:vAlign w:val="center"/>
            <w:hideMark/>
          </w:tcPr>
          <w:p w14:paraId="715A19DF" w14:textId="77777777" w:rsidR="00EF6E62" w:rsidRPr="003F6924" w:rsidRDefault="00B543E4" w:rsidP="005F3932">
            <w:pPr>
              <w:spacing w:after="0" w:line="240" w:lineRule="auto"/>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Income level</w:t>
            </w:r>
          </w:p>
        </w:tc>
        <w:tc>
          <w:tcPr>
            <w:tcW w:w="0" w:type="auto"/>
            <w:tcBorders>
              <w:top w:val="nil"/>
              <w:left w:val="nil"/>
              <w:bottom w:val="nil"/>
              <w:right w:val="nil"/>
            </w:tcBorders>
            <w:shd w:val="clear" w:color="auto" w:fill="auto"/>
            <w:vAlign w:val="center"/>
            <w:hideMark/>
          </w:tcPr>
          <w:p w14:paraId="289F7653"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Below 10 Million VND</w:t>
            </w:r>
          </w:p>
        </w:tc>
        <w:tc>
          <w:tcPr>
            <w:tcW w:w="0" w:type="auto"/>
            <w:tcBorders>
              <w:top w:val="nil"/>
              <w:left w:val="nil"/>
              <w:bottom w:val="nil"/>
              <w:right w:val="nil"/>
            </w:tcBorders>
            <w:shd w:val="clear" w:color="auto" w:fill="auto"/>
            <w:noWrap/>
            <w:vAlign w:val="center"/>
            <w:hideMark/>
          </w:tcPr>
          <w:p w14:paraId="088B20CD"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136</w:t>
            </w:r>
          </w:p>
        </w:tc>
        <w:tc>
          <w:tcPr>
            <w:tcW w:w="0" w:type="auto"/>
            <w:tcBorders>
              <w:top w:val="nil"/>
              <w:left w:val="nil"/>
              <w:bottom w:val="nil"/>
              <w:right w:val="nil"/>
            </w:tcBorders>
            <w:shd w:val="clear" w:color="auto" w:fill="auto"/>
            <w:noWrap/>
            <w:vAlign w:val="center"/>
            <w:hideMark/>
          </w:tcPr>
          <w:p w14:paraId="5C76195C"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30.22</w:t>
            </w:r>
          </w:p>
        </w:tc>
      </w:tr>
      <w:tr w:rsidR="0046229B" w:rsidRPr="003F6924" w14:paraId="05D0FEB4" w14:textId="77777777" w:rsidTr="004159AA">
        <w:trPr>
          <w:trHeight w:val="397"/>
        </w:trPr>
        <w:tc>
          <w:tcPr>
            <w:tcW w:w="0" w:type="auto"/>
            <w:vMerge/>
            <w:tcBorders>
              <w:top w:val="nil"/>
              <w:left w:val="nil"/>
              <w:bottom w:val="single" w:sz="4" w:space="0" w:color="000000"/>
              <w:right w:val="nil"/>
            </w:tcBorders>
            <w:vAlign w:val="center"/>
            <w:hideMark/>
          </w:tcPr>
          <w:p w14:paraId="59DF6018"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697663A4"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[10-20</w:t>
            </w:r>
            <w:r w:rsidR="000007EA" w:rsidRPr="003F6924">
              <w:rPr>
                <w:rFonts w:ascii="Times New Roman" w:hAnsi="Times New Roman" w:cs="Times New Roman"/>
                <w:color w:val="000000" w:themeColor="text1"/>
                <w:sz w:val="24"/>
                <w:szCs w:val="24"/>
                <w:lang w:val="vi-VN"/>
              </w:rPr>
              <w:t>]</w:t>
            </w:r>
            <w:r w:rsidRPr="003F6924">
              <w:rPr>
                <w:rFonts w:ascii="Times New Roman" w:hAnsi="Times New Roman" w:cs="Times New Roman"/>
                <w:color w:val="000000" w:themeColor="text1"/>
                <w:sz w:val="24"/>
                <w:szCs w:val="24"/>
                <w:lang w:val="en-US"/>
              </w:rPr>
              <w:t xml:space="preserve"> Million VND</w:t>
            </w:r>
          </w:p>
        </w:tc>
        <w:tc>
          <w:tcPr>
            <w:tcW w:w="0" w:type="auto"/>
            <w:tcBorders>
              <w:top w:val="nil"/>
              <w:left w:val="nil"/>
              <w:bottom w:val="nil"/>
              <w:right w:val="nil"/>
            </w:tcBorders>
            <w:shd w:val="clear" w:color="auto" w:fill="auto"/>
            <w:noWrap/>
            <w:vAlign w:val="center"/>
            <w:hideMark/>
          </w:tcPr>
          <w:p w14:paraId="7DD96C22"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170</w:t>
            </w:r>
          </w:p>
        </w:tc>
        <w:tc>
          <w:tcPr>
            <w:tcW w:w="0" w:type="auto"/>
            <w:tcBorders>
              <w:top w:val="nil"/>
              <w:left w:val="nil"/>
              <w:bottom w:val="nil"/>
              <w:right w:val="nil"/>
            </w:tcBorders>
            <w:shd w:val="clear" w:color="auto" w:fill="auto"/>
            <w:noWrap/>
            <w:vAlign w:val="center"/>
            <w:hideMark/>
          </w:tcPr>
          <w:p w14:paraId="1916413A"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37.78</w:t>
            </w:r>
          </w:p>
        </w:tc>
      </w:tr>
      <w:tr w:rsidR="0046229B" w:rsidRPr="003F6924" w14:paraId="16F7452C" w14:textId="77777777" w:rsidTr="004159AA">
        <w:trPr>
          <w:trHeight w:val="397"/>
        </w:trPr>
        <w:tc>
          <w:tcPr>
            <w:tcW w:w="0" w:type="auto"/>
            <w:vMerge/>
            <w:tcBorders>
              <w:top w:val="nil"/>
              <w:left w:val="nil"/>
              <w:bottom w:val="single" w:sz="4" w:space="0" w:color="000000"/>
              <w:right w:val="nil"/>
            </w:tcBorders>
            <w:vAlign w:val="center"/>
            <w:hideMark/>
          </w:tcPr>
          <w:p w14:paraId="3DC7EE72"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3A1367F4"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[2</w:t>
            </w:r>
            <w:r w:rsidR="000007EA" w:rsidRPr="003F6924">
              <w:rPr>
                <w:rFonts w:ascii="Times New Roman" w:hAnsi="Times New Roman" w:cs="Times New Roman"/>
                <w:color w:val="000000" w:themeColor="text1"/>
                <w:sz w:val="24"/>
                <w:szCs w:val="24"/>
                <w:lang w:val="vi-VN"/>
              </w:rPr>
              <w:t>1</w:t>
            </w:r>
            <w:r w:rsidRPr="003F6924">
              <w:rPr>
                <w:rFonts w:ascii="Times New Roman" w:hAnsi="Times New Roman" w:cs="Times New Roman"/>
                <w:color w:val="000000" w:themeColor="text1"/>
                <w:sz w:val="24"/>
                <w:szCs w:val="24"/>
                <w:lang w:val="en-US"/>
              </w:rPr>
              <w:t>-30</w:t>
            </w:r>
            <w:r w:rsidR="000007EA" w:rsidRPr="003F6924">
              <w:rPr>
                <w:rFonts w:ascii="Times New Roman" w:hAnsi="Times New Roman" w:cs="Times New Roman"/>
                <w:color w:val="000000" w:themeColor="text1"/>
                <w:sz w:val="24"/>
                <w:szCs w:val="24"/>
                <w:lang w:val="vi-VN"/>
              </w:rPr>
              <w:t>]</w:t>
            </w:r>
            <w:r w:rsidRPr="003F6924">
              <w:rPr>
                <w:rFonts w:ascii="Times New Roman" w:hAnsi="Times New Roman" w:cs="Times New Roman"/>
                <w:color w:val="000000" w:themeColor="text1"/>
                <w:sz w:val="24"/>
                <w:szCs w:val="24"/>
                <w:lang w:val="en-US"/>
              </w:rPr>
              <w:t xml:space="preserve"> Million VND</w:t>
            </w:r>
          </w:p>
        </w:tc>
        <w:tc>
          <w:tcPr>
            <w:tcW w:w="0" w:type="auto"/>
            <w:tcBorders>
              <w:top w:val="nil"/>
              <w:left w:val="nil"/>
              <w:bottom w:val="nil"/>
              <w:right w:val="nil"/>
            </w:tcBorders>
            <w:shd w:val="clear" w:color="auto" w:fill="auto"/>
            <w:noWrap/>
            <w:vAlign w:val="center"/>
            <w:hideMark/>
          </w:tcPr>
          <w:p w14:paraId="1587BBA2"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78</w:t>
            </w:r>
          </w:p>
        </w:tc>
        <w:tc>
          <w:tcPr>
            <w:tcW w:w="0" w:type="auto"/>
            <w:tcBorders>
              <w:top w:val="nil"/>
              <w:left w:val="nil"/>
              <w:bottom w:val="nil"/>
              <w:right w:val="nil"/>
            </w:tcBorders>
            <w:shd w:val="clear" w:color="auto" w:fill="auto"/>
            <w:noWrap/>
            <w:vAlign w:val="center"/>
            <w:hideMark/>
          </w:tcPr>
          <w:p w14:paraId="1335EDFA"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17.33</w:t>
            </w:r>
          </w:p>
        </w:tc>
      </w:tr>
      <w:tr w:rsidR="0046229B" w:rsidRPr="003F6924" w14:paraId="51559B06" w14:textId="77777777" w:rsidTr="004159AA">
        <w:trPr>
          <w:trHeight w:val="397"/>
        </w:trPr>
        <w:tc>
          <w:tcPr>
            <w:tcW w:w="0" w:type="auto"/>
            <w:vMerge/>
            <w:tcBorders>
              <w:top w:val="nil"/>
              <w:left w:val="nil"/>
              <w:bottom w:val="single" w:sz="4" w:space="0" w:color="000000"/>
              <w:right w:val="nil"/>
            </w:tcBorders>
            <w:vAlign w:val="center"/>
            <w:hideMark/>
          </w:tcPr>
          <w:p w14:paraId="2725690D"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613BD6D0"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[3</w:t>
            </w:r>
            <w:r w:rsidR="000007EA" w:rsidRPr="003F6924">
              <w:rPr>
                <w:rFonts w:ascii="Times New Roman" w:hAnsi="Times New Roman" w:cs="Times New Roman"/>
                <w:color w:val="000000" w:themeColor="text1"/>
                <w:sz w:val="24"/>
                <w:szCs w:val="24"/>
                <w:lang w:val="vi-VN"/>
              </w:rPr>
              <w:t>1</w:t>
            </w:r>
            <w:r w:rsidRPr="003F6924">
              <w:rPr>
                <w:rFonts w:ascii="Times New Roman" w:hAnsi="Times New Roman" w:cs="Times New Roman"/>
                <w:color w:val="000000" w:themeColor="text1"/>
                <w:sz w:val="24"/>
                <w:szCs w:val="24"/>
                <w:lang w:val="en-US"/>
              </w:rPr>
              <w:t>-40</w:t>
            </w:r>
            <w:r w:rsidR="000007EA" w:rsidRPr="003F6924">
              <w:rPr>
                <w:rFonts w:ascii="Times New Roman" w:hAnsi="Times New Roman" w:cs="Times New Roman"/>
                <w:color w:val="000000" w:themeColor="text1"/>
                <w:sz w:val="24"/>
                <w:szCs w:val="24"/>
                <w:lang w:val="vi-VN"/>
              </w:rPr>
              <w:t>]</w:t>
            </w:r>
            <w:r w:rsidRPr="003F6924">
              <w:rPr>
                <w:rFonts w:ascii="Times New Roman" w:hAnsi="Times New Roman" w:cs="Times New Roman"/>
                <w:color w:val="000000" w:themeColor="text1"/>
                <w:sz w:val="24"/>
                <w:szCs w:val="24"/>
                <w:lang w:val="en-US"/>
              </w:rPr>
              <w:t xml:space="preserve"> Million VND</w:t>
            </w:r>
          </w:p>
        </w:tc>
        <w:tc>
          <w:tcPr>
            <w:tcW w:w="0" w:type="auto"/>
            <w:tcBorders>
              <w:top w:val="nil"/>
              <w:left w:val="nil"/>
              <w:bottom w:val="nil"/>
              <w:right w:val="nil"/>
            </w:tcBorders>
            <w:shd w:val="clear" w:color="auto" w:fill="auto"/>
            <w:noWrap/>
            <w:vAlign w:val="center"/>
            <w:hideMark/>
          </w:tcPr>
          <w:p w14:paraId="4FACC127"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37</w:t>
            </w:r>
          </w:p>
        </w:tc>
        <w:tc>
          <w:tcPr>
            <w:tcW w:w="0" w:type="auto"/>
            <w:tcBorders>
              <w:top w:val="nil"/>
              <w:left w:val="nil"/>
              <w:bottom w:val="nil"/>
              <w:right w:val="nil"/>
            </w:tcBorders>
            <w:shd w:val="clear" w:color="auto" w:fill="auto"/>
            <w:noWrap/>
            <w:vAlign w:val="center"/>
            <w:hideMark/>
          </w:tcPr>
          <w:p w14:paraId="317ADBF9"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8.22</w:t>
            </w:r>
          </w:p>
        </w:tc>
      </w:tr>
      <w:tr w:rsidR="0046229B" w:rsidRPr="003F6924" w14:paraId="1A12BA3D" w14:textId="77777777" w:rsidTr="004159AA">
        <w:trPr>
          <w:trHeight w:val="397"/>
        </w:trPr>
        <w:tc>
          <w:tcPr>
            <w:tcW w:w="0" w:type="auto"/>
            <w:vMerge/>
            <w:tcBorders>
              <w:top w:val="nil"/>
              <w:left w:val="nil"/>
              <w:bottom w:val="single" w:sz="4" w:space="0" w:color="000000"/>
              <w:right w:val="nil"/>
            </w:tcBorders>
            <w:vAlign w:val="center"/>
            <w:hideMark/>
          </w:tcPr>
          <w:p w14:paraId="5C291E87"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single" w:sz="4" w:space="0" w:color="auto"/>
              <w:right w:val="nil"/>
            </w:tcBorders>
            <w:shd w:val="clear" w:color="auto" w:fill="auto"/>
            <w:vAlign w:val="center"/>
            <w:hideMark/>
          </w:tcPr>
          <w:p w14:paraId="308509B8"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Above 40 Million VND</w:t>
            </w:r>
          </w:p>
        </w:tc>
        <w:tc>
          <w:tcPr>
            <w:tcW w:w="0" w:type="auto"/>
            <w:tcBorders>
              <w:top w:val="nil"/>
              <w:left w:val="nil"/>
              <w:bottom w:val="single" w:sz="4" w:space="0" w:color="auto"/>
              <w:right w:val="nil"/>
            </w:tcBorders>
            <w:shd w:val="clear" w:color="auto" w:fill="auto"/>
            <w:noWrap/>
            <w:vAlign w:val="center"/>
            <w:hideMark/>
          </w:tcPr>
          <w:p w14:paraId="7AD2A82A"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29</w:t>
            </w:r>
          </w:p>
        </w:tc>
        <w:tc>
          <w:tcPr>
            <w:tcW w:w="0" w:type="auto"/>
            <w:tcBorders>
              <w:top w:val="nil"/>
              <w:left w:val="nil"/>
              <w:bottom w:val="single" w:sz="4" w:space="0" w:color="auto"/>
              <w:right w:val="nil"/>
            </w:tcBorders>
            <w:shd w:val="clear" w:color="auto" w:fill="auto"/>
            <w:noWrap/>
            <w:vAlign w:val="center"/>
            <w:hideMark/>
          </w:tcPr>
          <w:p w14:paraId="7E8A48AB"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6.44</w:t>
            </w:r>
          </w:p>
        </w:tc>
      </w:tr>
      <w:tr w:rsidR="0046229B" w:rsidRPr="003F6924" w14:paraId="62CE12CD" w14:textId="77777777" w:rsidTr="004159AA">
        <w:trPr>
          <w:trHeight w:val="397"/>
        </w:trPr>
        <w:tc>
          <w:tcPr>
            <w:tcW w:w="0" w:type="auto"/>
            <w:vMerge w:val="restart"/>
            <w:tcBorders>
              <w:top w:val="nil"/>
              <w:left w:val="nil"/>
              <w:bottom w:val="single" w:sz="4" w:space="0" w:color="000000"/>
              <w:right w:val="nil"/>
            </w:tcBorders>
            <w:shd w:val="clear" w:color="auto" w:fill="auto"/>
            <w:vAlign w:val="center"/>
            <w:hideMark/>
          </w:tcPr>
          <w:p w14:paraId="5B7F8236" w14:textId="77777777" w:rsidR="00EF6E62" w:rsidRPr="003F6924" w:rsidRDefault="00B543E4" w:rsidP="005F3932">
            <w:pPr>
              <w:spacing w:after="0" w:line="240" w:lineRule="auto"/>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Working experience</w:t>
            </w:r>
          </w:p>
        </w:tc>
        <w:tc>
          <w:tcPr>
            <w:tcW w:w="0" w:type="auto"/>
            <w:tcBorders>
              <w:top w:val="nil"/>
              <w:left w:val="nil"/>
              <w:bottom w:val="nil"/>
              <w:right w:val="nil"/>
            </w:tcBorders>
            <w:shd w:val="clear" w:color="auto" w:fill="auto"/>
            <w:vAlign w:val="center"/>
            <w:hideMark/>
          </w:tcPr>
          <w:p w14:paraId="45B33978"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Below 1 year</w:t>
            </w:r>
          </w:p>
        </w:tc>
        <w:tc>
          <w:tcPr>
            <w:tcW w:w="0" w:type="auto"/>
            <w:tcBorders>
              <w:top w:val="nil"/>
              <w:left w:val="nil"/>
              <w:bottom w:val="nil"/>
              <w:right w:val="nil"/>
            </w:tcBorders>
            <w:shd w:val="clear" w:color="auto" w:fill="auto"/>
            <w:noWrap/>
            <w:vAlign w:val="center"/>
            <w:hideMark/>
          </w:tcPr>
          <w:p w14:paraId="07B080FF"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69</w:t>
            </w:r>
          </w:p>
        </w:tc>
        <w:tc>
          <w:tcPr>
            <w:tcW w:w="0" w:type="auto"/>
            <w:tcBorders>
              <w:top w:val="nil"/>
              <w:left w:val="nil"/>
              <w:bottom w:val="nil"/>
              <w:right w:val="nil"/>
            </w:tcBorders>
            <w:shd w:val="clear" w:color="auto" w:fill="auto"/>
            <w:noWrap/>
            <w:vAlign w:val="center"/>
            <w:hideMark/>
          </w:tcPr>
          <w:p w14:paraId="1951664B"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15.33</w:t>
            </w:r>
          </w:p>
        </w:tc>
      </w:tr>
      <w:tr w:rsidR="0046229B" w:rsidRPr="003F6924" w14:paraId="02ECAD34" w14:textId="77777777" w:rsidTr="004159AA">
        <w:trPr>
          <w:trHeight w:val="397"/>
        </w:trPr>
        <w:tc>
          <w:tcPr>
            <w:tcW w:w="0" w:type="auto"/>
            <w:vMerge/>
            <w:tcBorders>
              <w:top w:val="nil"/>
              <w:left w:val="nil"/>
              <w:bottom w:val="single" w:sz="4" w:space="0" w:color="000000"/>
              <w:right w:val="nil"/>
            </w:tcBorders>
            <w:vAlign w:val="center"/>
            <w:hideMark/>
          </w:tcPr>
          <w:p w14:paraId="16B42E39"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195DFBD4"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[1-3</w:t>
            </w:r>
            <w:r w:rsidR="000007EA" w:rsidRPr="003F6924">
              <w:rPr>
                <w:rFonts w:ascii="Times New Roman" w:hAnsi="Times New Roman" w:cs="Times New Roman"/>
                <w:color w:val="000000" w:themeColor="text1"/>
                <w:sz w:val="24"/>
                <w:szCs w:val="24"/>
                <w:lang w:val="vi-VN"/>
              </w:rPr>
              <w:t>]</w:t>
            </w:r>
            <w:r w:rsidRPr="003F6924">
              <w:rPr>
                <w:rFonts w:ascii="Times New Roman" w:hAnsi="Times New Roman" w:cs="Times New Roman"/>
                <w:color w:val="000000" w:themeColor="text1"/>
                <w:sz w:val="24"/>
                <w:szCs w:val="24"/>
                <w:lang w:val="en-US"/>
              </w:rPr>
              <w:t xml:space="preserve"> years</w:t>
            </w:r>
          </w:p>
        </w:tc>
        <w:tc>
          <w:tcPr>
            <w:tcW w:w="0" w:type="auto"/>
            <w:tcBorders>
              <w:top w:val="nil"/>
              <w:left w:val="nil"/>
              <w:bottom w:val="nil"/>
              <w:right w:val="nil"/>
            </w:tcBorders>
            <w:shd w:val="clear" w:color="auto" w:fill="auto"/>
            <w:noWrap/>
            <w:vAlign w:val="center"/>
            <w:hideMark/>
          </w:tcPr>
          <w:p w14:paraId="4592B38E"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115</w:t>
            </w:r>
          </w:p>
        </w:tc>
        <w:tc>
          <w:tcPr>
            <w:tcW w:w="0" w:type="auto"/>
            <w:tcBorders>
              <w:top w:val="nil"/>
              <w:left w:val="nil"/>
              <w:bottom w:val="nil"/>
              <w:right w:val="nil"/>
            </w:tcBorders>
            <w:shd w:val="clear" w:color="auto" w:fill="auto"/>
            <w:noWrap/>
            <w:vAlign w:val="center"/>
            <w:hideMark/>
          </w:tcPr>
          <w:p w14:paraId="27FF29A0"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25.56</w:t>
            </w:r>
          </w:p>
        </w:tc>
      </w:tr>
      <w:tr w:rsidR="0046229B" w:rsidRPr="003F6924" w14:paraId="30F489CC" w14:textId="77777777" w:rsidTr="004159AA">
        <w:trPr>
          <w:trHeight w:val="397"/>
        </w:trPr>
        <w:tc>
          <w:tcPr>
            <w:tcW w:w="0" w:type="auto"/>
            <w:vMerge/>
            <w:tcBorders>
              <w:top w:val="nil"/>
              <w:left w:val="nil"/>
              <w:bottom w:val="single" w:sz="4" w:space="0" w:color="000000"/>
              <w:right w:val="nil"/>
            </w:tcBorders>
            <w:vAlign w:val="center"/>
            <w:hideMark/>
          </w:tcPr>
          <w:p w14:paraId="4CBD61B5"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185A30FA"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w:t>
            </w:r>
            <w:r w:rsidR="000007EA" w:rsidRPr="003F6924">
              <w:rPr>
                <w:rFonts w:ascii="Times New Roman" w:hAnsi="Times New Roman" w:cs="Times New Roman"/>
                <w:color w:val="000000" w:themeColor="text1"/>
                <w:sz w:val="24"/>
                <w:szCs w:val="24"/>
                <w:lang w:val="vi-VN"/>
              </w:rPr>
              <w:t>4</w:t>
            </w:r>
            <w:r w:rsidRPr="003F6924">
              <w:rPr>
                <w:rFonts w:ascii="Times New Roman" w:hAnsi="Times New Roman" w:cs="Times New Roman"/>
                <w:color w:val="000000" w:themeColor="text1"/>
                <w:sz w:val="24"/>
                <w:szCs w:val="24"/>
                <w:lang w:val="en-US"/>
              </w:rPr>
              <w:t>-5</w:t>
            </w:r>
            <w:r w:rsidR="000007EA" w:rsidRPr="003F6924">
              <w:rPr>
                <w:rFonts w:ascii="Times New Roman" w:hAnsi="Times New Roman" w:cs="Times New Roman"/>
                <w:color w:val="000000" w:themeColor="text1"/>
                <w:sz w:val="24"/>
                <w:szCs w:val="24"/>
                <w:lang w:val="vi-VN"/>
              </w:rPr>
              <w:t>]</w:t>
            </w:r>
            <w:r w:rsidRPr="003F6924">
              <w:rPr>
                <w:rFonts w:ascii="Times New Roman" w:hAnsi="Times New Roman" w:cs="Times New Roman"/>
                <w:color w:val="000000" w:themeColor="text1"/>
                <w:sz w:val="24"/>
                <w:szCs w:val="24"/>
                <w:lang w:val="en-US"/>
              </w:rPr>
              <w:t xml:space="preserve"> years</w:t>
            </w:r>
          </w:p>
        </w:tc>
        <w:tc>
          <w:tcPr>
            <w:tcW w:w="0" w:type="auto"/>
            <w:tcBorders>
              <w:top w:val="nil"/>
              <w:left w:val="nil"/>
              <w:bottom w:val="nil"/>
              <w:right w:val="nil"/>
            </w:tcBorders>
            <w:shd w:val="clear" w:color="auto" w:fill="auto"/>
            <w:noWrap/>
            <w:vAlign w:val="center"/>
            <w:hideMark/>
          </w:tcPr>
          <w:p w14:paraId="5715B798"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119</w:t>
            </w:r>
          </w:p>
        </w:tc>
        <w:tc>
          <w:tcPr>
            <w:tcW w:w="0" w:type="auto"/>
            <w:tcBorders>
              <w:top w:val="nil"/>
              <w:left w:val="nil"/>
              <w:bottom w:val="nil"/>
              <w:right w:val="nil"/>
            </w:tcBorders>
            <w:shd w:val="clear" w:color="auto" w:fill="auto"/>
            <w:noWrap/>
            <w:vAlign w:val="center"/>
            <w:hideMark/>
          </w:tcPr>
          <w:p w14:paraId="773114B6"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26.44</w:t>
            </w:r>
          </w:p>
        </w:tc>
      </w:tr>
      <w:tr w:rsidR="0046229B" w:rsidRPr="003F6924" w14:paraId="20446693" w14:textId="77777777" w:rsidTr="004159AA">
        <w:trPr>
          <w:trHeight w:val="397"/>
        </w:trPr>
        <w:tc>
          <w:tcPr>
            <w:tcW w:w="0" w:type="auto"/>
            <w:vMerge/>
            <w:tcBorders>
              <w:top w:val="nil"/>
              <w:left w:val="nil"/>
              <w:bottom w:val="single" w:sz="4" w:space="0" w:color="000000"/>
              <w:right w:val="nil"/>
            </w:tcBorders>
            <w:vAlign w:val="center"/>
            <w:hideMark/>
          </w:tcPr>
          <w:p w14:paraId="30571E5E"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single" w:sz="4" w:space="0" w:color="auto"/>
              <w:right w:val="nil"/>
            </w:tcBorders>
            <w:shd w:val="clear" w:color="auto" w:fill="auto"/>
            <w:vAlign w:val="center"/>
            <w:hideMark/>
          </w:tcPr>
          <w:p w14:paraId="1934CC06"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Above 5 years</w:t>
            </w:r>
          </w:p>
        </w:tc>
        <w:tc>
          <w:tcPr>
            <w:tcW w:w="0" w:type="auto"/>
            <w:tcBorders>
              <w:top w:val="nil"/>
              <w:left w:val="nil"/>
              <w:bottom w:val="single" w:sz="4" w:space="0" w:color="auto"/>
              <w:right w:val="nil"/>
            </w:tcBorders>
            <w:shd w:val="clear" w:color="auto" w:fill="auto"/>
            <w:noWrap/>
            <w:vAlign w:val="center"/>
            <w:hideMark/>
          </w:tcPr>
          <w:p w14:paraId="1983CDC9"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147</w:t>
            </w:r>
          </w:p>
        </w:tc>
        <w:tc>
          <w:tcPr>
            <w:tcW w:w="0" w:type="auto"/>
            <w:tcBorders>
              <w:top w:val="nil"/>
              <w:left w:val="nil"/>
              <w:bottom w:val="single" w:sz="4" w:space="0" w:color="auto"/>
              <w:right w:val="nil"/>
            </w:tcBorders>
            <w:shd w:val="clear" w:color="auto" w:fill="auto"/>
            <w:noWrap/>
            <w:vAlign w:val="center"/>
            <w:hideMark/>
          </w:tcPr>
          <w:p w14:paraId="707A560F"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32.67</w:t>
            </w:r>
          </w:p>
        </w:tc>
      </w:tr>
      <w:tr w:rsidR="0046229B" w:rsidRPr="003F6924" w14:paraId="1FB21894" w14:textId="77777777" w:rsidTr="004159AA">
        <w:trPr>
          <w:trHeight w:val="397"/>
        </w:trPr>
        <w:tc>
          <w:tcPr>
            <w:tcW w:w="0" w:type="auto"/>
            <w:vMerge w:val="restart"/>
            <w:tcBorders>
              <w:top w:val="nil"/>
              <w:left w:val="nil"/>
              <w:bottom w:val="single" w:sz="4" w:space="0" w:color="000000"/>
              <w:right w:val="nil"/>
            </w:tcBorders>
            <w:shd w:val="clear" w:color="auto" w:fill="auto"/>
            <w:vAlign w:val="center"/>
            <w:hideMark/>
          </w:tcPr>
          <w:p w14:paraId="7B1FE93E" w14:textId="77777777" w:rsidR="00EF6E62" w:rsidRPr="003F6924" w:rsidRDefault="00B543E4" w:rsidP="005F3932">
            <w:pPr>
              <w:spacing w:after="0" w:line="240" w:lineRule="auto"/>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Job Position</w:t>
            </w:r>
          </w:p>
        </w:tc>
        <w:tc>
          <w:tcPr>
            <w:tcW w:w="0" w:type="auto"/>
            <w:tcBorders>
              <w:top w:val="nil"/>
              <w:left w:val="nil"/>
              <w:bottom w:val="nil"/>
              <w:right w:val="nil"/>
            </w:tcBorders>
            <w:shd w:val="clear" w:color="auto" w:fill="auto"/>
            <w:vAlign w:val="center"/>
            <w:hideMark/>
          </w:tcPr>
          <w:p w14:paraId="1243F98B"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Bank Teller</w:t>
            </w:r>
          </w:p>
        </w:tc>
        <w:tc>
          <w:tcPr>
            <w:tcW w:w="0" w:type="auto"/>
            <w:tcBorders>
              <w:top w:val="nil"/>
              <w:left w:val="nil"/>
              <w:bottom w:val="nil"/>
              <w:right w:val="nil"/>
            </w:tcBorders>
            <w:shd w:val="clear" w:color="auto" w:fill="auto"/>
            <w:noWrap/>
            <w:vAlign w:val="bottom"/>
            <w:hideMark/>
          </w:tcPr>
          <w:p w14:paraId="54C91373"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160</w:t>
            </w:r>
          </w:p>
        </w:tc>
        <w:tc>
          <w:tcPr>
            <w:tcW w:w="0" w:type="auto"/>
            <w:tcBorders>
              <w:top w:val="nil"/>
              <w:left w:val="nil"/>
              <w:bottom w:val="nil"/>
              <w:right w:val="nil"/>
            </w:tcBorders>
            <w:shd w:val="clear" w:color="auto" w:fill="auto"/>
            <w:noWrap/>
            <w:vAlign w:val="bottom"/>
            <w:hideMark/>
          </w:tcPr>
          <w:p w14:paraId="40FC0755"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35.56</w:t>
            </w:r>
          </w:p>
        </w:tc>
      </w:tr>
      <w:tr w:rsidR="0046229B" w:rsidRPr="003F6924" w14:paraId="28622995" w14:textId="77777777" w:rsidTr="004159AA">
        <w:trPr>
          <w:trHeight w:val="397"/>
        </w:trPr>
        <w:tc>
          <w:tcPr>
            <w:tcW w:w="0" w:type="auto"/>
            <w:vMerge/>
            <w:tcBorders>
              <w:top w:val="nil"/>
              <w:left w:val="nil"/>
              <w:bottom w:val="single" w:sz="4" w:space="0" w:color="000000"/>
              <w:right w:val="nil"/>
            </w:tcBorders>
            <w:vAlign w:val="center"/>
            <w:hideMark/>
          </w:tcPr>
          <w:p w14:paraId="0E65B14C"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6E4F67AE"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Functional Officer</w:t>
            </w:r>
          </w:p>
        </w:tc>
        <w:tc>
          <w:tcPr>
            <w:tcW w:w="0" w:type="auto"/>
            <w:tcBorders>
              <w:top w:val="nil"/>
              <w:left w:val="nil"/>
              <w:bottom w:val="nil"/>
              <w:right w:val="nil"/>
            </w:tcBorders>
            <w:shd w:val="clear" w:color="auto" w:fill="auto"/>
            <w:noWrap/>
            <w:vAlign w:val="bottom"/>
            <w:hideMark/>
          </w:tcPr>
          <w:p w14:paraId="77496B74"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180</w:t>
            </w:r>
          </w:p>
        </w:tc>
        <w:tc>
          <w:tcPr>
            <w:tcW w:w="0" w:type="auto"/>
            <w:tcBorders>
              <w:top w:val="nil"/>
              <w:left w:val="nil"/>
              <w:bottom w:val="nil"/>
              <w:right w:val="nil"/>
            </w:tcBorders>
            <w:shd w:val="clear" w:color="auto" w:fill="auto"/>
            <w:noWrap/>
            <w:vAlign w:val="bottom"/>
            <w:hideMark/>
          </w:tcPr>
          <w:p w14:paraId="56AC3B0C"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40.00</w:t>
            </w:r>
          </w:p>
        </w:tc>
      </w:tr>
      <w:tr w:rsidR="0046229B" w:rsidRPr="003F6924" w14:paraId="100C1FC6" w14:textId="77777777" w:rsidTr="004159AA">
        <w:trPr>
          <w:trHeight w:val="397"/>
        </w:trPr>
        <w:tc>
          <w:tcPr>
            <w:tcW w:w="0" w:type="auto"/>
            <w:vMerge/>
            <w:tcBorders>
              <w:top w:val="nil"/>
              <w:left w:val="nil"/>
              <w:bottom w:val="single" w:sz="4" w:space="0" w:color="000000"/>
              <w:right w:val="nil"/>
            </w:tcBorders>
            <w:vAlign w:val="center"/>
            <w:hideMark/>
          </w:tcPr>
          <w:p w14:paraId="58E1F405"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6F5B5B2D"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Middle ma</w:t>
            </w:r>
            <w:r w:rsidR="000007EA" w:rsidRPr="003F6924">
              <w:rPr>
                <w:rFonts w:ascii="Times New Roman" w:hAnsi="Times New Roman" w:cs="Times New Roman"/>
                <w:color w:val="000000" w:themeColor="text1"/>
                <w:sz w:val="24"/>
                <w:szCs w:val="24"/>
                <w:lang w:val="vi-VN"/>
              </w:rPr>
              <w:t>n</w:t>
            </w:r>
            <w:r w:rsidRPr="003F6924">
              <w:rPr>
                <w:rFonts w:ascii="Times New Roman" w:hAnsi="Times New Roman" w:cs="Times New Roman"/>
                <w:color w:val="000000" w:themeColor="text1"/>
                <w:sz w:val="24"/>
                <w:szCs w:val="24"/>
                <w:lang w:val="en-US"/>
              </w:rPr>
              <w:t>ager</w:t>
            </w:r>
          </w:p>
        </w:tc>
        <w:tc>
          <w:tcPr>
            <w:tcW w:w="0" w:type="auto"/>
            <w:tcBorders>
              <w:top w:val="nil"/>
              <w:left w:val="nil"/>
              <w:bottom w:val="nil"/>
              <w:right w:val="nil"/>
            </w:tcBorders>
            <w:shd w:val="clear" w:color="auto" w:fill="auto"/>
            <w:noWrap/>
            <w:vAlign w:val="bottom"/>
            <w:hideMark/>
          </w:tcPr>
          <w:p w14:paraId="1EC5B4C0"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70</w:t>
            </w:r>
          </w:p>
        </w:tc>
        <w:tc>
          <w:tcPr>
            <w:tcW w:w="0" w:type="auto"/>
            <w:tcBorders>
              <w:top w:val="nil"/>
              <w:left w:val="nil"/>
              <w:bottom w:val="nil"/>
              <w:right w:val="nil"/>
            </w:tcBorders>
            <w:shd w:val="clear" w:color="auto" w:fill="auto"/>
            <w:noWrap/>
            <w:vAlign w:val="bottom"/>
            <w:hideMark/>
          </w:tcPr>
          <w:p w14:paraId="21B3F6B4"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15.56</w:t>
            </w:r>
          </w:p>
        </w:tc>
      </w:tr>
      <w:tr w:rsidR="0046229B" w:rsidRPr="003F6924" w14:paraId="38D6D74C" w14:textId="77777777" w:rsidTr="004159AA">
        <w:trPr>
          <w:trHeight w:val="397"/>
        </w:trPr>
        <w:tc>
          <w:tcPr>
            <w:tcW w:w="0" w:type="auto"/>
            <w:vMerge/>
            <w:tcBorders>
              <w:top w:val="nil"/>
              <w:left w:val="nil"/>
              <w:bottom w:val="single" w:sz="4" w:space="0" w:color="000000"/>
              <w:right w:val="nil"/>
            </w:tcBorders>
            <w:vAlign w:val="center"/>
            <w:hideMark/>
          </w:tcPr>
          <w:p w14:paraId="3C2BB43D"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single" w:sz="4" w:space="0" w:color="auto"/>
              <w:right w:val="nil"/>
            </w:tcBorders>
            <w:shd w:val="clear" w:color="auto" w:fill="auto"/>
            <w:vAlign w:val="center"/>
            <w:hideMark/>
          </w:tcPr>
          <w:p w14:paraId="73AE62AC"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Senior manager</w:t>
            </w:r>
          </w:p>
        </w:tc>
        <w:tc>
          <w:tcPr>
            <w:tcW w:w="0" w:type="auto"/>
            <w:tcBorders>
              <w:top w:val="nil"/>
              <w:left w:val="nil"/>
              <w:bottom w:val="single" w:sz="4" w:space="0" w:color="auto"/>
              <w:right w:val="nil"/>
            </w:tcBorders>
            <w:shd w:val="clear" w:color="auto" w:fill="auto"/>
            <w:noWrap/>
            <w:vAlign w:val="bottom"/>
            <w:hideMark/>
          </w:tcPr>
          <w:p w14:paraId="040C4A83"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40</w:t>
            </w:r>
          </w:p>
        </w:tc>
        <w:tc>
          <w:tcPr>
            <w:tcW w:w="0" w:type="auto"/>
            <w:tcBorders>
              <w:top w:val="nil"/>
              <w:left w:val="nil"/>
              <w:bottom w:val="single" w:sz="4" w:space="0" w:color="auto"/>
              <w:right w:val="nil"/>
            </w:tcBorders>
            <w:shd w:val="clear" w:color="auto" w:fill="auto"/>
            <w:noWrap/>
            <w:vAlign w:val="bottom"/>
            <w:hideMark/>
          </w:tcPr>
          <w:p w14:paraId="669337F6"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8.89</w:t>
            </w:r>
          </w:p>
        </w:tc>
      </w:tr>
      <w:tr w:rsidR="0046229B" w:rsidRPr="003F6924" w14:paraId="39BF3AE9" w14:textId="77777777" w:rsidTr="00EF6E62">
        <w:trPr>
          <w:trHeight w:val="20"/>
        </w:trPr>
        <w:tc>
          <w:tcPr>
            <w:tcW w:w="0" w:type="auto"/>
            <w:vMerge w:val="restart"/>
            <w:tcBorders>
              <w:top w:val="nil"/>
              <w:left w:val="nil"/>
              <w:bottom w:val="single" w:sz="4" w:space="0" w:color="000000"/>
              <w:right w:val="nil"/>
            </w:tcBorders>
            <w:shd w:val="clear" w:color="auto" w:fill="auto"/>
            <w:vAlign w:val="center"/>
            <w:hideMark/>
          </w:tcPr>
          <w:p w14:paraId="250E4CE9" w14:textId="77777777" w:rsidR="00EF6E62" w:rsidRPr="003F6924" w:rsidRDefault="00B543E4" w:rsidP="005F3932">
            <w:pPr>
              <w:spacing w:after="0" w:line="240" w:lineRule="auto"/>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Aspects of Digital Transformation Implemented by the Bank</w:t>
            </w:r>
          </w:p>
        </w:tc>
        <w:tc>
          <w:tcPr>
            <w:tcW w:w="0" w:type="auto"/>
            <w:tcBorders>
              <w:top w:val="nil"/>
              <w:left w:val="nil"/>
              <w:bottom w:val="nil"/>
              <w:right w:val="nil"/>
            </w:tcBorders>
            <w:shd w:val="clear" w:color="auto" w:fill="auto"/>
            <w:vAlign w:val="center"/>
            <w:hideMark/>
          </w:tcPr>
          <w:p w14:paraId="30A9595E"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Digital customer experience (innovation/transformation of services)</w:t>
            </w:r>
          </w:p>
        </w:tc>
        <w:tc>
          <w:tcPr>
            <w:tcW w:w="0" w:type="auto"/>
            <w:tcBorders>
              <w:top w:val="nil"/>
              <w:left w:val="nil"/>
              <w:bottom w:val="nil"/>
              <w:right w:val="nil"/>
            </w:tcBorders>
            <w:shd w:val="clear" w:color="auto" w:fill="auto"/>
            <w:noWrap/>
            <w:vAlign w:val="center"/>
            <w:hideMark/>
          </w:tcPr>
          <w:p w14:paraId="6BD63301"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222</w:t>
            </w:r>
          </w:p>
        </w:tc>
        <w:tc>
          <w:tcPr>
            <w:tcW w:w="0" w:type="auto"/>
            <w:tcBorders>
              <w:top w:val="nil"/>
              <w:left w:val="nil"/>
              <w:bottom w:val="nil"/>
              <w:right w:val="nil"/>
            </w:tcBorders>
            <w:shd w:val="clear" w:color="auto" w:fill="auto"/>
            <w:noWrap/>
            <w:vAlign w:val="center"/>
            <w:hideMark/>
          </w:tcPr>
          <w:p w14:paraId="136F8EA0"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49.33</w:t>
            </w:r>
          </w:p>
        </w:tc>
      </w:tr>
      <w:tr w:rsidR="0046229B" w:rsidRPr="003F6924" w14:paraId="75AEBB51" w14:textId="77777777" w:rsidTr="00EF6E62">
        <w:trPr>
          <w:trHeight w:val="20"/>
        </w:trPr>
        <w:tc>
          <w:tcPr>
            <w:tcW w:w="0" w:type="auto"/>
            <w:vMerge/>
            <w:tcBorders>
              <w:top w:val="nil"/>
              <w:left w:val="nil"/>
              <w:bottom w:val="single" w:sz="4" w:space="0" w:color="000000"/>
              <w:right w:val="nil"/>
            </w:tcBorders>
            <w:vAlign w:val="center"/>
            <w:hideMark/>
          </w:tcPr>
          <w:p w14:paraId="7843CB9E"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5BE75778"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Digital business strategy (marketing, investment portfolio, ecosystem, etc.)</w:t>
            </w:r>
          </w:p>
        </w:tc>
        <w:tc>
          <w:tcPr>
            <w:tcW w:w="0" w:type="auto"/>
            <w:tcBorders>
              <w:top w:val="nil"/>
              <w:left w:val="nil"/>
              <w:bottom w:val="nil"/>
              <w:right w:val="nil"/>
            </w:tcBorders>
            <w:shd w:val="clear" w:color="auto" w:fill="auto"/>
            <w:noWrap/>
            <w:vAlign w:val="center"/>
            <w:hideMark/>
          </w:tcPr>
          <w:p w14:paraId="55138629"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365</w:t>
            </w:r>
          </w:p>
        </w:tc>
        <w:tc>
          <w:tcPr>
            <w:tcW w:w="0" w:type="auto"/>
            <w:tcBorders>
              <w:top w:val="nil"/>
              <w:left w:val="nil"/>
              <w:bottom w:val="nil"/>
              <w:right w:val="nil"/>
            </w:tcBorders>
            <w:shd w:val="clear" w:color="auto" w:fill="auto"/>
            <w:noWrap/>
            <w:vAlign w:val="center"/>
            <w:hideMark/>
          </w:tcPr>
          <w:p w14:paraId="690EBE7D"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81.11</w:t>
            </w:r>
          </w:p>
        </w:tc>
      </w:tr>
      <w:tr w:rsidR="0046229B" w:rsidRPr="003F6924" w14:paraId="61152B9D" w14:textId="77777777" w:rsidTr="00EF6E62">
        <w:trPr>
          <w:trHeight w:val="20"/>
        </w:trPr>
        <w:tc>
          <w:tcPr>
            <w:tcW w:w="0" w:type="auto"/>
            <w:vMerge/>
            <w:tcBorders>
              <w:top w:val="nil"/>
              <w:left w:val="nil"/>
              <w:bottom w:val="single" w:sz="4" w:space="0" w:color="000000"/>
              <w:right w:val="nil"/>
            </w:tcBorders>
            <w:vAlign w:val="center"/>
            <w:hideMark/>
          </w:tcPr>
          <w:p w14:paraId="4B550092"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1703BB7B"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Information management system, safety, and cybersecurity</w:t>
            </w:r>
          </w:p>
        </w:tc>
        <w:tc>
          <w:tcPr>
            <w:tcW w:w="0" w:type="auto"/>
            <w:tcBorders>
              <w:top w:val="nil"/>
              <w:left w:val="nil"/>
              <w:bottom w:val="nil"/>
              <w:right w:val="nil"/>
            </w:tcBorders>
            <w:shd w:val="clear" w:color="auto" w:fill="auto"/>
            <w:noWrap/>
            <w:vAlign w:val="center"/>
            <w:hideMark/>
          </w:tcPr>
          <w:p w14:paraId="053C1A61"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135</w:t>
            </w:r>
          </w:p>
        </w:tc>
        <w:tc>
          <w:tcPr>
            <w:tcW w:w="0" w:type="auto"/>
            <w:tcBorders>
              <w:top w:val="nil"/>
              <w:left w:val="nil"/>
              <w:bottom w:val="nil"/>
              <w:right w:val="nil"/>
            </w:tcBorders>
            <w:shd w:val="clear" w:color="auto" w:fill="auto"/>
            <w:noWrap/>
            <w:vAlign w:val="center"/>
            <w:hideMark/>
          </w:tcPr>
          <w:p w14:paraId="6DCCB3A8"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30.00</w:t>
            </w:r>
          </w:p>
        </w:tc>
      </w:tr>
      <w:tr w:rsidR="0046229B" w:rsidRPr="003F6924" w14:paraId="07315251" w14:textId="77777777" w:rsidTr="004159AA">
        <w:trPr>
          <w:trHeight w:val="397"/>
        </w:trPr>
        <w:tc>
          <w:tcPr>
            <w:tcW w:w="0" w:type="auto"/>
            <w:vMerge/>
            <w:tcBorders>
              <w:top w:val="nil"/>
              <w:left w:val="nil"/>
              <w:bottom w:val="single" w:sz="4" w:space="0" w:color="000000"/>
              <w:right w:val="nil"/>
            </w:tcBorders>
            <w:vAlign w:val="center"/>
            <w:hideMark/>
          </w:tcPr>
          <w:p w14:paraId="04372258"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522D4A8E"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Operations</w:t>
            </w:r>
          </w:p>
        </w:tc>
        <w:tc>
          <w:tcPr>
            <w:tcW w:w="0" w:type="auto"/>
            <w:tcBorders>
              <w:top w:val="nil"/>
              <w:left w:val="nil"/>
              <w:bottom w:val="nil"/>
              <w:right w:val="nil"/>
            </w:tcBorders>
            <w:shd w:val="clear" w:color="auto" w:fill="auto"/>
            <w:noWrap/>
            <w:vAlign w:val="center"/>
            <w:hideMark/>
          </w:tcPr>
          <w:p w14:paraId="2E921975"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5</w:t>
            </w:r>
          </w:p>
        </w:tc>
        <w:tc>
          <w:tcPr>
            <w:tcW w:w="0" w:type="auto"/>
            <w:tcBorders>
              <w:top w:val="nil"/>
              <w:left w:val="nil"/>
              <w:bottom w:val="nil"/>
              <w:right w:val="nil"/>
            </w:tcBorders>
            <w:shd w:val="clear" w:color="auto" w:fill="auto"/>
            <w:noWrap/>
            <w:vAlign w:val="center"/>
            <w:hideMark/>
          </w:tcPr>
          <w:p w14:paraId="35E75840"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1.11</w:t>
            </w:r>
          </w:p>
        </w:tc>
      </w:tr>
      <w:tr w:rsidR="0046229B" w:rsidRPr="003F6924" w14:paraId="1A79AFBE" w14:textId="77777777" w:rsidTr="00EF6E62">
        <w:trPr>
          <w:trHeight w:val="20"/>
        </w:trPr>
        <w:tc>
          <w:tcPr>
            <w:tcW w:w="0" w:type="auto"/>
            <w:vMerge/>
            <w:tcBorders>
              <w:top w:val="nil"/>
              <w:left w:val="nil"/>
              <w:bottom w:val="single" w:sz="4" w:space="0" w:color="000000"/>
              <w:right w:val="nil"/>
            </w:tcBorders>
            <w:vAlign w:val="center"/>
            <w:hideMark/>
          </w:tcPr>
          <w:p w14:paraId="0A2F9059"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5DC14C2B"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Data (customer and internal bank information)</w:t>
            </w:r>
          </w:p>
        </w:tc>
        <w:tc>
          <w:tcPr>
            <w:tcW w:w="0" w:type="auto"/>
            <w:tcBorders>
              <w:top w:val="nil"/>
              <w:left w:val="nil"/>
              <w:bottom w:val="nil"/>
              <w:right w:val="nil"/>
            </w:tcBorders>
            <w:shd w:val="clear" w:color="auto" w:fill="auto"/>
            <w:noWrap/>
            <w:vAlign w:val="center"/>
            <w:hideMark/>
          </w:tcPr>
          <w:p w14:paraId="5B940368"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18</w:t>
            </w:r>
          </w:p>
        </w:tc>
        <w:tc>
          <w:tcPr>
            <w:tcW w:w="0" w:type="auto"/>
            <w:tcBorders>
              <w:top w:val="nil"/>
              <w:left w:val="nil"/>
              <w:bottom w:val="nil"/>
              <w:right w:val="nil"/>
            </w:tcBorders>
            <w:shd w:val="clear" w:color="auto" w:fill="auto"/>
            <w:noWrap/>
            <w:vAlign w:val="center"/>
            <w:hideMark/>
          </w:tcPr>
          <w:p w14:paraId="58539B4D"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4.00</w:t>
            </w:r>
          </w:p>
        </w:tc>
      </w:tr>
      <w:tr w:rsidR="0046229B" w:rsidRPr="003F6924" w14:paraId="00568868" w14:textId="77777777" w:rsidTr="004159AA">
        <w:trPr>
          <w:trHeight w:val="397"/>
        </w:trPr>
        <w:tc>
          <w:tcPr>
            <w:tcW w:w="0" w:type="auto"/>
            <w:vMerge/>
            <w:tcBorders>
              <w:top w:val="nil"/>
              <w:left w:val="nil"/>
              <w:bottom w:val="single" w:sz="4" w:space="0" w:color="000000"/>
              <w:right w:val="nil"/>
            </w:tcBorders>
            <w:vAlign w:val="center"/>
            <w:hideMark/>
          </w:tcPr>
          <w:p w14:paraId="4957CC89"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484E8CAB"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Corporate culture</w:t>
            </w:r>
          </w:p>
        </w:tc>
        <w:tc>
          <w:tcPr>
            <w:tcW w:w="0" w:type="auto"/>
            <w:tcBorders>
              <w:top w:val="nil"/>
              <w:left w:val="nil"/>
              <w:bottom w:val="nil"/>
              <w:right w:val="nil"/>
            </w:tcBorders>
            <w:shd w:val="clear" w:color="auto" w:fill="auto"/>
            <w:noWrap/>
            <w:vAlign w:val="center"/>
            <w:hideMark/>
          </w:tcPr>
          <w:p w14:paraId="0877615A"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14</w:t>
            </w:r>
          </w:p>
        </w:tc>
        <w:tc>
          <w:tcPr>
            <w:tcW w:w="0" w:type="auto"/>
            <w:tcBorders>
              <w:top w:val="nil"/>
              <w:left w:val="nil"/>
              <w:bottom w:val="nil"/>
              <w:right w:val="nil"/>
            </w:tcBorders>
            <w:shd w:val="clear" w:color="auto" w:fill="auto"/>
            <w:noWrap/>
            <w:vAlign w:val="center"/>
            <w:hideMark/>
          </w:tcPr>
          <w:p w14:paraId="66DE7C61"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3.11</w:t>
            </w:r>
          </w:p>
        </w:tc>
      </w:tr>
      <w:tr w:rsidR="0046229B" w:rsidRPr="003F6924" w14:paraId="6ACE5966" w14:textId="77777777" w:rsidTr="004159AA">
        <w:trPr>
          <w:trHeight w:val="397"/>
        </w:trPr>
        <w:tc>
          <w:tcPr>
            <w:tcW w:w="0" w:type="auto"/>
            <w:vMerge/>
            <w:tcBorders>
              <w:top w:val="nil"/>
              <w:left w:val="nil"/>
              <w:bottom w:val="single" w:sz="4" w:space="0" w:color="000000"/>
              <w:right w:val="nil"/>
            </w:tcBorders>
            <w:vAlign w:val="center"/>
            <w:hideMark/>
          </w:tcPr>
          <w:p w14:paraId="12BBB83A"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single" w:sz="4" w:space="0" w:color="auto"/>
              <w:right w:val="nil"/>
            </w:tcBorders>
            <w:shd w:val="clear" w:color="auto" w:fill="auto"/>
            <w:vAlign w:val="center"/>
            <w:hideMark/>
          </w:tcPr>
          <w:p w14:paraId="4697569F"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Others</w:t>
            </w:r>
          </w:p>
        </w:tc>
        <w:tc>
          <w:tcPr>
            <w:tcW w:w="0" w:type="auto"/>
            <w:tcBorders>
              <w:top w:val="nil"/>
              <w:left w:val="nil"/>
              <w:bottom w:val="single" w:sz="4" w:space="0" w:color="auto"/>
              <w:right w:val="nil"/>
            </w:tcBorders>
            <w:shd w:val="clear" w:color="auto" w:fill="auto"/>
            <w:noWrap/>
            <w:vAlign w:val="center"/>
            <w:hideMark/>
          </w:tcPr>
          <w:p w14:paraId="36E2F9E5"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8</w:t>
            </w:r>
          </w:p>
        </w:tc>
        <w:tc>
          <w:tcPr>
            <w:tcW w:w="0" w:type="auto"/>
            <w:tcBorders>
              <w:top w:val="nil"/>
              <w:left w:val="nil"/>
              <w:bottom w:val="single" w:sz="4" w:space="0" w:color="auto"/>
              <w:right w:val="nil"/>
            </w:tcBorders>
            <w:shd w:val="clear" w:color="auto" w:fill="auto"/>
            <w:noWrap/>
            <w:vAlign w:val="center"/>
            <w:hideMark/>
          </w:tcPr>
          <w:p w14:paraId="3C9993F8"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1.78</w:t>
            </w:r>
          </w:p>
        </w:tc>
      </w:tr>
      <w:tr w:rsidR="0046229B" w:rsidRPr="003F6924" w14:paraId="04F5502A" w14:textId="77777777" w:rsidTr="00EF6E62">
        <w:trPr>
          <w:trHeight w:val="20"/>
        </w:trPr>
        <w:tc>
          <w:tcPr>
            <w:tcW w:w="0" w:type="auto"/>
            <w:vMerge w:val="restart"/>
            <w:tcBorders>
              <w:top w:val="nil"/>
              <w:left w:val="nil"/>
              <w:bottom w:val="single" w:sz="4" w:space="0" w:color="000000"/>
              <w:right w:val="nil"/>
            </w:tcBorders>
            <w:shd w:val="clear" w:color="auto" w:fill="auto"/>
            <w:vAlign w:val="center"/>
            <w:hideMark/>
          </w:tcPr>
          <w:p w14:paraId="094882C3" w14:textId="77777777" w:rsidR="00EF6E62" w:rsidRPr="003F6924" w:rsidRDefault="00B543E4" w:rsidP="005F3932">
            <w:pPr>
              <w:spacing w:after="0" w:line="240" w:lineRule="auto"/>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Objectives of the Bank’s Digital Transformation</w:t>
            </w:r>
          </w:p>
        </w:tc>
        <w:tc>
          <w:tcPr>
            <w:tcW w:w="0" w:type="auto"/>
            <w:tcBorders>
              <w:top w:val="nil"/>
              <w:left w:val="nil"/>
              <w:bottom w:val="nil"/>
              <w:right w:val="nil"/>
            </w:tcBorders>
            <w:shd w:val="clear" w:color="auto" w:fill="auto"/>
            <w:vAlign w:val="center"/>
            <w:hideMark/>
          </w:tcPr>
          <w:p w14:paraId="3DCD2B1D" w14:textId="77777777" w:rsidR="00EF6E62" w:rsidRPr="003F6924" w:rsidRDefault="00B543E4" w:rsidP="005F3932">
            <w:pPr>
              <w:spacing w:after="0" w:line="240" w:lineRule="auto"/>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Increase operational/business efficiency</w:t>
            </w:r>
          </w:p>
        </w:tc>
        <w:tc>
          <w:tcPr>
            <w:tcW w:w="0" w:type="auto"/>
            <w:tcBorders>
              <w:top w:val="nil"/>
              <w:left w:val="nil"/>
              <w:bottom w:val="nil"/>
              <w:right w:val="nil"/>
            </w:tcBorders>
            <w:shd w:val="clear" w:color="auto" w:fill="auto"/>
            <w:noWrap/>
            <w:vAlign w:val="center"/>
            <w:hideMark/>
          </w:tcPr>
          <w:p w14:paraId="02FBBAD3"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75</w:t>
            </w:r>
          </w:p>
        </w:tc>
        <w:tc>
          <w:tcPr>
            <w:tcW w:w="0" w:type="auto"/>
            <w:tcBorders>
              <w:top w:val="nil"/>
              <w:left w:val="nil"/>
              <w:bottom w:val="nil"/>
              <w:right w:val="nil"/>
            </w:tcBorders>
            <w:shd w:val="clear" w:color="auto" w:fill="auto"/>
            <w:noWrap/>
            <w:vAlign w:val="center"/>
            <w:hideMark/>
          </w:tcPr>
          <w:p w14:paraId="0E3AE87A"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16.67</w:t>
            </w:r>
          </w:p>
        </w:tc>
      </w:tr>
      <w:tr w:rsidR="0046229B" w:rsidRPr="003F6924" w14:paraId="0FA8EEB6" w14:textId="77777777" w:rsidTr="00EF6E62">
        <w:trPr>
          <w:trHeight w:val="20"/>
        </w:trPr>
        <w:tc>
          <w:tcPr>
            <w:tcW w:w="0" w:type="auto"/>
            <w:vMerge/>
            <w:tcBorders>
              <w:top w:val="nil"/>
              <w:left w:val="nil"/>
              <w:bottom w:val="single" w:sz="4" w:space="0" w:color="000000"/>
              <w:right w:val="nil"/>
            </w:tcBorders>
            <w:vAlign w:val="center"/>
            <w:hideMark/>
          </w:tcPr>
          <w:p w14:paraId="52111C72"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757D1C4D" w14:textId="77777777" w:rsidR="00EF6E62" w:rsidRPr="003F6924" w:rsidRDefault="00B543E4" w:rsidP="00D55894">
            <w:pPr>
              <w:spacing w:after="0" w:line="240" w:lineRule="auto"/>
              <w:jc w:val="both"/>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Strengthen customer relationships</w:t>
            </w:r>
          </w:p>
        </w:tc>
        <w:tc>
          <w:tcPr>
            <w:tcW w:w="0" w:type="auto"/>
            <w:tcBorders>
              <w:top w:val="nil"/>
              <w:left w:val="nil"/>
              <w:bottom w:val="nil"/>
              <w:right w:val="nil"/>
            </w:tcBorders>
            <w:shd w:val="clear" w:color="auto" w:fill="auto"/>
            <w:noWrap/>
            <w:vAlign w:val="center"/>
            <w:hideMark/>
          </w:tcPr>
          <w:p w14:paraId="5BB39C79"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2</w:t>
            </w:r>
          </w:p>
        </w:tc>
        <w:tc>
          <w:tcPr>
            <w:tcW w:w="0" w:type="auto"/>
            <w:tcBorders>
              <w:top w:val="nil"/>
              <w:left w:val="nil"/>
              <w:bottom w:val="nil"/>
              <w:right w:val="nil"/>
            </w:tcBorders>
            <w:shd w:val="clear" w:color="auto" w:fill="auto"/>
            <w:noWrap/>
            <w:vAlign w:val="center"/>
            <w:hideMark/>
          </w:tcPr>
          <w:p w14:paraId="1486BA62"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0.44</w:t>
            </w:r>
          </w:p>
        </w:tc>
      </w:tr>
      <w:tr w:rsidR="0046229B" w:rsidRPr="003F6924" w14:paraId="0E68316C" w14:textId="77777777" w:rsidTr="00EF6E62">
        <w:trPr>
          <w:trHeight w:val="20"/>
        </w:trPr>
        <w:tc>
          <w:tcPr>
            <w:tcW w:w="0" w:type="auto"/>
            <w:vMerge/>
            <w:tcBorders>
              <w:top w:val="nil"/>
              <w:left w:val="nil"/>
              <w:bottom w:val="single" w:sz="4" w:space="0" w:color="000000"/>
              <w:right w:val="nil"/>
            </w:tcBorders>
            <w:vAlign w:val="center"/>
            <w:hideMark/>
          </w:tcPr>
          <w:p w14:paraId="5EDA7CEE" w14:textId="77777777" w:rsidR="00EF6E62" w:rsidRPr="003F6924" w:rsidRDefault="00EF6E62" w:rsidP="005F3932">
            <w:pPr>
              <w:spacing w:after="0" w:line="240" w:lineRule="auto"/>
              <w:rPr>
                <w:rFonts w:ascii="Times New Roman" w:hAnsi="Times New Roman" w:cs="Times New Roman"/>
                <w:b/>
                <w:bCs/>
                <w:color w:val="000000" w:themeColor="text1"/>
                <w:sz w:val="24"/>
                <w:szCs w:val="24"/>
                <w:lang w:val="en-US"/>
              </w:rPr>
            </w:pPr>
          </w:p>
        </w:tc>
        <w:tc>
          <w:tcPr>
            <w:tcW w:w="0" w:type="auto"/>
            <w:tcBorders>
              <w:top w:val="nil"/>
              <w:left w:val="nil"/>
              <w:bottom w:val="single" w:sz="4" w:space="0" w:color="auto"/>
              <w:right w:val="nil"/>
            </w:tcBorders>
            <w:shd w:val="clear" w:color="auto" w:fill="auto"/>
            <w:vAlign w:val="center"/>
            <w:hideMark/>
          </w:tcPr>
          <w:p w14:paraId="7EF794DE" w14:textId="77777777" w:rsidR="00EF6E62" w:rsidRPr="003F6924" w:rsidRDefault="00B543E4" w:rsidP="00D55894">
            <w:pPr>
              <w:spacing w:after="0" w:line="240" w:lineRule="auto"/>
              <w:jc w:val="both"/>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Enhance the bank’s competitiveness in the market</w:t>
            </w:r>
          </w:p>
        </w:tc>
        <w:tc>
          <w:tcPr>
            <w:tcW w:w="0" w:type="auto"/>
            <w:tcBorders>
              <w:top w:val="nil"/>
              <w:left w:val="nil"/>
              <w:bottom w:val="single" w:sz="4" w:space="0" w:color="auto"/>
              <w:right w:val="nil"/>
            </w:tcBorders>
            <w:shd w:val="clear" w:color="auto" w:fill="auto"/>
            <w:noWrap/>
            <w:vAlign w:val="center"/>
            <w:hideMark/>
          </w:tcPr>
          <w:p w14:paraId="7B1703C1"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w:t>
            </w:r>
          </w:p>
        </w:tc>
        <w:tc>
          <w:tcPr>
            <w:tcW w:w="0" w:type="auto"/>
            <w:tcBorders>
              <w:top w:val="nil"/>
              <w:left w:val="nil"/>
              <w:bottom w:val="single" w:sz="4" w:space="0" w:color="auto"/>
              <w:right w:val="nil"/>
            </w:tcBorders>
            <w:shd w:val="clear" w:color="auto" w:fill="auto"/>
            <w:noWrap/>
            <w:vAlign w:val="center"/>
            <w:hideMark/>
          </w:tcPr>
          <w:p w14:paraId="3CF7EDBD"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0.22</w:t>
            </w:r>
          </w:p>
        </w:tc>
      </w:tr>
      <w:tr w:rsidR="0046229B" w:rsidRPr="003F6924" w14:paraId="38E04194" w14:textId="77777777" w:rsidTr="004159AA">
        <w:trPr>
          <w:trHeight w:val="453"/>
        </w:trPr>
        <w:tc>
          <w:tcPr>
            <w:tcW w:w="0" w:type="auto"/>
            <w:vMerge w:val="restart"/>
            <w:tcBorders>
              <w:top w:val="nil"/>
              <w:left w:val="nil"/>
              <w:bottom w:val="single" w:sz="4" w:space="0" w:color="000000"/>
              <w:right w:val="nil"/>
            </w:tcBorders>
            <w:shd w:val="clear" w:color="auto" w:fill="auto"/>
            <w:vAlign w:val="center"/>
            <w:hideMark/>
          </w:tcPr>
          <w:p w14:paraId="4E3CB3D5" w14:textId="77777777" w:rsidR="00EF6E62" w:rsidRPr="003F6924" w:rsidRDefault="00B543E4" w:rsidP="005F3932">
            <w:pPr>
              <w:spacing w:after="0" w:line="240" w:lineRule="auto"/>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Overall Evaluation of the Bank’s Digital Transformation Level</w:t>
            </w:r>
          </w:p>
        </w:tc>
        <w:tc>
          <w:tcPr>
            <w:tcW w:w="0" w:type="auto"/>
            <w:tcBorders>
              <w:top w:val="nil"/>
              <w:left w:val="nil"/>
              <w:bottom w:val="nil"/>
              <w:right w:val="nil"/>
            </w:tcBorders>
            <w:shd w:val="clear" w:color="auto" w:fill="auto"/>
            <w:vAlign w:val="center"/>
            <w:hideMark/>
          </w:tcPr>
          <w:p w14:paraId="09CBC3AE" w14:textId="77777777" w:rsidR="00EF6E62" w:rsidRPr="003F6924" w:rsidRDefault="00B543E4" w:rsidP="00D55894">
            <w:pPr>
              <w:spacing w:after="0" w:line="240" w:lineRule="auto"/>
              <w:jc w:val="both"/>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Level 1-3</w:t>
            </w:r>
          </w:p>
        </w:tc>
        <w:tc>
          <w:tcPr>
            <w:tcW w:w="0" w:type="auto"/>
            <w:tcBorders>
              <w:top w:val="nil"/>
              <w:left w:val="nil"/>
              <w:bottom w:val="nil"/>
              <w:right w:val="nil"/>
            </w:tcBorders>
            <w:shd w:val="clear" w:color="auto" w:fill="auto"/>
            <w:noWrap/>
            <w:vAlign w:val="center"/>
            <w:hideMark/>
          </w:tcPr>
          <w:p w14:paraId="691EA0C2"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78</w:t>
            </w:r>
          </w:p>
        </w:tc>
        <w:tc>
          <w:tcPr>
            <w:tcW w:w="0" w:type="auto"/>
            <w:tcBorders>
              <w:top w:val="nil"/>
              <w:left w:val="nil"/>
              <w:bottom w:val="nil"/>
              <w:right w:val="nil"/>
            </w:tcBorders>
            <w:shd w:val="clear" w:color="auto" w:fill="auto"/>
            <w:noWrap/>
            <w:vAlign w:val="center"/>
            <w:hideMark/>
          </w:tcPr>
          <w:p w14:paraId="570A154E"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17.33</w:t>
            </w:r>
          </w:p>
        </w:tc>
      </w:tr>
      <w:tr w:rsidR="0046229B" w:rsidRPr="003F6924" w14:paraId="799F1EB0" w14:textId="77777777" w:rsidTr="004159AA">
        <w:trPr>
          <w:trHeight w:val="453"/>
        </w:trPr>
        <w:tc>
          <w:tcPr>
            <w:tcW w:w="0" w:type="auto"/>
            <w:vMerge/>
            <w:tcBorders>
              <w:top w:val="nil"/>
              <w:left w:val="nil"/>
              <w:bottom w:val="single" w:sz="4" w:space="0" w:color="000000"/>
              <w:right w:val="nil"/>
            </w:tcBorders>
            <w:vAlign w:val="center"/>
            <w:hideMark/>
          </w:tcPr>
          <w:p w14:paraId="0E40A85B" w14:textId="77777777" w:rsidR="00EF6E62" w:rsidRPr="003F6924" w:rsidRDefault="00EF6E62" w:rsidP="00D55894">
            <w:pPr>
              <w:spacing w:after="0" w:line="240" w:lineRule="auto"/>
              <w:jc w:val="both"/>
              <w:rPr>
                <w:rFonts w:ascii="Times New Roman" w:hAnsi="Times New Roman" w:cs="Times New Roman"/>
                <w:b/>
                <w:bCs/>
                <w:color w:val="000000" w:themeColor="text1"/>
                <w:sz w:val="24"/>
                <w:szCs w:val="24"/>
                <w:lang w:val="en-US"/>
              </w:rPr>
            </w:pPr>
          </w:p>
        </w:tc>
        <w:tc>
          <w:tcPr>
            <w:tcW w:w="0" w:type="auto"/>
            <w:tcBorders>
              <w:top w:val="nil"/>
              <w:left w:val="nil"/>
              <w:bottom w:val="nil"/>
              <w:right w:val="nil"/>
            </w:tcBorders>
            <w:shd w:val="clear" w:color="auto" w:fill="auto"/>
            <w:vAlign w:val="center"/>
            <w:hideMark/>
          </w:tcPr>
          <w:p w14:paraId="61875983" w14:textId="77777777" w:rsidR="00EF6E62" w:rsidRPr="003F6924" w:rsidRDefault="00B543E4" w:rsidP="00D55894">
            <w:pPr>
              <w:spacing w:after="0" w:line="240" w:lineRule="auto"/>
              <w:jc w:val="both"/>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Level 4-6</w:t>
            </w:r>
          </w:p>
        </w:tc>
        <w:tc>
          <w:tcPr>
            <w:tcW w:w="0" w:type="auto"/>
            <w:tcBorders>
              <w:top w:val="nil"/>
              <w:left w:val="nil"/>
              <w:bottom w:val="nil"/>
              <w:right w:val="nil"/>
            </w:tcBorders>
            <w:shd w:val="clear" w:color="auto" w:fill="auto"/>
            <w:noWrap/>
            <w:vAlign w:val="center"/>
            <w:hideMark/>
          </w:tcPr>
          <w:p w14:paraId="2081E81C"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266</w:t>
            </w:r>
          </w:p>
        </w:tc>
        <w:tc>
          <w:tcPr>
            <w:tcW w:w="0" w:type="auto"/>
            <w:tcBorders>
              <w:top w:val="nil"/>
              <w:left w:val="nil"/>
              <w:bottom w:val="nil"/>
              <w:right w:val="nil"/>
            </w:tcBorders>
            <w:shd w:val="clear" w:color="auto" w:fill="auto"/>
            <w:noWrap/>
            <w:vAlign w:val="center"/>
            <w:hideMark/>
          </w:tcPr>
          <w:p w14:paraId="32B234C4" w14:textId="77777777" w:rsidR="00EF6E62" w:rsidRPr="003F6924" w:rsidRDefault="00B543E4" w:rsidP="005F3932">
            <w:pPr>
              <w:spacing w:after="0" w:line="24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59.11</w:t>
            </w:r>
          </w:p>
        </w:tc>
      </w:tr>
      <w:tr w:rsidR="0046229B" w:rsidRPr="003F6924" w14:paraId="1041AC22" w14:textId="77777777" w:rsidTr="004159AA">
        <w:trPr>
          <w:trHeight w:val="454"/>
        </w:trPr>
        <w:tc>
          <w:tcPr>
            <w:tcW w:w="0" w:type="auto"/>
            <w:vMerge/>
            <w:tcBorders>
              <w:top w:val="nil"/>
              <w:left w:val="nil"/>
              <w:bottom w:val="single" w:sz="4" w:space="0" w:color="000000"/>
              <w:right w:val="nil"/>
            </w:tcBorders>
            <w:vAlign w:val="center"/>
            <w:hideMark/>
          </w:tcPr>
          <w:p w14:paraId="68693DD2" w14:textId="77777777" w:rsidR="00EF6E62" w:rsidRPr="003F6924" w:rsidRDefault="00EF6E62" w:rsidP="00671523">
            <w:pPr>
              <w:snapToGrid w:val="0"/>
              <w:spacing w:after="0" w:line="300" w:lineRule="auto"/>
              <w:jc w:val="both"/>
              <w:rPr>
                <w:rFonts w:ascii="Times New Roman" w:hAnsi="Times New Roman" w:cs="Times New Roman"/>
                <w:b/>
                <w:bCs/>
                <w:color w:val="000000" w:themeColor="text1"/>
                <w:sz w:val="24"/>
                <w:szCs w:val="24"/>
                <w:lang w:val="en-US"/>
              </w:rPr>
            </w:pPr>
          </w:p>
        </w:tc>
        <w:tc>
          <w:tcPr>
            <w:tcW w:w="0" w:type="auto"/>
            <w:tcBorders>
              <w:top w:val="nil"/>
              <w:left w:val="nil"/>
              <w:bottom w:val="single" w:sz="4" w:space="0" w:color="auto"/>
              <w:right w:val="nil"/>
            </w:tcBorders>
            <w:shd w:val="clear" w:color="auto" w:fill="auto"/>
            <w:vAlign w:val="center"/>
            <w:hideMark/>
          </w:tcPr>
          <w:p w14:paraId="2875931B" w14:textId="77777777" w:rsidR="00EF6E62" w:rsidRPr="003F6924" w:rsidRDefault="00B543E4" w:rsidP="00671523">
            <w:pPr>
              <w:snapToGrid w:val="0"/>
              <w:spacing w:after="0" w:line="300" w:lineRule="auto"/>
              <w:jc w:val="both"/>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Level 7-10</w:t>
            </w:r>
          </w:p>
        </w:tc>
        <w:tc>
          <w:tcPr>
            <w:tcW w:w="0" w:type="auto"/>
            <w:tcBorders>
              <w:top w:val="nil"/>
              <w:left w:val="nil"/>
              <w:bottom w:val="single" w:sz="4" w:space="0" w:color="auto"/>
              <w:right w:val="nil"/>
            </w:tcBorders>
            <w:shd w:val="clear" w:color="auto" w:fill="auto"/>
            <w:noWrap/>
            <w:vAlign w:val="center"/>
            <w:hideMark/>
          </w:tcPr>
          <w:p w14:paraId="41994947" w14:textId="77777777" w:rsidR="00EF6E62" w:rsidRPr="003F6924" w:rsidRDefault="00B543E4" w:rsidP="005F3932">
            <w:pPr>
              <w:snapToGrid w:val="0"/>
              <w:spacing w:after="0" w:line="30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106</w:t>
            </w:r>
          </w:p>
        </w:tc>
        <w:tc>
          <w:tcPr>
            <w:tcW w:w="0" w:type="auto"/>
            <w:tcBorders>
              <w:top w:val="nil"/>
              <w:left w:val="nil"/>
              <w:bottom w:val="single" w:sz="4" w:space="0" w:color="auto"/>
              <w:right w:val="nil"/>
            </w:tcBorders>
            <w:shd w:val="clear" w:color="auto" w:fill="auto"/>
            <w:noWrap/>
            <w:vAlign w:val="center"/>
            <w:hideMark/>
          </w:tcPr>
          <w:p w14:paraId="309CF3CC" w14:textId="77777777" w:rsidR="00EF6E62" w:rsidRPr="003F6924" w:rsidRDefault="00B543E4" w:rsidP="005F3932">
            <w:pPr>
              <w:snapToGrid w:val="0"/>
              <w:spacing w:after="0" w:line="300" w:lineRule="auto"/>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23.56</w:t>
            </w:r>
          </w:p>
        </w:tc>
      </w:tr>
    </w:tbl>
    <w:p w14:paraId="427551B8" w14:textId="77777777" w:rsidR="00EF6E62" w:rsidRPr="003F6924" w:rsidRDefault="00EF6E62" w:rsidP="00671523">
      <w:pPr>
        <w:snapToGrid w:val="0"/>
        <w:spacing w:after="0" w:line="300" w:lineRule="auto"/>
        <w:jc w:val="both"/>
        <w:rPr>
          <w:rFonts w:ascii="Times New Roman" w:hAnsi="Times New Roman" w:cs="Times New Roman"/>
          <w:color w:val="000000" w:themeColor="text1"/>
          <w:sz w:val="26"/>
          <w:szCs w:val="26"/>
          <w:lang w:val="en-US"/>
        </w:rPr>
      </w:pPr>
    </w:p>
    <w:p w14:paraId="29CCD09E" w14:textId="11C6C1AF" w:rsidR="00EF6E62" w:rsidRPr="003F6924" w:rsidRDefault="00B543E4" w:rsidP="00671523">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The </w:t>
      </w:r>
      <w:r w:rsidR="00D91D58" w:rsidRPr="003F6924">
        <w:rPr>
          <w:rFonts w:ascii="Times New Roman" w:hAnsi="Times New Roman" w:cs="Times New Roman"/>
          <w:b/>
          <w:bCs/>
          <w:color w:val="000000" w:themeColor="text1"/>
          <w:sz w:val="26"/>
          <w:szCs w:val="26"/>
          <w:lang w:val="en-US"/>
        </w:rPr>
        <w:t xml:space="preserve">Goodness </w:t>
      </w:r>
      <w:r w:rsidRPr="003F6924">
        <w:rPr>
          <w:rFonts w:ascii="Times New Roman" w:hAnsi="Times New Roman" w:cs="Times New Roman"/>
          <w:b/>
          <w:bCs/>
          <w:color w:val="000000" w:themeColor="text1"/>
          <w:sz w:val="26"/>
          <w:szCs w:val="26"/>
          <w:lang w:val="en-US"/>
        </w:rPr>
        <w:t xml:space="preserve">of </w:t>
      </w:r>
      <w:r w:rsidR="000007EA" w:rsidRPr="003F6924">
        <w:rPr>
          <w:rFonts w:ascii="Times New Roman" w:hAnsi="Times New Roman" w:cs="Times New Roman"/>
          <w:b/>
          <w:bCs/>
          <w:color w:val="000000" w:themeColor="text1"/>
          <w:sz w:val="26"/>
          <w:szCs w:val="26"/>
          <w:lang w:val="en-US"/>
        </w:rPr>
        <w:t>the</w:t>
      </w:r>
      <w:r w:rsidR="000007EA" w:rsidRPr="003F6924">
        <w:rPr>
          <w:rFonts w:ascii="Times New Roman" w:hAnsi="Times New Roman" w:cs="Times New Roman"/>
          <w:b/>
          <w:bCs/>
          <w:color w:val="000000" w:themeColor="text1"/>
          <w:sz w:val="26"/>
          <w:szCs w:val="26"/>
          <w:lang w:val="vi-VN"/>
        </w:rPr>
        <w:t xml:space="preserve"> </w:t>
      </w:r>
      <w:r w:rsidR="00D91D58" w:rsidRPr="003F6924">
        <w:rPr>
          <w:rFonts w:ascii="Times New Roman" w:hAnsi="Times New Roman" w:cs="Times New Roman"/>
          <w:b/>
          <w:bCs/>
          <w:color w:val="000000" w:themeColor="text1"/>
          <w:sz w:val="26"/>
          <w:szCs w:val="26"/>
          <w:lang w:val="en-US"/>
        </w:rPr>
        <w:t xml:space="preserve">Model Fit </w:t>
      </w:r>
    </w:p>
    <w:p w14:paraId="316C0FE5" w14:textId="00B73808" w:rsidR="00EF6E62" w:rsidRDefault="00B543E4" w:rsidP="00671523">
      <w:pPr>
        <w:snapToGrid w:val="0"/>
        <w:spacing w:after="0" w:line="300" w:lineRule="auto"/>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The authors evaluate the model's Goodness of Fit (GoF) using the standardized root mean squared residual (SRMR), the unweighted least squares discrepancy (dULS), and the geodesic discrepancy (dG), as detailed in Table </w:t>
      </w:r>
      <w:r w:rsidR="00071B69" w:rsidRPr="003F6924">
        <w:rPr>
          <w:rFonts w:ascii="Times New Roman" w:hAnsi="Times New Roman" w:cs="Times New Roman"/>
          <w:color w:val="000000" w:themeColor="text1"/>
          <w:sz w:val="26"/>
          <w:szCs w:val="26"/>
          <w:lang w:val="en-US"/>
        </w:rPr>
        <w:t>4</w:t>
      </w:r>
      <w:r w:rsidRPr="003F6924">
        <w:rPr>
          <w:rFonts w:ascii="Times New Roman" w:hAnsi="Times New Roman" w:cs="Times New Roman"/>
          <w:color w:val="000000" w:themeColor="text1"/>
          <w:sz w:val="26"/>
          <w:szCs w:val="26"/>
          <w:lang w:val="en-US"/>
        </w:rPr>
        <w:t xml:space="preserve">. A lower SRMR indicates a superior fit of the theoretical model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{"citationID":"yunxmBYO","properties":{"formattedCitation":"(Henseler, Jo \\uc0\\u776{}rg &amp; Dijkstra, et al. 2015)","plainCitation":"(Henseler, Jo ̈rg &amp; Dijkstra, et al. 2015)","dontUpdate":true,"noteIndex":0},"citationItems":[{"id":2646,"uris":["http://zotero.org/users/9020985/items/SQDQRQJT"],"itemData":{"id":2646,"type":"book","event-place":"Kleve, Germany","publisher-place":"Kleve, Germany","title":"ADANCO 2.0: Composite Modeling.","author":[{"family":"Henseler","given":""},{"family":"Dijkstra","given":"Jo ̈rg"},{"family":"Theo","given":"K"}],"issued":{"date-parts":[["2015"]]}}}],"schema":"https://github.com/citation-style-language/schema/raw/master/csl-citation.json"}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color w:val="000000" w:themeColor="text1"/>
          <w:sz w:val="26"/>
          <w:szCs w:val="26"/>
          <w:lang w:val="en-US"/>
        </w:rPr>
        <w:t>(Henseler et al.</w:t>
      </w:r>
      <w:r w:rsidR="00F377A7" w:rsidRPr="003F6924">
        <w:rPr>
          <w:rFonts w:ascii="Times New Roman" w:hAnsi="Times New Roman" w:cs="Times New Roman"/>
          <w:color w:val="000000" w:themeColor="text1"/>
          <w:sz w:val="26"/>
          <w:szCs w:val="26"/>
          <w:lang w:val="vi-VN"/>
        </w:rPr>
        <w:t>,</w:t>
      </w:r>
      <w:r w:rsidRPr="003F6924">
        <w:rPr>
          <w:rFonts w:ascii="Times New Roman" w:hAnsi="Times New Roman" w:cs="Times New Roman"/>
          <w:color w:val="000000" w:themeColor="text1"/>
          <w:sz w:val="26"/>
          <w:szCs w:val="26"/>
          <w:lang w:val="en-US"/>
        </w:rPr>
        <w:t xml:space="preserve"> 2015)</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{"citationID":"Lui4uXcv","properties":{"formattedCitation":"(Byrne, 1998)","plainCitation":"(Byrne, 1998)","dontUpdate":true,"noteIndex":0},"citationItems":[{"id":2651,"uris":["http://zotero.org/users/9020985/items/CD8CHQ66"],"itemData":{"id":2651,"type":"book","abstract":"This book illustrates the ease with which various features of LISREL 8 and PRELIS 2 can be implemented in addressing research questions that lend themselves to SEM. Its purpose is threefold: (a) to present a nonmathmatical introduction to basic concepts associated with SEM, (b) to demonstrate basic applications of SEM using both the DOS and Windows versions of LISREL 8, as well as both the LISREL and SIMPLIS lexicons, and (c) to highlight particular features of the LISREL 8 and PRELIS 2 progams that address important caveats related to SEM analyses.\nThis book is intended neither as a text on the topic of SEM, nor as a comprehensive review of the many statistical funcitons available in the LISREL 8 and PRELIS 2 programs. Rather, the intent is to provide a practical guide to SEM using the LISREL approach. As such, the reader is \"walked through\" a diversity of SEM applications that include both factor analytic and full latent variable models, as well as a variety of data management procedures.","event-place":"New York","ISBN":"978-0-203-77476-2","note":"DOI: 10.4324/9780203774762","number-of-pages":"432","publisher":"Psychology Press","publisher-place":"New York","title":"Structural Equation Modeling With Lisrel, Prelis, and Simplis: Basic Concepts, Applications, and Programming","title-short":"Structural Equation Modeling With Lisrel, Prelis, and Simplis","author":[{"family":"Byrne","given":"Barbara M."}],"issued":{"date-parts":[["1998",3,1]]}}}],"schema":"https://github.com/citation-style-language/schema/raw/master/csl-citation.json"}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Byrne (1998)</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indicates that an SRMR value below 0.05 denotes an adequate fit. Therefore, </w:t>
      </w:r>
      <w:r w:rsidR="001072BC" w:rsidRPr="003F6924">
        <w:rPr>
          <w:rFonts w:ascii="Times New Roman" w:hAnsi="Times New Roman" w:cs="Times New Roman"/>
          <w:color w:val="000000" w:themeColor="text1"/>
          <w:sz w:val="26"/>
          <w:szCs w:val="26"/>
          <w:lang w:val="vi-VN"/>
        </w:rPr>
        <w:t>t</w:t>
      </w:r>
      <w:r w:rsidR="001072BC" w:rsidRPr="003F6924">
        <w:rPr>
          <w:rFonts w:ascii="Times New Roman" w:hAnsi="Times New Roman" w:cs="Times New Roman"/>
          <w:color w:val="000000" w:themeColor="text1"/>
          <w:sz w:val="26"/>
          <w:szCs w:val="26"/>
          <w:lang w:val="en-US"/>
        </w:rPr>
        <w:t>he results demonstrate a strong model fit, with an SRMR value of 0.0424—well below the recommended threshold of 0.05</w:t>
      </w:r>
      <w:r w:rsidRPr="003F6924">
        <w:rPr>
          <w:rFonts w:ascii="Times New Roman" w:hAnsi="Times New Roman" w:cs="Times New Roman"/>
          <w:color w:val="000000" w:themeColor="text1"/>
          <w:sz w:val="26"/>
          <w:szCs w:val="26"/>
          <w:lang w:val="en-US"/>
        </w:rPr>
        <w:t xml:space="preserve">. The dULS value and the dG value must not surpass the 99th percentile ("HI99") thresholds to maintain model fit (dULS=1.546, p&gt;0.01 and dG=0.9618, p&gt;0.01)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{"citationID":"wMlIGtJ2","properties":{"formattedCitation":"(Henseler, Jo \\uc0\\u776{}rg &amp; Dijkstra, et al. 2015)","plainCitation":"(Henseler, Jo ̈rg &amp; Dijkstra, et al. 2015)","dontUpdate":true,"noteIndex":0},"citationItems":[{"id":2646,"uris":["http://zotero.org/users/9020985/items/SQDQRQJT"],"itemData":{"id":2646,"type":"book","event-place":"Kleve, Germany","publisher-place":"Kleve, Germany","title":"ADANCO 2.0: Composite Modeling.","author":[{"family":"Henseler","given":""},{"family":"Dijkstra","given":"Jo ̈rg"},{"family":"Theo","given":"K"}],"issued":{"date-parts":[["2015"]]}}}],"schema":"https://github.com/citation-style-language/schema/raw/master/csl-citation.json"}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color w:val="000000" w:themeColor="text1"/>
          <w:sz w:val="26"/>
          <w:szCs w:val="26"/>
          <w:lang w:val="en-US"/>
        </w:rPr>
        <w:t>(Henseler et al.</w:t>
      </w:r>
      <w:r w:rsidR="00F377A7" w:rsidRPr="003F6924">
        <w:rPr>
          <w:rFonts w:ascii="Times New Roman" w:hAnsi="Times New Roman" w:cs="Times New Roman"/>
          <w:color w:val="000000" w:themeColor="text1"/>
          <w:sz w:val="26"/>
          <w:szCs w:val="26"/>
          <w:lang w:val="vi-VN"/>
        </w:rPr>
        <w:t>,</w:t>
      </w:r>
      <w:r w:rsidRPr="003F6924">
        <w:rPr>
          <w:rFonts w:ascii="Times New Roman" w:hAnsi="Times New Roman" w:cs="Times New Roman"/>
          <w:color w:val="000000" w:themeColor="text1"/>
          <w:sz w:val="26"/>
          <w:szCs w:val="26"/>
          <w:lang w:val="en-US"/>
        </w:rPr>
        <w:t xml:space="preserve"> 2015)</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Accordingly, the results indicate that our model demonstrates a satisfactory goodness of fit. </w:t>
      </w:r>
    </w:p>
    <w:p w14:paraId="0FED35FE" w14:textId="77777777" w:rsidR="00673588" w:rsidRPr="003F6924" w:rsidRDefault="00673588" w:rsidP="00671523">
      <w:pPr>
        <w:snapToGrid w:val="0"/>
        <w:spacing w:after="0" w:line="300" w:lineRule="auto"/>
        <w:jc w:val="both"/>
        <w:rPr>
          <w:rFonts w:ascii="Times New Roman" w:hAnsi="Times New Roman" w:cs="Times New Roman"/>
          <w:color w:val="000000" w:themeColor="text1"/>
          <w:sz w:val="26"/>
          <w:szCs w:val="26"/>
          <w:lang w:val="en-US"/>
        </w:rPr>
      </w:pPr>
    </w:p>
    <w:p w14:paraId="57342FBE" w14:textId="77777777" w:rsidR="00C96078" w:rsidRDefault="00C96078">
      <w:pPr>
        <w:rPr>
          <w:rFonts w:ascii="Times New Roman" w:eastAsia="Times New Roman" w:hAnsi="Times New Roman" w:cs="Times New Roman"/>
          <w:b/>
          <w:bCs/>
          <w:color w:val="000000" w:themeColor="text1"/>
          <w:sz w:val="26"/>
          <w:szCs w:val="26"/>
          <w:lang w:val="en-US"/>
        </w:rPr>
      </w:pPr>
      <w:r>
        <w:rPr>
          <w:b/>
          <w:bCs/>
          <w:i/>
          <w:iCs/>
          <w:color w:val="000000" w:themeColor="text1"/>
          <w:sz w:val="26"/>
          <w:szCs w:val="26"/>
          <w:lang w:val="en-US"/>
        </w:rPr>
        <w:br w:type="page"/>
      </w:r>
    </w:p>
    <w:p w14:paraId="19AA9D82" w14:textId="47BA140C" w:rsidR="00EF6E62" w:rsidRPr="003F6924" w:rsidRDefault="00B543E4" w:rsidP="00671523">
      <w:pPr>
        <w:pStyle w:val="af8"/>
        <w:snapToGrid w:val="0"/>
        <w:spacing w:after="0" w:line="300" w:lineRule="auto"/>
        <w:jc w:val="both"/>
        <w:rPr>
          <w:color w:val="000000" w:themeColor="text1"/>
          <w:sz w:val="26"/>
          <w:szCs w:val="26"/>
          <w:lang w:val="en-US"/>
        </w:rPr>
      </w:pPr>
      <w:r w:rsidRPr="00C96078">
        <w:rPr>
          <w:b/>
          <w:bCs/>
          <w:i w:val="0"/>
          <w:iCs w:val="0"/>
          <w:color w:val="000000" w:themeColor="text1"/>
          <w:sz w:val="26"/>
          <w:szCs w:val="26"/>
          <w:lang w:val="en-US"/>
        </w:rPr>
        <w:t xml:space="preserve">Table </w:t>
      </w:r>
      <w:r w:rsidRPr="00C96078">
        <w:rPr>
          <w:b/>
          <w:bCs/>
          <w:i w:val="0"/>
          <w:iCs w:val="0"/>
          <w:color w:val="000000" w:themeColor="text1"/>
          <w:sz w:val="26"/>
          <w:szCs w:val="26"/>
          <w:lang w:val="en-US"/>
        </w:rPr>
        <w:fldChar w:fldCharType="begin"/>
      </w:r>
      <w:r w:rsidRPr="00C96078">
        <w:rPr>
          <w:b/>
          <w:bCs/>
          <w:i w:val="0"/>
          <w:iCs w:val="0"/>
          <w:color w:val="000000" w:themeColor="text1"/>
          <w:sz w:val="26"/>
          <w:szCs w:val="26"/>
          <w:lang w:val="en-US"/>
        </w:rPr>
        <w:instrText xml:space="preserve"> SEQ Table \* ARABIC </w:instrText>
      </w:r>
      <w:r w:rsidRPr="00C96078">
        <w:rPr>
          <w:b/>
          <w:bCs/>
          <w:i w:val="0"/>
          <w:iCs w:val="0"/>
          <w:color w:val="000000" w:themeColor="text1"/>
          <w:sz w:val="26"/>
          <w:szCs w:val="26"/>
          <w:lang w:val="en-US"/>
        </w:rPr>
        <w:fldChar w:fldCharType="separate"/>
      </w:r>
      <w:r w:rsidR="0058062D">
        <w:rPr>
          <w:b/>
          <w:bCs/>
          <w:i w:val="0"/>
          <w:iCs w:val="0"/>
          <w:noProof/>
          <w:color w:val="000000" w:themeColor="text1"/>
          <w:sz w:val="26"/>
          <w:szCs w:val="26"/>
          <w:lang w:val="en-US"/>
        </w:rPr>
        <w:t>4</w:t>
      </w:r>
      <w:r w:rsidRPr="00C96078">
        <w:rPr>
          <w:b/>
          <w:bCs/>
          <w:i w:val="0"/>
          <w:iCs w:val="0"/>
          <w:noProof/>
          <w:color w:val="000000" w:themeColor="text1"/>
          <w:sz w:val="26"/>
          <w:szCs w:val="26"/>
          <w:lang w:val="en-US"/>
        </w:rPr>
        <w:fldChar w:fldCharType="end"/>
      </w:r>
      <w:r w:rsidRPr="003F6924">
        <w:rPr>
          <w:color w:val="000000" w:themeColor="text1"/>
          <w:sz w:val="26"/>
          <w:szCs w:val="26"/>
          <w:lang w:val="en-US"/>
        </w:rPr>
        <w:t xml:space="preserve"> Goodness of </w:t>
      </w:r>
      <w:r w:rsidR="00D91D58" w:rsidRPr="003F6924">
        <w:rPr>
          <w:color w:val="000000" w:themeColor="text1"/>
          <w:sz w:val="26"/>
          <w:szCs w:val="26"/>
          <w:lang w:val="en-US"/>
        </w:rPr>
        <w:t>Model Fit</w:t>
      </w:r>
      <w:r w:rsidRPr="003F6924">
        <w:rPr>
          <w:color w:val="000000" w:themeColor="text1"/>
          <w:sz w:val="26"/>
          <w:szCs w:val="26"/>
          <w:lang w:val="en-US"/>
        </w:rPr>
        <w:t xml:space="preserve">. </w:t>
      </w:r>
    </w:p>
    <w:tbl>
      <w:tblPr>
        <w:tblW w:w="5000" w:type="pct"/>
        <w:tblBorders>
          <w:top w:val="single" w:sz="4" w:space="0" w:color="auto"/>
          <w:bottom w:val="single" w:sz="4" w:space="0" w:color="auto"/>
        </w:tblBorders>
        <w:tblLook w:val="04A0" w:firstRow="1" w:lastRow="0" w:firstColumn="1" w:lastColumn="0" w:noHBand="0" w:noVBand="1"/>
      </w:tblPr>
      <w:tblGrid>
        <w:gridCol w:w="3172"/>
        <w:gridCol w:w="3010"/>
        <w:gridCol w:w="3010"/>
      </w:tblGrid>
      <w:tr w:rsidR="0046229B" w:rsidRPr="003F6924" w14:paraId="10CEA7B9" w14:textId="77777777" w:rsidTr="005F3932">
        <w:trPr>
          <w:trHeight w:val="397"/>
        </w:trPr>
        <w:tc>
          <w:tcPr>
            <w:tcW w:w="1725" w:type="pct"/>
            <w:tcBorders>
              <w:top w:val="single" w:sz="4" w:space="0" w:color="auto"/>
              <w:bottom w:val="single" w:sz="4" w:space="0" w:color="auto"/>
            </w:tcBorders>
            <w:shd w:val="clear" w:color="auto" w:fill="auto"/>
            <w:noWrap/>
            <w:vAlign w:val="center"/>
            <w:hideMark/>
          </w:tcPr>
          <w:p w14:paraId="41694B7C" w14:textId="77777777" w:rsidR="00EF6E62" w:rsidRPr="003F6924" w:rsidRDefault="00EF6E62" w:rsidP="005F3932">
            <w:pPr>
              <w:spacing w:after="0" w:line="240" w:lineRule="atLeast"/>
              <w:jc w:val="center"/>
              <w:rPr>
                <w:rFonts w:ascii="Times New Roman" w:hAnsi="Times New Roman" w:cs="Times New Roman"/>
                <w:color w:val="000000" w:themeColor="text1"/>
                <w:sz w:val="24"/>
                <w:szCs w:val="24"/>
                <w:lang w:val="en-US"/>
              </w:rPr>
            </w:pPr>
          </w:p>
        </w:tc>
        <w:tc>
          <w:tcPr>
            <w:tcW w:w="1637" w:type="pct"/>
            <w:tcBorders>
              <w:top w:val="single" w:sz="4" w:space="0" w:color="auto"/>
              <w:bottom w:val="single" w:sz="4" w:space="0" w:color="auto"/>
            </w:tcBorders>
            <w:shd w:val="clear" w:color="auto" w:fill="auto"/>
            <w:noWrap/>
            <w:vAlign w:val="center"/>
            <w:hideMark/>
          </w:tcPr>
          <w:p w14:paraId="7F81A3EB" w14:textId="77777777" w:rsidR="00EF6E62" w:rsidRPr="003F6924" w:rsidRDefault="00B543E4" w:rsidP="005F3932">
            <w:pPr>
              <w:spacing w:after="0" w:line="240" w:lineRule="atLeast"/>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Value</w:t>
            </w:r>
          </w:p>
        </w:tc>
        <w:tc>
          <w:tcPr>
            <w:tcW w:w="1637" w:type="pct"/>
            <w:tcBorders>
              <w:top w:val="single" w:sz="4" w:space="0" w:color="auto"/>
              <w:bottom w:val="single" w:sz="4" w:space="0" w:color="auto"/>
            </w:tcBorders>
            <w:shd w:val="clear" w:color="auto" w:fill="auto"/>
            <w:noWrap/>
            <w:vAlign w:val="center"/>
            <w:hideMark/>
          </w:tcPr>
          <w:p w14:paraId="2B7A6057" w14:textId="77777777" w:rsidR="00EF6E62" w:rsidRPr="003F6924" w:rsidRDefault="00B543E4" w:rsidP="005F3932">
            <w:pPr>
              <w:spacing w:after="0" w:line="240" w:lineRule="atLeast"/>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HI99</w:t>
            </w:r>
          </w:p>
        </w:tc>
      </w:tr>
      <w:tr w:rsidR="0046229B" w:rsidRPr="003F6924" w14:paraId="4C8D763D" w14:textId="77777777" w:rsidTr="005F3932">
        <w:trPr>
          <w:trHeight w:val="397"/>
        </w:trPr>
        <w:tc>
          <w:tcPr>
            <w:tcW w:w="1725" w:type="pct"/>
            <w:tcBorders>
              <w:top w:val="single" w:sz="4" w:space="0" w:color="auto"/>
            </w:tcBorders>
            <w:shd w:val="clear" w:color="auto" w:fill="auto"/>
            <w:noWrap/>
            <w:vAlign w:val="center"/>
            <w:hideMark/>
          </w:tcPr>
          <w:p w14:paraId="63052DEF" w14:textId="77777777" w:rsidR="00EF6E62" w:rsidRPr="003F6924" w:rsidRDefault="00B543E4" w:rsidP="005F3932">
            <w:pPr>
              <w:spacing w:after="0" w:line="240" w:lineRule="atLeast"/>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SRMR</w:t>
            </w:r>
          </w:p>
        </w:tc>
        <w:tc>
          <w:tcPr>
            <w:tcW w:w="1637" w:type="pct"/>
            <w:tcBorders>
              <w:top w:val="single" w:sz="4" w:space="0" w:color="auto"/>
            </w:tcBorders>
            <w:shd w:val="clear" w:color="auto" w:fill="auto"/>
            <w:noWrap/>
            <w:vAlign w:val="center"/>
            <w:hideMark/>
          </w:tcPr>
          <w:p w14:paraId="58C01FD6" w14:textId="77777777" w:rsidR="00EF6E62" w:rsidRPr="003F6924" w:rsidRDefault="00B543E4" w:rsidP="005F3932">
            <w:pPr>
              <w:spacing w:after="0" w:line="240" w:lineRule="atLeast"/>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0.0424</w:t>
            </w:r>
          </w:p>
        </w:tc>
        <w:tc>
          <w:tcPr>
            <w:tcW w:w="1637" w:type="pct"/>
            <w:tcBorders>
              <w:top w:val="single" w:sz="4" w:space="0" w:color="auto"/>
            </w:tcBorders>
            <w:shd w:val="clear" w:color="auto" w:fill="auto"/>
            <w:noWrap/>
            <w:vAlign w:val="center"/>
            <w:hideMark/>
          </w:tcPr>
          <w:p w14:paraId="5D9231CD" w14:textId="77777777" w:rsidR="00EF6E62" w:rsidRPr="003F6924" w:rsidRDefault="00B543E4" w:rsidP="005F3932">
            <w:pPr>
              <w:spacing w:after="0" w:line="240" w:lineRule="atLeast"/>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0.0425</w:t>
            </w:r>
          </w:p>
        </w:tc>
      </w:tr>
      <w:tr w:rsidR="0046229B" w:rsidRPr="003F6924" w14:paraId="7F59BDEB" w14:textId="77777777" w:rsidTr="005F3932">
        <w:trPr>
          <w:trHeight w:val="397"/>
        </w:trPr>
        <w:tc>
          <w:tcPr>
            <w:tcW w:w="1725" w:type="pct"/>
            <w:shd w:val="clear" w:color="auto" w:fill="auto"/>
            <w:noWrap/>
            <w:vAlign w:val="center"/>
            <w:hideMark/>
          </w:tcPr>
          <w:p w14:paraId="69FDEA29" w14:textId="77777777" w:rsidR="00EF6E62" w:rsidRPr="003F6924" w:rsidRDefault="00B543E4" w:rsidP="005F3932">
            <w:pPr>
              <w:spacing w:after="0" w:line="240" w:lineRule="atLeast"/>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dULS</w:t>
            </w:r>
          </w:p>
        </w:tc>
        <w:tc>
          <w:tcPr>
            <w:tcW w:w="1637" w:type="pct"/>
            <w:shd w:val="clear" w:color="auto" w:fill="auto"/>
            <w:noWrap/>
            <w:vAlign w:val="center"/>
            <w:hideMark/>
          </w:tcPr>
          <w:p w14:paraId="4D0D053B" w14:textId="77777777" w:rsidR="00EF6E62" w:rsidRPr="003F6924" w:rsidRDefault="00B543E4" w:rsidP="005F3932">
            <w:pPr>
              <w:spacing w:after="0" w:line="240" w:lineRule="atLeast"/>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1.5467</w:t>
            </w:r>
          </w:p>
        </w:tc>
        <w:tc>
          <w:tcPr>
            <w:tcW w:w="1637" w:type="pct"/>
            <w:shd w:val="clear" w:color="auto" w:fill="auto"/>
            <w:noWrap/>
            <w:vAlign w:val="center"/>
            <w:hideMark/>
          </w:tcPr>
          <w:p w14:paraId="078E7637" w14:textId="77777777" w:rsidR="00EF6E62" w:rsidRPr="003F6924" w:rsidRDefault="00B543E4" w:rsidP="005F3932">
            <w:pPr>
              <w:spacing w:after="0" w:line="240" w:lineRule="atLeast"/>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1.5521</w:t>
            </w:r>
          </w:p>
        </w:tc>
      </w:tr>
      <w:tr w:rsidR="0046229B" w:rsidRPr="003F6924" w14:paraId="4D39E3DF" w14:textId="77777777" w:rsidTr="005F3932">
        <w:trPr>
          <w:trHeight w:val="397"/>
        </w:trPr>
        <w:tc>
          <w:tcPr>
            <w:tcW w:w="1725" w:type="pct"/>
            <w:shd w:val="clear" w:color="auto" w:fill="auto"/>
            <w:noWrap/>
            <w:vAlign w:val="center"/>
            <w:hideMark/>
          </w:tcPr>
          <w:p w14:paraId="30D7EB70" w14:textId="77777777" w:rsidR="00EF6E62" w:rsidRPr="003F6924" w:rsidRDefault="00B543E4" w:rsidP="005F3932">
            <w:pPr>
              <w:spacing w:after="0" w:line="240" w:lineRule="atLeast"/>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dG</w:t>
            </w:r>
          </w:p>
        </w:tc>
        <w:tc>
          <w:tcPr>
            <w:tcW w:w="1637" w:type="pct"/>
            <w:shd w:val="clear" w:color="auto" w:fill="auto"/>
            <w:noWrap/>
            <w:vAlign w:val="center"/>
            <w:hideMark/>
          </w:tcPr>
          <w:p w14:paraId="66700652" w14:textId="77777777" w:rsidR="00EF6E62" w:rsidRPr="003F6924" w:rsidRDefault="00B543E4" w:rsidP="005F3932">
            <w:pPr>
              <w:spacing w:after="0" w:line="240" w:lineRule="atLeast"/>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0.9618</w:t>
            </w:r>
          </w:p>
        </w:tc>
        <w:tc>
          <w:tcPr>
            <w:tcW w:w="1637" w:type="pct"/>
            <w:shd w:val="clear" w:color="auto" w:fill="auto"/>
            <w:noWrap/>
            <w:vAlign w:val="center"/>
            <w:hideMark/>
          </w:tcPr>
          <w:p w14:paraId="72AF616F" w14:textId="77777777" w:rsidR="00EF6E62" w:rsidRPr="003F6924" w:rsidRDefault="00B543E4" w:rsidP="005F3932">
            <w:pPr>
              <w:spacing w:after="0" w:line="240" w:lineRule="atLeast"/>
              <w:jc w:val="center"/>
              <w:rPr>
                <w:rFonts w:ascii="Times New Roman" w:hAnsi="Times New Roman" w:cs="Times New Roman"/>
                <w:color w:val="000000" w:themeColor="text1"/>
                <w:sz w:val="24"/>
                <w:szCs w:val="24"/>
                <w:lang w:val="en-US"/>
              </w:rPr>
            </w:pPr>
            <w:r w:rsidRPr="003F6924">
              <w:rPr>
                <w:rFonts w:ascii="Times New Roman" w:hAnsi="Times New Roman" w:cs="Times New Roman"/>
                <w:color w:val="000000" w:themeColor="text1"/>
                <w:sz w:val="24"/>
                <w:szCs w:val="24"/>
                <w:lang w:val="en-US"/>
              </w:rPr>
              <w:t>1.1462</w:t>
            </w:r>
          </w:p>
        </w:tc>
      </w:tr>
    </w:tbl>
    <w:p w14:paraId="40E7C84A" w14:textId="423613C6" w:rsidR="00EF6E62" w:rsidRDefault="00D91D58" w:rsidP="00671523">
      <w:pPr>
        <w:snapToGrid w:val="0"/>
        <w:spacing w:after="0" w:line="300" w:lineRule="auto"/>
        <w:jc w:val="both"/>
        <w:rPr>
          <w:color w:val="000000" w:themeColor="text1"/>
          <w:sz w:val="26"/>
          <w:szCs w:val="26"/>
          <w:lang w:val="en-US"/>
        </w:rPr>
      </w:pPr>
      <w:r w:rsidRPr="00D91D58">
        <w:rPr>
          <w:i/>
          <w:iCs/>
          <w:color w:val="000000" w:themeColor="text1"/>
          <w:sz w:val="26"/>
          <w:szCs w:val="26"/>
          <w:lang w:val="en-US"/>
        </w:rPr>
        <w:t>Source</w:t>
      </w:r>
      <w:r>
        <w:rPr>
          <w:rFonts w:hint="eastAsia"/>
          <w:i/>
          <w:iCs/>
          <w:color w:val="000000" w:themeColor="text1"/>
          <w:sz w:val="26"/>
          <w:szCs w:val="26"/>
          <w:lang w:val="en-US" w:eastAsia="zh-TW"/>
        </w:rPr>
        <w:t>.</w:t>
      </w:r>
      <w:r w:rsidRPr="003F6924">
        <w:rPr>
          <w:color w:val="000000" w:themeColor="text1"/>
          <w:sz w:val="26"/>
          <w:szCs w:val="26"/>
          <w:lang w:val="en-US"/>
        </w:rPr>
        <w:t xml:space="preserve"> Author's contribution</w:t>
      </w:r>
    </w:p>
    <w:p w14:paraId="2FA16248" w14:textId="77777777" w:rsidR="00D91D58" w:rsidRPr="003F6924" w:rsidRDefault="00D91D58" w:rsidP="00671523">
      <w:pPr>
        <w:snapToGrid w:val="0"/>
        <w:spacing w:after="0" w:line="300" w:lineRule="auto"/>
        <w:jc w:val="both"/>
        <w:rPr>
          <w:rFonts w:ascii="Times New Roman" w:hAnsi="Times New Roman" w:cs="Times New Roman"/>
          <w:color w:val="000000" w:themeColor="text1"/>
          <w:sz w:val="26"/>
          <w:szCs w:val="26"/>
          <w:lang w:val="en-US"/>
        </w:rPr>
      </w:pPr>
    </w:p>
    <w:p w14:paraId="16FB9667" w14:textId="72D06C9E" w:rsidR="00EF6E62" w:rsidRPr="003F6924" w:rsidRDefault="00B543E4" w:rsidP="00671523">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Measurement </w:t>
      </w:r>
      <w:r w:rsidR="00D91D58" w:rsidRPr="003F6924">
        <w:rPr>
          <w:rFonts w:ascii="Times New Roman" w:hAnsi="Times New Roman" w:cs="Times New Roman"/>
          <w:b/>
          <w:bCs/>
          <w:color w:val="000000" w:themeColor="text1"/>
          <w:sz w:val="26"/>
          <w:szCs w:val="26"/>
          <w:lang w:val="en-US"/>
        </w:rPr>
        <w:t>Model Analysis</w:t>
      </w:r>
      <w:r w:rsidRPr="003F6924">
        <w:rPr>
          <w:rFonts w:ascii="Times New Roman" w:hAnsi="Times New Roman" w:cs="Times New Roman"/>
          <w:b/>
          <w:bCs/>
          <w:color w:val="000000" w:themeColor="text1"/>
          <w:sz w:val="26"/>
          <w:szCs w:val="26"/>
          <w:lang w:val="en-US"/>
        </w:rPr>
        <w:t xml:space="preserve"> </w:t>
      </w:r>
    </w:p>
    <w:p w14:paraId="4CC5A6E3" w14:textId="7F24E469"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The measurement model was analy</w:t>
      </w:r>
      <w:r w:rsidR="00567666" w:rsidRPr="003F6924">
        <w:rPr>
          <w:rFonts w:ascii="Times New Roman" w:hAnsi="Times New Roman" w:cs="Times New Roman"/>
          <w:color w:val="000000" w:themeColor="text1"/>
          <w:sz w:val="26"/>
          <w:szCs w:val="26"/>
          <w:lang w:val="vi-VN"/>
        </w:rPr>
        <w:t>z</w:t>
      </w:r>
      <w:r w:rsidRPr="003F6924">
        <w:rPr>
          <w:rFonts w:ascii="Times New Roman" w:hAnsi="Times New Roman" w:cs="Times New Roman"/>
          <w:color w:val="000000" w:themeColor="text1"/>
          <w:sz w:val="26"/>
          <w:szCs w:val="26"/>
          <w:lang w:val="en-US"/>
        </w:rPr>
        <w:t>ed using CFA, in which the authors estimated a saturated structural model with all constructs freely correlated. All constructs in this study were modeled as reflective, as the indicators are considered manifestations of their underlying latent constructs and are expected to covary</w:t>
      </w:r>
      <w:r w:rsidR="001072BC" w:rsidRPr="003F6924">
        <w:rPr>
          <w:rFonts w:ascii="Times New Roman" w:hAnsi="Times New Roman" w:cs="Times New Roman"/>
          <w:color w:val="000000" w:themeColor="text1"/>
          <w:sz w:val="26"/>
          <w:szCs w:val="26"/>
          <w:lang w:val="vi-VN"/>
        </w:rPr>
        <w:t xml:space="preserve"> with them</w:t>
      </w:r>
      <w:r w:rsidRPr="003F6924">
        <w:rPr>
          <w:rFonts w:ascii="Times New Roman" w:hAnsi="Times New Roman" w:cs="Times New Roman"/>
          <w:color w:val="000000" w:themeColor="text1"/>
          <w:sz w:val="26"/>
          <w:szCs w:val="26"/>
          <w:lang w:val="en-US"/>
        </w:rPr>
        <w:t xml:space="preserve">. The results for the measurement model are presented in Table </w:t>
      </w:r>
      <w:r w:rsidR="00071B69" w:rsidRPr="003F6924">
        <w:rPr>
          <w:rFonts w:ascii="Times New Roman" w:hAnsi="Times New Roman" w:cs="Times New Roman"/>
          <w:color w:val="000000" w:themeColor="text1"/>
          <w:sz w:val="26"/>
          <w:szCs w:val="26"/>
          <w:lang w:val="en-US"/>
        </w:rPr>
        <w:t>5</w:t>
      </w:r>
      <w:r w:rsidRPr="003F6924">
        <w:rPr>
          <w:rFonts w:ascii="Times New Roman" w:hAnsi="Times New Roman" w:cs="Times New Roman"/>
          <w:color w:val="000000" w:themeColor="text1"/>
          <w:sz w:val="26"/>
          <w:szCs w:val="26"/>
          <w:lang w:val="en-US"/>
        </w:rPr>
        <w:t xml:space="preserve">. Accordingly, to achieve indicator reliability, the loading of each item on its associated construct should be greater than 0.7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{"citationID":"eORFFWcI","properties":{"formattedCitation":"(Henseler, 2021)","plainCitation":"(Henseler, 2021)","noteIndex":0},"citationItems":[{"id":3326,"uris":["http://zotero.org/users/9020985/items/ELJUJ9IL"],"itemData":{"id":3326,"type":"book","abstract":"Structural equation modeling (SEM) has become an important element of the methodological toolbox of researchers in social and business science. Both its usefulness and its ease of use have led to its widespread adoption. This book rethinks SEM with regard to the employed auxiliary theory and lays the focus on composites. To do so, it contains a couple of chapters and sections that are unique; i.e., they do not exist in this form in any other textbook on SEM. On the one hand, the book provides a full-fledged introduction to SEM, and covers all basic steps: model specification, model identification, model estimation, and model testing and assessment. In this way, the book is much more similar to classical texts on SEM than to textbooks dedicated to particular composite-based SEM techniques such as partial least squares path modeling or generalized structured component analysis, and it can formidably serve as a primer for novices in SEM. On the other hand, it is a valuable reference for readers who already have a background in using SEM for factor models and who would like to learn more about the use of SEM for composite models. The book covers advanced topics that are useful for all analysts, for instance, moderating effects, mediating effects, and higher-order constructs. It is written at a level such that beginning PhD students and advanced master's students in management, marketing, information systems research, ecology, psychology, sociology, communication science, and most other fields will be able to understand it without problems. The book also opens composite-based SEM's application spectrum toward more design-oriented disciplines, such as psychotherapy, tourism technology, human-media interaction, and new technology research. (PsycInfo Database Record (c) 2021 APA, all rights reserved)","collection-title":"Composite-based structural equation modeling: Analyzing latent and emergent variables","event-place":"New York, NY, US","ISBN":"978-1-4625-4560-5","note":"page: xiv, 364","number-of-pages":"xiv, 364","publisher":"The Guilford Press","publisher-place":"New York, NY, US","source":"APA PsycNet","title":"Composite-based structural equation modeling: Analyzing latent and emergent variables","title-short":"Composite-based structural equation modeling","author":[{"family":"Henseler","given":"Jörg"}],"issued":{"date-parts":[["2021"]]}}}],"schema":"https://github.com/citation-style-language/schema/raw/master/csl-citation.json"}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(Henseler, 2021)</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To establish construct reliability, Dijkstra-Henseler's rho (ρA) and Cronbach's alpha(α) should be greater than 0.7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{"citationID":"o7Qeqd1F","properties":{"formattedCitation":"(Hair et al., 2017; Henseler, 2021)","plainCitation":"(Hair et al., 2017; Henseler, 2021)","noteIndex":0},"citationItems":[{"id":1044,"uris":["http://zotero.org/users/9020985/items/SQEE8ZHA"],"itemData":{"id":1044,"type":"book","publisher":"Thousand Oaks: Sage","title":"A Primer on Partial Least Squares Structural Equation Modeling (PLS-SEM)","URL":"https://doi.org/10.1016/j.lrp.2013.01.002","author":[{"family":"Hair","given":"J.F"},{"family":"Hult","given":"G. T. M"},{"family":"Ringle","given":"C.M"},{"family":"Sarstedt","given":"M"}],"issued":{"date-parts":[["2017"]]}}},{"id":3326,"uris":["http://zotero.org/users/9020985/items/ELJUJ9IL"],"itemData":{"id":3326,"type":"book","abstract":"Structural equation modeling (SEM) has become an important element of the methodological toolbox of researchers in social and business science. Both its usefulness and its ease of use have led to its widespread adoption. This book rethinks SEM with regard to the employed auxiliary theory and lays the focus on composites. To do so, it contains a couple of chapters and sections that are unique; i.e., they do not exist in this form in any other textbook on SEM. On the one hand, the book provides a full-fledged introduction to SEM, and covers all basic steps: model specification, model identification, model estimation, and model testing and assessment. In this way, the book is much more similar to classical texts on SEM than to textbooks dedicated to particular composite-based SEM techniques such as partial least squares path modeling or generalized structured component analysis, and it can formidably serve as a primer for novices in SEM. On the other hand, it is a valuable reference for readers who already have a background in using SEM for factor models and who would like to learn more about the use of SEM for composite models. The book covers advanced topics that are useful for all analysts, for instance, moderating effects, mediating effects, and higher-order constructs. It is written at a level such that beginning PhD students and advanced master's students in management, marketing, information systems research, ecology, psychology, sociology, communication science, and most other fields will be able to understand it without problems. The book also opens composite-based SEM's application spectrum toward more design-oriented disciplines, such as psychotherapy, tourism technology, human-media interaction, and new technology research. (PsycInfo Database Record (c) 2021 APA, all rights reserved)","collection-title":"Composite-based structural equation modeling: Analyzing latent and emergent variables","event-place":"New York, NY, US","ISBN":"978-1-4625-4560-5","note":"page: xiv, 364","number-of-pages":"xiv, 364","publisher":"The Guilford Press","publisher-place":"New York, NY, US","source":"APA PsycNet","title":"Composite-based structural equation modeling: Analyzing latent and emergent variables","title-short":"Composite-based structural equation modeling","author":[{"family":"Henseler","given":"Jörg"}],"issued":{"date-parts":[["2021"]]}}}],"schema":"https://github.com/citation-style-language/schema/raw/master/csl-citation.json"}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color w:val="000000" w:themeColor="text1"/>
          <w:sz w:val="26"/>
          <w:szCs w:val="26"/>
          <w:lang w:val="en-US"/>
        </w:rPr>
        <w:t>(Hair et al., 2017; Henseler, 2021)</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To establish convergent validity, the </w:t>
      </w:r>
      <w:r w:rsidRPr="003F6924">
        <w:rPr>
          <w:rFonts w:ascii="Times New Roman" w:hAnsi="Times New Roman" w:cs="Times New Roman"/>
          <w:color w:val="000000" w:themeColor="text1"/>
          <w:sz w:val="26"/>
          <w:szCs w:val="26"/>
          <w:shd w:val="clear" w:color="auto" w:fill="FFFFFF"/>
          <w:lang w:val="en-US"/>
        </w:rPr>
        <w:t xml:space="preserve">Average variance extracted (AVE) for each construct should be larger than 0.5 </w:t>
      </w:r>
      <w:r w:rsidRPr="003F6924">
        <w:rPr>
          <w:rFonts w:ascii="Times New Roman" w:hAnsi="Times New Roman" w:cs="Times New Roman"/>
          <w:color w:val="000000" w:themeColor="text1"/>
          <w:sz w:val="26"/>
          <w:szCs w:val="26"/>
          <w:shd w:val="clear" w:color="auto" w:fill="FFFFFF"/>
          <w:lang w:val="en-US"/>
        </w:rPr>
        <w:fldChar w:fldCharType="begin"/>
      </w:r>
      <w:r w:rsidRPr="003F6924">
        <w:rPr>
          <w:rFonts w:ascii="Times New Roman" w:hAnsi="Times New Roman" w:cs="Times New Roman"/>
          <w:color w:val="000000" w:themeColor="text1"/>
          <w:sz w:val="26"/>
          <w:szCs w:val="26"/>
          <w:shd w:val="clear" w:color="auto" w:fill="FFFFFF"/>
          <w:lang w:val="en-US"/>
        </w:rPr>
        <w:instrText xml:space="preserve"> ADDIN ZOTERO_ITEM CSL_CITATION {"citationID":"Ruy5FDYC","properties":{"formattedCitation":"(Fornell &amp; Larcker, 1981; Hair et al., 2017)","plainCitation":"(Fornell &amp; Larcker, 1981; Hair et al., 2017)","noteIndex":0},"citationItems":[{"id":1051,"uris":["http://zotero.org/users/9020985/items/M4AZKJAU"],"itemData":{"id":1051,"type":"article-journal","abstract":"The statistical tests used in the analysis of structural equation models with unobservable variables and measurement error are examined. A drawback of the commonly applied chi square test, in addition to the known problems related to sample size and power, is that it may indicate an increasing correspondence between the hypothesized model and the observed data as both the measurement properties and the relationship between constructs decline. Further, and contrary to common assertion, the risk of making a Type II error can be substantial even when the sample size is large. Moreover, the present testing methods are unable to assess a model's explanatory power. To overcome these problems, the authors develop and apply a testing system based on measures of shared variance within the structural model, measurement model, and overall model.","container-title":"Journal of Marketing Research","DOI":"10.2307/3151312","ISSN":"0022-2437","issue":"1","note":"publisher: American Marketing Association","page":"39-50","source":"JSTOR","title":"Evaluating Structural Equation Models with Unobservable Variables and Measurement Error","volume":"18","author":[{"family":"Fornell","given":"Claes"},{"family":"Larcker","given":"David F."}],"issued":{"date-parts":[["1981"]]}}},{"id":1044,"uris":["http://zotero.org/users/9020985/items/SQEE8ZHA"],"itemData":{"id":1044,"type":"book","publisher":"Thousand Oaks: Sage","title":"A Primer on Partial Least Squares Structural Equation Modeling (PLS-SEM)","URL":"https://doi.org/10.1016/j.lrp.2013.01.002","author":[{"family":"Hair","given":"J.F"},{"family":"Hult","given":"G. T. M"},{"family":"Ringle","given":"C.M"},{"family":"Sarstedt","given":"M"}],"issued":{"date-parts":[["2017"]]}}}],"schema":"https://github.com/citation-style-language/schema/raw/master/csl-citation.json"} </w:instrText>
      </w:r>
      <w:r w:rsidRPr="003F6924">
        <w:rPr>
          <w:rFonts w:ascii="Times New Roman" w:hAnsi="Times New Roman" w:cs="Times New Roman"/>
          <w:color w:val="000000" w:themeColor="text1"/>
          <w:sz w:val="26"/>
          <w:szCs w:val="26"/>
          <w:shd w:val="clear" w:color="auto" w:fill="FFFFFF"/>
          <w:lang w:val="en-US"/>
        </w:rPr>
        <w:fldChar w:fldCharType="separate"/>
      </w:r>
      <w:r w:rsidRPr="003F6924">
        <w:rPr>
          <w:rFonts w:ascii="Times New Roman" w:hAnsi="Times New Roman" w:cs="Times New Roman"/>
          <w:color w:val="000000" w:themeColor="text1"/>
          <w:sz w:val="26"/>
          <w:szCs w:val="26"/>
          <w:lang w:val="en-US"/>
        </w:rPr>
        <w:t xml:space="preserve">(Fornell </w:t>
      </w:r>
      <w:r w:rsidR="00F377A7" w:rsidRPr="003F6924">
        <w:rPr>
          <w:rFonts w:ascii="Times New Roman" w:hAnsi="Times New Roman" w:cs="Times New Roman"/>
          <w:color w:val="000000" w:themeColor="text1"/>
          <w:sz w:val="26"/>
          <w:szCs w:val="26"/>
          <w:lang w:val="vi-VN"/>
        </w:rPr>
        <w:t>&amp;</w:t>
      </w:r>
      <w:r w:rsidRPr="003F6924">
        <w:rPr>
          <w:rFonts w:ascii="Times New Roman" w:hAnsi="Times New Roman" w:cs="Times New Roman"/>
          <w:color w:val="000000" w:themeColor="text1"/>
          <w:sz w:val="26"/>
          <w:szCs w:val="26"/>
          <w:lang w:val="en-US"/>
        </w:rPr>
        <w:t xml:space="preserve"> Larcker, 1981; Hair et al., 2017)</w:t>
      </w:r>
      <w:r w:rsidRPr="003F6924">
        <w:rPr>
          <w:rFonts w:ascii="Times New Roman" w:hAnsi="Times New Roman" w:cs="Times New Roman"/>
          <w:color w:val="000000" w:themeColor="text1"/>
          <w:sz w:val="26"/>
          <w:szCs w:val="26"/>
          <w:shd w:val="clear" w:color="auto" w:fill="FFFFFF"/>
          <w:lang w:val="en-US"/>
        </w:rPr>
        <w:fldChar w:fldCharType="end"/>
      </w:r>
      <w:r w:rsidRPr="003F6924">
        <w:rPr>
          <w:rFonts w:ascii="Times New Roman" w:hAnsi="Times New Roman" w:cs="Times New Roman"/>
          <w:color w:val="000000" w:themeColor="text1"/>
          <w:sz w:val="26"/>
          <w:szCs w:val="26"/>
          <w:shd w:val="clear" w:color="auto" w:fill="FFFFFF"/>
          <w:lang w:val="en-US"/>
        </w:rPr>
        <w:t xml:space="preserve">. Furthermore, the author also assesses the indicator multicollinearity via Variance Inflation Factors (VIF). </w:t>
      </w:r>
    </w:p>
    <w:p w14:paraId="55A03884" w14:textId="77777777"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shd w:val="clear" w:color="auto" w:fill="FFFFFF"/>
          <w:lang w:val="en-US"/>
        </w:rPr>
      </w:pPr>
      <w:r w:rsidRPr="003F6924">
        <w:rPr>
          <w:rFonts w:ascii="Times New Roman" w:hAnsi="Times New Roman" w:cs="Times New Roman"/>
          <w:color w:val="000000" w:themeColor="text1"/>
          <w:sz w:val="26"/>
          <w:szCs w:val="26"/>
          <w:shd w:val="clear" w:color="auto" w:fill="FFFFFF"/>
          <w:lang w:val="en-US"/>
        </w:rPr>
        <w:t xml:space="preserve">According to </w:t>
      </w:r>
      <w:r w:rsidRPr="003F6924">
        <w:rPr>
          <w:rFonts w:ascii="Times New Roman" w:hAnsi="Times New Roman" w:cs="Times New Roman"/>
          <w:color w:val="000000" w:themeColor="text1"/>
          <w:sz w:val="26"/>
          <w:szCs w:val="26"/>
          <w:shd w:val="clear" w:color="auto" w:fill="FFFFFF"/>
          <w:lang w:val="en-US"/>
        </w:rPr>
        <w:fldChar w:fldCharType="begin"/>
      </w:r>
      <w:r w:rsidRPr="003F6924">
        <w:rPr>
          <w:rFonts w:ascii="Times New Roman" w:hAnsi="Times New Roman" w:cs="Times New Roman"/>
          <w:color w:val="000000" w:themeColor="text1"/>
          <w:sz w:val="26"/>
          <w:szCs w:val="26"/>
          <w:shd w:val="clear" w:color="auto" w:fill="FFFFFF"/>
          <w:lang w:val="en-US"/>
        </w:rPr>
        <w:instrText xml:space="preserve"> ADDIN ZOTERO_ITEM CSL_CITATION {"citationID":"a2jpc9sm7of","properties":{"formattedCitation":"\\uldash{(Hair et al., 2019)}","plainCitation":"(Hair et al., 2019)","dontUpdate":true,"noteIndex":0},"citationItems":[{"id":3485,"uris":["http://zotero.org/users/9020985/items/WCSMWENM"],"itemData":{"id":3485,"type":"article-journal","abstract":"Purpose\n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robustness.\n            \n            \n              Design/methodology/approach\n              This paper provides an overview of previously and recently proposed metrics as well as rules of thumb for evaluating the research results based on the application of PLS-SEM.\n            \n            \n              Findings\n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analyses.\n            \n            \n              Research limitations/implications\n              Methodological developments associated with PLS-SEM are rapidly emerging. The metrics reported in this paper are useful for current applications, but must always be up to date with the latest developments in the PLS-SEM method.\n            \n            \n              Originality/value\n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solutions.","container-title":"European Business Review","DOI":"10.1108/EBR-11-2018-0203","ISSN":"0955-534X","issue":"1","journalAbbreviation":"EBR","language":"en","page":"2-24","source":"DOI.org (Crossref)","title":"When to use and how to report the results of PLS-SEM","volume":"31","author":[{"family":"Hair","given":"Joseph F."},{"family":"Risher","given":"Jeffrey J."},{"family":"Sarstedt","given":"Marko"},{"family":"Ringle","given":"Christian M."}],"issued":{"date-parts":[["2019",1,14]]}}}],"schema":"https://github.com/citation-style-language/schema/raw/master/csl-citation.json"} </w:instrText>
      </w:r>
      <w:r w:rsidRPr="003F6924">
        <w:rPr>
          <w:rFonts w:ascii="Times New Roman" w:hAnsi="Times New Roman" w:cs="Times New Roman"/>
          <w:color w:val="000000" w:themeColor="text1"/>
          <w:sz w:val="26"/>
          <w:szCs w:val="26"/>
          <w:shd w:val="clear" w:color="auto" w:fill="FFFFFF"/>
          <w:lang w:val="en-US"/>
        </w:rPr>
        <w:fldChar w:fldCharType="separate"/>
      </w:r>
      <w:r w:rsidRPr="003F6924">
        <w:rPr>
          <w:rFonts w:ascii="Times New Roman" w:hAnsi="Times New Roman" w:cs="Times New Roman"/>
          <w:color w:val="000000" w:themeColor="text1"/>
          <w:sz w:val="26"/>
          <w:szCs w:val="26"/>
          <w:lang w:val="en-US"/>
        </w:rPr>
        <w:t>Hair et al. (2019)</w:t>
      </w:r>
      <w:r w:rsidRPr="003F6924">
        <w:rPr>
          <w:rFonts w:ascii="Times New Roman" w:hAnsi="Times New Roman" w:cs="Times New Roman"/>
          <w:color w:val="000000" w:themeColor="text1"/>
          <w:sz w:val="26"/>
          <w:szCs w:val="26"/>
          <w:shd w:val="clear" w:color="auto" w:fill="FFFFFF"/>
          <w:lang w:val="en-US"/>
        </w:rPr>
        <w:fldChar w:fldCharType="end"/>
      </w:r>
      <w:r w:rsidRPr="003F6924">
        <w:rPr>
          <w:rFonts w:ascii="Times New Roman" w:hAnsi="Times New Roman" w:cs="Times New Roman"/>
          <w:color w:val="000000" w:themeColor="text1"/>
          <w:sz w:val="26"/>
          <w:szCs w:val="26"/>
          <w:shd w:val="clear" w:color="auto" w:fill="FFFFFF"/>
          <w:lang w:val="en-US"/>
        </w:rPr>
        <w:t xml:space="preserve">, reliability values should range from 0.6 to 0.9, indicating satisfactory to good reliability. However, values of 0.95 and higher are problematic as they indicate redundancy, reduce construct validity, and increase undesirable response patterns. </w:t>
      </w:r>
      <w:r w:rsidR="001072BC" w:rsidRPr="003F6924">
        <w:rPr>
          <w:rFonts w:ascii="Times New Roman" w:hAnsi="Times New Roman" w:cs="Times New Roman"/>
          <w:color w:val="000000" w:themeColor="text1"/>
          <w:sz w:val="26"/>
          <w:szCs w:val="26"/>
          <w:shd w:val="clear" w:color="auto" w:fill="FFFFFF"/>
          <w:lang w:val="en-US"/>
        </w:rPr>
        <w:t xml:space="preserve">Accordingly, indicators with excessively high or low loading values were removed to enhance </w:t>
      </w:r>
      <w:r w:rsidR="001072BC" w:rsidRPr="003F6924">
        <w:rPr>
          <w:rFonts w:ascii="Times New Roman" w:hAnsi="Times New Roman" w:cs="Times New Roman"/>
          <w:color w:val="000000" w:themeColor="text1"/>
          <w:sz w:val="26"/>
          <w:lang w:val="en-US"/>
        </w:rPr>
        <w:t>the</w:t>
      </w:r>
      <w:r w:rsidR="001072BC" w:rsidRPr="003F6924">
        <w:rPr>
          <w:rFonts w:ascii="Times New Roman" w:hAnsi="Times New Roman" w:cs="Times New Roman"/>
          <w:color w:val="000000" w:themeColor="text1"/>
          <w:sz w:val="26"/>
          <w:szCs w:val="26"/>
          <w:shd w:val="clear" w:color="auto" w:fill="FFFFFF"/>
          <w:lang w:val="en-US"/>
        </w:rPr>
        <w:t xml:space="preserve"> model’s reliability</w:t>
      </w:r>
      <w:r w:rsidRPr="003F6924">
        <w:rPr>
          <w:rFonts w:ascii="Times New Roman" w:hAnsi="Times New Roman" w:cs="Times New Roman"/>
          <w:color w:val="000000" w:themeColor="text1"/>
          <w:sz w:val="26"/>
          <w:szCs w:val="26"/>
          <w:shd w:val="clear" w:color="auto" w:fill="FFFFFF"/>
          <w:lang w:val="en-US"/>
        </w:rPr>
        <w:t>.</w:t>
      </w:r>
      <w:r w:rsidR="001072BC" w:rsidRPr="003F6924">
        <w:rPr>
          <w:rFonts w:ascii="Times New Roman" w:hAnsi="Times New Roman" w:cs="Times New Roman"/>
          <w:color w:val="000000" w:themeColor="text1"/>
          <w:sz w:val="26"/>
          <w:szCs w:val="26"/>
          <w:shd w:val="clear" w:color="auto" w:fill="FFFFFF"/>
          <w:lang w:val="en-US"/>
        </w:rPr>
        <w:t xml:space="preserve"> The analysis revealed that all indicator loadings for the reflective constructs exceeded 0.70, indicating satisfactory construct reliability</w:t>
      </w:r>
      <w:r w:rsidRPr="003F6924">
        <w:rPr>
          <w:rFonts w:ascii="Times New Roman" w:hAnsi="Times New Roman" w:cs="Times New Roman"/>
          <w:color w:val="000000" w:themeColor="text1"/>
          <w:sz w:val="26"/>
          <w:szCs w:val="26"/>
          <w:shd w:val="clear" w:color="auto" w:fill="FFFFFF"/>
          <w:lang w:val="en-US"/>
        </w:rPr>
        <w:t xml:space="preserve">. Despite </w:t>
      </w:r>
      <w:r w:rsidR="00EE482D" w:rsidRPr="003F6924">
        <w:rPr>
          <w:rFonts w:ascii="Times New Roman" w:hAnsi="Times New Roman" w:cs="Times New Roman"/>
          <w:color w:val="000000" w:themeColor="text1"/>
          <w:sz w:val="26"/>
          <w:szCs w:val="26"/>
          <w:shd w:val="clear" w:color="auto" w:fill="FFFFFF"/>
          <w:lang w:val="en-US"/>
        </w:rPr>
        <w:t>specific</w:t>
      </w:r>
      <w:r w:rsidRPr="003F6924">
        <w:rPr>
          <w:rFonts w:ascii="Times New Roman" w:hAnsi="Times New Roman" w:cs="Times New Roman"/>
          <w:color w:val="000000" w:themeColor="text1"/>
          <w:sz w:val="26"/>
          <w:szCs w:val="26"/>
          <w:shd w:val="clear" w:color="auto" w:fill="FFFFFF"/>
          <w:lang w:val="en-US"/>
        </w:rPr>
        <w:t xml:space="preserve"> loading values of the indicators being suboptimal (e.g., ECC_5 = 0.9006, BCC_3 = 0.6633, DTP_2 = 0.6913, DPT_4 = 0.6291, LDT_1 = 0.9249), </w:t>
      </w:r>
      <w:r w:rsidR="00EE482D" w:rsidRPr="003F6924">
        <w:rPr>
          <w:rFonts w:ascii="Times New Roman" w:hAnsi="Times New Roman" w:cs="Times New Roman"/>
          <w:color w:val="000000" w:themeColor="text1"/>
          <w:sz w:val="26"/>
          <w:szCs w:val="26"/>
          <w:shd w:val="clear" w:color="auto" w:fill="FFFFFF"/>
          <w:lang w:val="en-US"/>
        </w:rPr>
        <w:t>removing</w:t>
      </w:r>
      <w:r w:rsidRPr="003F6924">
        <w:rPr>
          <w:rFonts w:ascii="Times New Roman" w:hAnsi="Times New Roman" w:cs="Times New Roman"/>
          <w:color w:val="000000" w:themeColor="text1"/>
          <w:sz w:val="26"/>
          <w:szCs w:val="26"/>
          <w:shd w:val="clear" w:color="auto" w:fill="FFFFFF"/>
          <w:lang w:val="en-US"/>
        </w:rPr>
        <w:t xml:space="preserve"> these indicators results in a decrease in the goodness of fit (GoF). Hair et al. (2019) show that indicators with loadings below the recommended threshold of 0.7 were retained when their theoretical importance was deemed significant and when the construct’s composite reliability (CR) and average variance extracted (AVE) values remained within acceptable limits. Retaining such indicators ensured the content validity of the constructs while maintaining adequate measurement quality. As a result, the authors maintained these indicators. </w:t>
      </w:r>
    </w:p>
    <w:p w14:paraId="7EA508ED" w14:textId="77777777"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shd w:val="clear" w:color="auto" w:fill="FFFFFF"/>
          <w:lang w:val="en-US"/>
        </w:rPr>
      </w:pPr>
      <w:r w:rsidRPr="003F6924">
        <w:rPr>
          <w:rFonts w:ascii="Times New Roman" w:hAnsi="Times New Roman" w:cs="Times New Roman"/>
          <w:color w:val="000000" w:themeColor="text1"/>
          <w:sz w:val="26"/>
          <w:szCs w:val="26"/>
          <w:lang w:val="en-US"/>
        </w:rPr>
        <w:t xml:space="preserve">The reliability of construct scores was assessed drawing upon Dijkstra-Henseler’s rho (ρA)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{"citationID":"g5HJXxPl","properties":{"formattedCitation":"(Dijkstra &amp; Henseler, 2015)","plainCitation":"(Dijkstra &amp; Henseler, 2015)","noteIndex":0},"citationItems":[{"id":2647,"uris":["http://zotero.org/users/9020985/items/FSZ4TU96"],"itemData":{"id":2647,"type":"article-journal","container-title":"MIS Quarterly","issue":"2","page":"297–316.","title":"Consistent partial least squares path modeling.","volume":"39","author":[{"family":"Dijkstra","given":"T. K"},{"family":"Henseler","given":"J"}],"issued":{"date-parts":[["2015"]]}}}],"schema":"https://github.com/citation-style-language/schema/raw/master/csl-citation.json"}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 xml:space="preserve">(Dijkstra </w:t>
      </w:r>
      <w:r w:rsidR="00F377A7" w:rsidRPr="003F6924">
        <w:rPr>
          <w:rFonts w:ascii="Times New Roman" w:hAnsi="Times New Roman" w:cs="Times New Roman"/>
          <w:noProof/>
          <w:color w:val="000000" w:themeColor="text1"/>
          <w:sz w:val="26"/>
          <w:szCs w:val="26"/>
          <w:lang w:val="vi-VN"/>
        </w:rPr>
        <w:t>&amp;</w:t>
      </w:r>
      <w:r w:rsidRPr="003F6924">
        <w:rPr>
          <w:rFonts w:ascii="Times New Roman" w:hAnsi="Times New Roman" w:cs="Times New Roman"/>
          <w:noProof/>
          <w:color w:val="000000" w:themeColor="text1"/>
          <w:sz w:val="26"/>
          <w:szCs w:val="26"/>
          <w:lang w:val="en-US"/>
        </w:rPr>
        <w:t xml:space="preserve"> Henseler, 2015)</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Composite reliability (ρc)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{"citationID":"06cPOyrP","properties":{"formattedCitation":"(Werts et al., 1978)","plainCitation":"(Werts et al., 1978)","noteIndex":0},"citationItems":[{"id":2649,"uris":["http://zotero.org/users/9020985/items/RLC2X437"],"itemData":{"id":2649,"type":"article-journal","abstract":"A procedure for estimating the reliability of a factorially complex composite is considered.","container-title":"Educational and Psychological Measurement","DOI":"10.1177/001316447803800412","ISSN":"0013-1644","issue":"4","language":"en","note":"publisher: SAGE Publications Inc","page":"933-938","source":"SAGE Journals","title":"A General Method of Estimating the Reliability of a Composite","volume":"38","author":[{"family":"Werts","given":"C.E."},{"family":"Rock","given":"D.R."},{"family":"Linn","given":"R.L."},{"family":"Jöreskog","given":"K.G."}],"issued":{"date-parts":[["1978",12,1]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(Werts et al., 1978)</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and Cronbach’s alpha (α)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{"citationID":"RkL0SvzV","properties":{"formattedCitation":"(Cronbach, 1951)","plainCitation":"(Cronbach, 1951)","noteIndex":0},"citationItems":[{"id":2650,"uris":["http://zotero.org/users/9020985/items/KALUZWLA"],"itemData":{"id":2650,"type":"article-journal","abstract":"A general formula (α) of which a special case is the Kuder-Richardson coefficient of equivalence is shown to be the mean of all split-half coefficients resulting from different splittings of a test. α is therefore an estimate of the correlation between two random samples of items from a universe of items like those in the test. α is found to be an appropriate index of equivalence and, except for very short tests, of the first-factor concentration in the test. Tests divisible into distinct subtests should be so divided before using the formula. The index$$\\bar r_{ij} $$, derived from α, is shown to be an index of inter-item homogeneity. Comparison is made to the Guttman and Loevinger approaches. Parallel split coefficients are shown to be unnecessary for tests of common types. In designing tests, maximum interpretability of scores is obtained by increasing the first-factor concentration in any separately-scored subtest and avoiding substantial group-factor clusters within a subtest. Scalability is not a requisite.","container-title":"Psychometrika","DOI":"10.1007/BF02310555","ISSN":"1860-0980","issue":"3","journalAbbreviation":"Psychometrika","language":"en","page":"297-334","source":"Springer Link","title":"Coefficient alpha and the internal structure of tests","volume":"16","author":[{"family":"Cronbach","given":"Lee J."}],"issued":{"date-parts":[["1951",9,1]]}}}],"schema":"https://github.com/citation-style-language/schema/raw/master/csl-citation.json"}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(Cronbach, 1951)</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Accordingly, all values of latent constructs should be higher than 0.7.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{"citationID":"a17m70bojfd","properties":{"formattedCitation":"\\uldash{(Dijkstra and Henseler, 2015)}","plainCitation":"(Dijkstra and Henseler, 2015)","dontUpdate":true,"noteIndex":0},"citationItems":[{"id":2647,"uris":["http://zotero.org/users/9020985/items/FSZ4TU96"],"itemData":{"id":2647,"type":"article-journal","container-title":"MIS Quarterly","issue":"2","page":"297–316.","title":"Consistent partial least squares path modeling.","volume":"39","author":[{"family":"Dijkstra","given":"T. K"},{"family":"Henseler","given":"J"}],"issued":{"date-parts":[["2015"]]}}}],"schema":"https://github.com/citation-style-language/schema/raw/master/csl-citation.json"}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color w:val="000000" w:themeColor="text1"/>
          <w:sz w:val="26"/>
          <w:szCs w:val="26"/>
          <w:lang w:val="en-US"/>
        </w:rPr>
        <w:t>Dijkstra and Henseler (2015)</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argued that Cronbach’s alpha may be too conservative</w:t>
      </w:r>
      <w:r w:rsidR="00EE482D" w:rsidRPr="003F6924">
        <w:rPr>
          <w:rFonts w:ascii="Times New Roman" w:hAnsi="Times New Roman" w:cs="Times New Roman"/>
          <w:color w:val="000000" w:themeColor="text1"/>
          <w:sz w:val="26"/>
          <w:szCs w:val="26"/>
          <w:lang w:val="en-US"/>
        </w:rPr>
        <w:t>,</w:t>
      </w:r>
      <w:r w:rsidRPr="003F6924">
        <w:rPr>
          <w:rFonts w:ascii="Times New Roman" w:hAnsi="Times New Roman" w:cs="Times New Roman"/>
          <w:color w:val="000000" w:themeColor="text1"/>
          <w:sz w:val="26"/>
          <w:szCs w:val="26"/>
          <w:lang w:val="en-US"/>
        </w:rPr>
        <w:t xml:space="preserve"> while the composite reliability may be too liberal. These scholars suggested Dijkstra-Henseler's rho (ρA) as an approximately exact measure of construct reliability, which usually lies between Cronbach’s alpha and composite reliability. The results show that Dijkstra-Henseler's rho (ρA), Composite reliability (ρc), and Cronbach's alpha(α) exceed 0.7. Therefore, the study concludes that all reflective constructs achieved indicator and construct reliability. </w:t>
      </w:r>
    </w:p>
    <w:p w14:paraId="1C54584C" w14:textId="77777777"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shd w:val="clear" w:color="auto" w:fill="FFFFFF"/>
          <w:lang w:val="en-US"/>
        </w:rPr>
      </w:pPr>
      <w:r w:rsidRPr="003F6924">
        <w:rPr>
          <w:rFonts w:ascii="Times New Roman" w:hAnsi="Times New Roman" w:cs="Times New Roman"/>
          <w:color w:val="000000" w:themeColor="text1"/>
          <w:sz w:val="26"/>
          <w:szCs w:val="26"/>
          <w:lang w:val="en-US"/>
        </w:rPr>
        <w:t xml:space="preserve">To establish convergent validity, the </w:t>
      </w:r>
      <w:r w:rsidRPr="003F6924">
        <w:rPr>
          <w:rFonts w:ascii="Times New Roman" w:hAnsi="Times New Roman" w:cs="Times New Roman"/>
          <w:color w:val="000000" w:themeColor="text1"/>
          <w:sz w:val="26"/>
          <w:szCs w:val="26"/>
          <w:shd w:val="clear" w:color="auto" w:fill="FFFFFF"/>
          <w:lang w:val="en-US"/>
        </w:rPr>
        <w:t xml:space="preserve">average variance extracted (AVE) for each construct should be larger than 0.5 </w:t>
      </w:r>
      <w:r w:rsidRPr="003F6924">
        <w:rPr>
          <w:rFonts w:ascii="Times New Roman" w:hAnsi="Times New Roman" w:cs="Times New Roman"/>
          <w:color w:val="000000" w:themeColor="text1"/>
          <w:sz w:val="26"/>
          <w:szCs w:val="26"/>
          <w:shd w:val="clear" w:color="auto" w:fill="FFFFFF"/>
          <w:lang w:val="en-US"/>
        </w:rPr>
        <w:fldChar w:fldCharType="begin"/>
      </w:r>
      <w:r w:rsidRPr="003F6924">
        <w:rPr>
          <w:rFonts w:ascii="Times New Roman" w:hAnsi="Times New Roman" w:cs="Times New Roman"/>
          <w:color w:val="000000" w:themeColor="text1"/>
          <w:sz w:val="26"/>
          <w:szCs w:val="26"/>
          <w:shd w:val="clear" w:color="auto" w:fill="FFFFFF"/>
          <w:lang w:val="en-US"/>
        </w:rPr>
        <w:instrText xml:space="preserve"> ADDIN ZOTERO_ITEM CSL_CITATION {"citationID":"J9VKd8Tw","properties":{"formattedCitation":"(Hair et al., 2017)","plainCitation":"(Hair et al., 2017)","noteIndex":0},"citationItems":[{"id":1044,"uris":["http://zotero.org/users/9020985/items/SQEE8ZHA"],"itemData":{"id":1044,"type":"book","publisher":"Thousand Oaks: Sage","title":"A Primer on Partial Least Squares Structural Equation Modeling (PLS-SEM)","URL":"https://doi.org/10.1016/j.lrp.2013.01.002","author":[{"family":"Hair","given":"J.F"},{"family":"Hult","given":"G. T. M"},{"family":"Ringle","given":"C.M"},{"family":"Sarstedt","given":"M"}],"issued":{"date-parts":[["2017"]]}}}],"schema":"https://github.com/citation-style-language/schema/raw/master/csl-citation.json"} </w:instrText>
      </w:r>
      <w:r w:rsidRPr="003F6924">
        <w:rPr>
          <w:rFonts w:ascii="Times New Roman" w:hAnsi="Times New Roman" w:cs="Times New Roman"/>
          <w:color w:val="000000" w:themeColor="text1"/>
          <w:sz w:val="26"/>
          <w:szCs w:val="26"/>
          <w:shd w:val="clear" w:color="auto" w:fill="FFFFFF"/>
          <w:lang w:val="en-US"/>
        </w:rPr>
        <w:fldChar w:fldCharType="separate"/>
      </w:r>
      <w:r w:rsidRPr="003F6924">
        <w:rPr>
          <w:rFonts w:ascii="Times New Roman" w:hAnsi="Times New Roman" w:cs="Times New Roman"/>
          <w:color w:val="000000" w:themeColor="text1"/>
          <w:sz w:val="26"/>
          <w:szCs w:val="26"/>
          <w:lang w:val="en-US"/>
        </w:rPr>
        <w:t>(Hair et al., 2017)</w:t>
      </w:r>
      <w:r w:rsidRPr="003F6924">
        <w:rPr>
          <w:rFonts w:ascii="Times New Roman" w:hAnsi="Times New Roman" w:cs="Times New Roman"/>
          <w:color w:val="000000" w:themeColor="text1"/>
          <w:sz w:val="26"/>
          <w:szCs w:val="26"/>
          <w:shd w:val="clear" w:color="auto" w:fill="FFFFFF"/>
          <w:lang w:val="en-US"/>
        </w:rPr>
        <w:fldChar w:fldCharType="end"/>
      </w:r>
      <w:r w:rsidRPr="003F6924">
        <w:rPr>
          <w:rFonts w:ascii="Times New Roman" w:hAnsi="Times New Roman" w:cs="Times New Roman"/>
          <w:color w:val="000000" w:themeColor="text1"/>
          <w:sz w:val="26"/>
          <w:szCs w:val="26"/>
          <w:shd w:val="clear" w:color="auto" w:fill="FFFFFF"/>
          <w:lang w:val="en-US"/>
        </w:rPr>
        <w:t xml:space="preserve">. Furthermore, the variance inflation factors (VIF) are also below the threshold of 5. The results show that the model achieves convergent validity. </w:t>
      </w:r>
    </w:p>
    <w:p w14:paraId="6ACC1A2C" w14:textId="77777777" w:rsidR="00671523" w:rsidRPr="003F6924" w:rsidRDefault="00671523" w:rsidP="00671523">
      <w:pPr>
        <w:snapToGrid w:val="0"/>
        <w:spacing w:after="0" w:line="300" w:lineRule="auto"/>
        <w:jc w:val="both"/>
        <w:rPr>
          <w:rFonts w:ascii="Times New Roman" w:hAnsi="Times New Roman" w:cs="Times New Roman"/>
          <w:color w:val="000000" w:themeColor="text1"/>
          <w:sz w:val="26"/>
          <w:szCs w:val="26"/>
          <w:shd w:val="clear" w:color="auto" w:fill="FFFFFF"/>
          <w:lang w:val="en-US"/>
        </w:rPr>
      </w:pPr>
    </w:p>
    <w:p w14:paraId="3314FD86" w14:textId="6E964300" w:rsidR="00EF6E62" w:rsidRPr="003F6924" w:rsidRDefault="00B543E4" w:rsidP="00794E60">
      <w:pPr>
        <w:pStyle w:val="af8"/>
        <w:snapToGrid w:val="0"/>
        <w:spacing w:after="0" w:line="300" w:lineRule="auto"/>
        <w:ind w:left="992" w:hangingChars="381" w:hanging="992"/>
        <w:jc w:val="both"/>
        <w:rPr>
          <w:color w:val="000000" w:themeColor="text1"/>
          <w:sz w:val="26"/>
          <w:szCs w:val="26"/>
          <w:lang w:val="en-US"/>
        </w:rPr>
      </w:pPr>
      <w:r w:rsidRPr="003F6924">
        <w:rPr>
          <w:b/>
          <w:bCs/>
          <w:i w:val="0"/>
          <w:iCs w:val="0"/>
          <w:color w:val="000000" w:themeColor="text1"/>
          <w:sz w:val="26"/>
          <w:szCs w:val="26"/>
          <w:lang w:val="en-US"/>
        </w:rPr>
        <w:t xml:space="preserve">Table </w:t>
      </w:r>
      <w:r w:rsidRPr="003F6924">
        <w:rPr>
          <w:b/>
          <w:bCs/>
          <w:i w:val="0"/>
          <w:iCs w:val="0"/>
          <w:color w:val="000000" w:themeColor="text1"/>
          <w:sz w:val="26"/>
          <w:szCs w:val="26"/>
          <w:lang w:val="en-US"/>
        </w:rPr>
        <w:fldChar w:fldCharType="begin"/>
      </w:r>
      <w:r w:rsidRPr="003F6924">
        <w:rPr>
          <w:b/>
          <w:bCs/>
          <w:i w:val="0"/>
          <w:iCs w:val="0"/>
          <w:color w:val="000000" w:themeColor="text1"/>
          <w:sz w:val="26"/>
          <w:szCs w:val="26"/>
          <w:lang w:val="en-US"/>
        </w:rPr>
        <w:instrText xml:space="preserve"> SEQ Table \* ARABIC </w:instrText>
      </w:r>
      <w:r w:rsidRPr="003F6924">
        <w:rPr>
          <w:b/>
          <w:bCs/>
          <w:i w:val="0"/>
          <w:iCs w:val="0"/>
          <w:color w:val="000000" w:themeColor="text1"/>
          <w:sz w:val="26"/>
          <w:szCs w:val="26"/>
          <w:lang w:val="en-US"/>
        </w:rPr>
        <w:fldChar w:fldCharType="separate"/>
      </w:r>
      <w:r w:rsidR="0058062D">
        <w:rPr>
          <w:b/>
          <w:bCs/>
          <w:i w:val="0"/>
          <w:iCs w:val="0"/>
          <w:noProof/>
          <w:color w:val="000000" w:themeColor="text1"/>
          <w:sz w:val="26"/>
          <w:szCs w:val="26"/>
          <w:lang w:val="en-US"/>
        </w:rPr>
        <w:t>5</w:t>
      </w:r>
      <w:r w:rsidRPr="003F6924">
        <w:rPr>
          <w:b/>
          <w:bCs/>
          <w:i w:val="0"/>
          <w:iCs w:val="0"/>
          <w:noProof/>
          <w:color w:val="000000" w:themeColor="text1"/>
          <w:sz w:val="26"/>
          <w:szCs w:val="26"/>
          <w:lang w:val="en-US"/>
        </w:rPr>
        <w:fldChar w:fldCharType="end"/>
      </w:r>
      <w:r w:rsidRPr="003F6924">
        <w:rPr>
          <w:color w:val="000000" w:themeColor="text1"/>
          <w:sz w:val="26"/>
          <w:szCs w:val="26"/>
          <w:lang w:val="en-US"/>
        </w:rPr>
        <w:t xml:space="preserve"> Results for the </w:t>
      </w:r>
      <w:r w:rsidR="00D91D58" w:rsidRPr="003F6924">
        <w:rPr>
          <w:color w:val="000000" w:themeColor="text1"/>
          <w:sz w:val="26"/>
          <w:szCs w:val="26"/>
          <w:lang w:val="en-US"/>
        </w:rPr>
        <w:t xml:space="preserve">Assessment </w:t>
      </w:r>
      <w:r w:rsidRPr="003F6924">
        <w:rPr>
          <w:color w:val="000000" w:themeColor="text1"/>
          <w:sz w:val="26"/>
          <w:szCs w:val="26"/>
          <w:lang w:val="en-US"/>
        </w:rPr>
        <w:t xml:space="preserve">of </w:t>
      </w:r>
      <w:r w:rsidR="00D91D58" w:rsidRPr="003F6924">
        <w:rPr>
          <w:color w:val="000000" w:themeColor="text1"/>
          <w:sz w:val="26"/>
          <w:szCs w:val="26"/>
          <w:lang w:val="en-US"/>
        </w:rPr>
        <w:t>Reflective Measurement Model</w:t>
      </w:r>
      <w:r w:rsidRPr="003F6924">
        <w:rPr>
          <w:color w:val="000000" w:themeColor="text1"/>
          <w:sz w:val="26"/>
          <w:szCs w:val="26"/>
          <w:lang w:val="en-US"/>
        </w:rPr>
        <w:t xml:space="preserve">s. </w:t>
      </w:r>
    </w:p>
    <w:tbl>
      <w:tblPr>
        <w:tblW w:w="5000" w:type="pct"/>
        <w:tblLook w:val="04A0" w:firstRow="1" w:lastRow="0" w:firstColumn="1" w:lastColumn="0" w:noHBand="0" w:noVBand="1"/>
      </w:tblPr>
      <w:tblGrid>
        <w:gridCol w:w="1011"/>
        <w:gridCol w:w="1070"/>
        <w:gridCol w:w="923"/>
        <w:gridCol w:w="980"/>
        <w:gridCol w:w="1073"/>
        <w:gridCol w:w="1073"/>
        <w:gridCol w:w="1074"/>
        <w:gridCol w:w="1073"/>
        <w:gridCol w:w="915"/>
      </w:tblGrid>
      <w:tr w:rsidR="0046229B" w:rsidRPr="003F6924" w14:paraId="12DA7FD8" w14:textId="77777777" w:rsidTr="001418E6">
        <w:trPr>
          <w:trHeight w:val="20"/>
          <w:tblHeader/>
        </w:trPr>
        <w:tc>
          <w:tcPr>
            <w:tcW w:w="548" w:type="pct"/>
            <w:tcBorders>
              <w:top w:val="single" w:sz="4" w:space="0" w:color="auto"/>
              <w:left w:val="nil"/>
              <w:bottom w:val="single" w:sz="4" w:space="0" w:color="auto"/>
              <w:right w:val="nil"/>
            </w:tcBorders>
            <w:shd w:val="clear" w:color="auto" w:fill="auto"/>
            <w:noWrap/>
            <w:vAlign w:val="center"/>
            <w:hideMark/>
          </w:tcPr>
          <w:p w14:paraId="474EDB1D" w14:textId="77777777" w:rsidR="00EF6E62" w:rsidRPr="003F6924" w:rsidRDefault="00B543E4" w:rsidP="00671523">
            <w:pPr>
              <w:spacing w:after="0" w:line="240" w:lineRule="auto"/>
              <w:jc w:val="center"/>
              <w:rPr>
                <w:rFonts w:ascii="Times New Roman" w:hAnsi="Times New Roman" w:cs="Times New Roman"/>
                <w:b/>
                <w:bCs/>
                <w:color w:val="000000" w:themeColor="text1"/>
                <w:sz w:val="18"/>
                <w:szCs w:val="18"/>
                <w:lang w:val="en-US"/>
              </w:rPr>
            </w:pPr>
            <w:r w:rsidRPr="003F6924">
              <w:rPr>
                <w:rFonts w:ascii="Times New Roman" w:hAnsi="Times New Roman" w:cs="Times New Roman"/>
                <w:b/>
                <w:bCs/>
                <w:color w:val="000000" w:themeColor="text1"/>
                <w:sz w:val="18"/>
                <w:szCs w:val="18"/>
                <w:lang w:val="en-US"/>
              </w:rPr>
              <w:t>Construct</w:t>
            </w:r>
          </w:p>
        </w:tc>
        <w:tc>
          <w:tcPr>
            <w:tcW w:w="587" w:type="pct"/>
            <w:tcBorders>
              <w:top w:val="single" w:sz="4" w:space="0" w:color="auto"/>
              <w:left w:val="nil"/>
              <w:bottom w:val="single" w:sz="4" w:space="0" w:color="auto"/>
              <w:right w:val="nil"/>
            </w:tcBorders>
            <w:vAlign w:val="center"/>
          </w:tcPr>
          <w:p w14:paraId="3738D4C8" w14:textId="77777777" w:rsidR="00EF6E62" w:rsidRPr="003F6924" w:rsidRDefault="00B543E4" w:rsidP="00671523">
            <w:pPr>
              <w:spacing w:after="0" w:line="240" w:lineRule="auto"/>
              <w:jc w:val="center"/>
              <w:rPr>
                <w:rFonts w:ascii="Times New Roman" w:hAnsi="Times New Roman" w:cs="Times New Roman"/>
                <w:b/>
                <w:bCs/>
                <w:color w:val="000000" w:themeColor="text1"/>
                <w:sz w:val="18"/>
                <w:szCs w:val="18"/>
                <w:lang w:val="en-US"/>
              </w:rPr>
            </w:pPr>
            <w:r w:rsidRPr="003F6924">
              <w:rPr>
                <w:rFonts w:ascii="Times New Roman" w:hAnsi="Times New Roman" w:cs="Times New Roman"/>
                <w:b/>
                <w:bCs/>
                <w:color w:val="000000" w:themeColor="text1"/>
                <w:sz w:val="18"/>
                <w:szCs w:val="18"/>
                <w:lang w:val="en-US"/>
              </w:rPr>
              <w:t>Model</w:t>
            </w:r>
          </w:p>
        </w:tc>
        <w:tc>
          <w:tcPr>
            <w:tcW w:w="492" w:type="pct"/>
            <w:tcBorders>
              <w:top w:val="single" w:sz="4" w:space="0" w:color="auto"/>
              <w:left w:val="nil"/>
              <w:bottom w:val="single" w:sz="4" w:space="0" w:color="auto"/>
              <w:right w:val="nil"/>
            </w:tcBorders>
            <w:shd w:val="clear" w:color="auto" w:fill="auto"/>
            <w:noWrap/>
            <w:vAlign w:val="center"/>
            <w:hideMark/>
          </w:tcPr>
          <w:p w14:paraId="1A47D00E" w14:textId="77777777" w:rsidR="00EF6E62" w:rsidRPr="003F6924" w:rsidRDefault="00B543E4" w:rsidP="00671523">
            <w:pPr>
              <w:spacing w:after="0" w:line="240" w:lineRule="auto"/>
              <w:jc w:val="center"/>
              <w:rPr>
                <w:rFonts w:ascii="Times New Roman" w:hAnsi="Times New Roman" w:cs="Times New Roman"/>
                <w:b/>
                <w:bCs/>
                <w:color w:val="000000" w:themeColor="text1"/>
                <w:sz w:val="18"/>
                <w:szCs w:val="18"/>
                <w:lang w:val="en-US"/>
              </w:rPr>
            </w:pPr>
            <w:r w:rsidRPr="003F6924">
              <w:rPr>
                <w:rFonts w:ascii="Times New Roman" w:hAnsi="Times New Roman" w:cs="Times New Roman"/>
                <w:b/>
                <w:bCs/>
                <w:color w:val="000000" w:themeColor="text1"/>
                <w:sz w:val="18"/>
                <w:szCs w:val="18"/>
                <w:lang w:val="en-US"/>
              </w:rPr>
              <w:t>Items</w:t>
            </w:r>
          </w:p>
        </w:tc>
        <w:tc>
          <w:tcPr>
            <w:tcW w:w="529" w:type="pct"/>
            <w:tcBorders>
              <w:top w:val="single" w:sz="4" w:space="0" w:color="auto"/>
              <w:left w:val="nil"/>
              <w:bottom w:val="single" w:sz="4" w:space="0" w:color="auto"/>
              <w:right w:val="nil"/>
            </w:tcBorders>
            <w:shd w:val="clear" w:color="auto" w:fill="auto"/>
            <w:vAlign w:val="center"/>
            <w:hideMark/>
          </w:tcPr>
          <w:p w14:paraId="500562EE" w14:textId="77777777" w:rsidR="00EF6E62" w:rsidRPr="003F6924" w:rsidRDefault="00B543E4" w:rsidP="00671523">
            <w:pPr>
              <w:spacing w:after="0" w:line="240" w:lineRule="auto"/>
              <w:jc w:val="center"/>
              <w:rPr>
                <w:rFonts w:ascii="Times New Roman" w:hAnsi="Times New Roman" w:cs="Times New Roman"/>
                <w:b/>
                <w:bCs/>
                <w:color w:val="000000" w:themeColor="text1"/>
                <w:sz w:val="18"/>
                <w:szCs w:val="18"/>
                <w:lang w:val="en-US"/>
              </w:rPr>
            </w:pPr>
            <w:r w:rsidRPr="003F6924">
              <w:rPr>
                <w:rFonts w:ascii="Times New Roman" w:hAnsi="Times New Roman" w:cs="Times New Roman"/>
                <w:b/>
                <w:bCs/>
                <w:color w:val="000000" w:themeColor="text1"/>
                <w:sz w:val="18"/>
                <w:szCs w:val="18"/>
                <w:lang w:val="en-US"/>
              </w:rPr>
              <w:t>Loadings</w:t>
            </w:r>
          </w:p>
        </w:tc>
        <w:tc>
          <w:tcPr>
            <w:tcW w:w="589" w:type="pct"/>
            <w:tcBorders>
              <w:top w:val="single" w:sz="4" w:space="0" w:color="auto"/>
              <w:left w:val="nil"/>
              <w:bottom w:val="single" w:sz="4" w:space="0" w:color="auto"/>
              <w:right w:val="nil"/>
            </w:tcBorders>
            <w:shd w:val="clear" w:color="auto" w:fill="auto"/>
            <w:noWrap/>
            <w:vAlign w:val="center"/>
            <w:hideMark/>
          </w:tcPr>
          <w:p w14:paraId="79B126FD" w14:textId="77777777" w:rsidR="00EF6E62" w:rsidRPr="003F6924" w:rsidRDefault="00B543E4" w:rsidP="00671523">
            <w:pPr>
              <w:spacing w:after="0" w:line="240" w:lineRule="auto"/>
              <w:jc w:val="center"/>
              <w:rPr>
                <w:rFonts w:ascii="Times New Roman" w:hAnsi="Times New Roman" w:cs="Times New Roman"/>
                <w:b/>
                <w:bCs/>
                <w:color w:val="000000" w:themeColor="text1"/>
                <w:sz w:val="18"/>
                <w:szCs w:val="18"/>
                <w:lang w:val="en-US"/>
              </w:rPr>
            </w:pPr>
            <w:r w:rsidRPr="003F6924">
              <w:rPr>
                <w:rFonts w:ascii="Times New Roman" w:hAnsi="Times New Roman" w:cs="Times New Roman"/>
                <w:b/>
                <w:bCs/>
                <w:color w:val="000000" w:themeColor="text1"/>
                <w:sz w:val="18"/>
                <w:szCs w:val="18"/>
                <w:lang w:val="en-US"/>
              </w:rPr>
              <w:t>Dijkstra-Henseler's rho (ρA)</w:t>
            </w:r>
          </w:p>
        </w:tc>
        <w:tc>
          <w:tcPr>
            <w:tcW w:w="589" w:type="pct"/>
            <w:tcBorders>
              <w:top w:val="single" w:sz="4" w:space="0" w:color="auto"/>
              <w:left w:val="nil"/>
              <w:bottom w:val="single" w:sz="4" w:space="0" w:color="auto"/>
              <w:right w:val="nil"/>
            </w:tcBorders>
            <w:shd w:val="clear" w:color="auto" w:fill="auto"/>
            <w:noWrap/>
            <w:vAlign w:val="center"/>
            <w:hideMark/>
          </w:tcPr>
          <w:p w14:paraId="1C31B2A5" w14:textId="77777777" w:rsidR="00EF6E62" w:rsidRPr="003F6924" w:rsidRDefault="00B543E4" w:rsidP="00671523">
            <w:pPr>
              <w:spacing w:after="0" w:line="240" w:lineRule="auto"/>
              <w:jc w:val="center"/>
              <w:rPr>
                <w:rFonts w:ascii="Times New Roman" w:hAnsi="Times New Roman" w:cs="Times New Roman"/>
                <w:b/>
                <w:bCs/>
                <w:color w:val="000000" w:themeColor="text1"/>
                <w:sz w:val="18"/>
                <w:szCs w:val="18"/>
                <w:lang w:val="en-US"/>
              </w:rPr>
            </w:pPr>
            <w:r w:rsidRPr="003F6924">
              <w:rPr>
                <w:rFonts w:ascii="Times New Roman" w:hAnsi="Times New Roman" w:cs="Times New Roman"/>
                <w:b/>
                <w:bCs/>
                <w:color w:val="000000" w:themeColor="text1"/>
                <w:sz w:val="18"/>
                <w:szCs w:val="18"/>
                <w:lang w:val="en-US"/>
              </w:rPr>
              <w:t>Jöreskog's rho (ρc)</w:t>
            </w:r>
          </w:p>
        </w:tc>
        <w:tc>
          <w:tcPr>
            <w:tcW w:w="590" w:type="pct"/>
            <w:tcBorders>
              <w:top w:val="single" w:sz="4" w:space="0" w:color="auto"/>
              <w:left w:val="nil"/>
              <w:bottom w:val="single" w:sz="4" w:space="0" w:color="auto"/>
              <w:right w:val="nil"/>
            </w:tcBorders>
            <w:shd w:val="clear" w:color="auto" w:fill="auto"/>
            <w:noWrap/>
            <w:vAlign w:val="center"/>
            <w:hideMark/>
          </w:tcPr>
          <w:p w14:paraId="399F2BCC" w14:textId="77777777" w:rsidR="00EF6E62" w:rsidRPr="003F6924" w:rsidRDefault="00B543E4" w:rsidP="00671523">
            <w:pPr>
              <w:spacing w:after="0" w:line="240" w:lineRule="auto"/>
              <w:jc w:val="center"/>
              <w:rPr>
                <w:rFonts w:ascii="Times New Roman" w:hAnsi="Times New Roman" w:cs="Times New Roman"/>
                <w:b/>
                <w:bCs/>
                <w:color w:val="000000" w:themeColor="text1"/>
                <w:sz w:val="18"/>
                <w:szCs w:val="18"/>
                <w:lang w:val="en-US"/>
              </w:rPr>
            </w:pPr>
            <w:r w:rsidRPr="003F6924">
              <w:rPr>
                <w:rFonts w:ascii="Times New Roman" w:hAnsi="Times New Roman" w:cs="Times New Roman"/>
                <w:b/>
                <w:bCs/>
                <w:color w:val="000000" w:themeColor="text1"/>
                <w:sz w:val="18"/>
                <w:szCs w:val="18"/>
                <w:lang w:val="en-US"/>
              </w:rPr>
              <w:t>Cronbach's alpha(α)</w:t>
            </w:r>
          </w:p>
        </w:tc>
        <w:tc>
          <w:tcPr>
            <w:tcW w:w="589" w:type="pct"/>
            <w:tcBorders>
              <w:top w:val="single" w:sz="4" w:space="0" w:color="auto"/>
              <w:left w:val="nil"/>
              <w:bottom w:val="single" w:sz="4" w:space="0" w:color="auto"/>
              <w:right w:val="nil"/>
            </w:tcBorders>
            <w:shd w:val="clear" w:color="auto" w:fill="auto"/>
            <w:noWrap/>
            <w:vAlign w:val="center"/>
            <w:hideMark/>
          </w:tcPr>
          <w:p w14:paraId="2A60125E" w14:textId="77777777" w:rsidR="00EF6E62" w:rsidRPr="003F6924" w:rsidRDefault="00B543E4" w:rsidP="00671523">
            <w:pPr>
              <w:spacing w:after="0" w:line="240" w:lineRule="auto"/>
              <w:jc w:val="center"/>
              <w:rPr>
                <w:rFonts w:ascii="Times New Roman" w:hAnsi="Times New Roman" w:cs="Times New Roman"/>
                <w:b/>
                <w:bCs/>
                <w:color w:val="000000" w:themeColor="text1"/>
                <w:sz w:val="18"/>
                <w:szCs w:val="18"/>
                <w:lang w:val="en-US"/>
              </w:rPr>
            </w:pPr>
            <w:r w:rsidRPr="003F6924">
              <w:rPr>
                <w:rFonts w:ascii="Times New Roman" w:hAnsi="Times New Roman" w:cs="Times New Roman"/>
                <w:b/>
                <w:bCs/>
                <w:color w:val="000000" w:themeColor="text1"/>
                <w:sz w:val="18"/>
                <w:szCs w:val="18"/>
                <w:lang w:val="en-US"/>
              </w:rPr>
              <w:t>AVE</w:t>
            </w:r>
          </w:p>
        </w:tc>
        <w:tc>
          <w:tcPr>
            <w:tcW w:w="488" w:type="pct"/>
            <w:tcBorders>
              <w:top w:val="single" w:sz="4" w:space="0" w:color="auto"/>
              <w:left w:val="nil"/>
              <w:bottom w:val="single" w:sz="4" w:space="0" w:color="auto"/>
              <w:right w:val="nil"/>
            </w:tcBorders>
            <w:shd w:val="clear" w:color="auto" w:fill="auto"/>
            <w:noWrap/>
            <w:vAlign w:val="center"/>
            <w:hideMark/>
          </w:tcPr>
          <w:p w14:paraId="42AD7125" w14:textId="77777777" w:rsidR="00EF6E62" w:rsidRPr="003F6924" w:rsidRDefault="00B543E4" w:rsidP="00671523">
            <w:pPr>
              <w:spacing w:after="0" w:line="240" w:lineRule="auto"/>
              <w:jc w:val="center"/>
              <w:rPr>
                <w:rFonts w:ascii="Times New Roman" w:hAnsi="Times New Roman" w:cs="Times New Roman"/>
                <w:b/>
                <w:bCs/>
                <w:color w:val="000000" w:themeColor="text1"/>
                <w:sz w:val="18"/>
                <w:szCs w:val="18"/>
                <w:lang w:val="en-US"/>
              </w:rPr>
            </w:pPr>
            <w:r w:rsidRPr="003F6924">
              <w:rPr>
                <w:rFonts w:ascii="Times New Roman" w:hAnsi="Times New Roman" w:cs="Times New Roman"/>
                <w:b/>
                <w:bCs/>
                <w:color w:val="000000" w:themeColor="text1"/>
                <w:sz w:val="18"/>
                <w:szCs w:val="18"/>
                <w:lang w:val="en-US"/>
              </w:rPr>
              <w:t>VIF</w:t>
            </w:r>
          </w:p>
        </w:tc>
      </w:tr>
      <w:tr w:rsidR="0046229B" w:rsidRPr="003F6924" w14:paraId="7CC4707A" w14:textId="77777777" w:rsidTr="00794E60">
        <w:trPr>
          <w:trHeight w:val="340"/>
        </w:trPr>
        <w:tc>
          <w:tcPr>
            <w:tcW w:w="548" w:type="pct"/>
            <w:tcBorders>
              <w:top w:val="nil"/>
              <w:left w:val="nil"/>
              <w:bottom w:val="nil"/>
              <w:right w:val="nil"/>
            </w:tcBorders>
            <w:shd w:val="clear" w:color="auto" w:fill="auto"/>
            <w:noWrap/>
            <w:vAlign w:val="center"/>
            <w:hideMark/>
          </w:tcPr>
          <w:p w14:paraId="63674E6B"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BTP</w:t>
            </w:r>
          </w:p>
        </w:tc>
        <w:tc>
          <w:tcPr>
            <w:tcW w:w="587" w:type="pct"/>
            <w:tcBorders>
              <w:top w:val="nil"/>
              <w:left w:val="nil"/>
              <w:bottom w:val="nil"/>
              <w:right w:val="nil"/>
            </w:tcBorders>
            <w:vAlign w:val="center"/>
          </w:tcPr>
          <w:p w14:paraId="0D384D9E"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Reflective</w:t>
            </w:r>
          </w:p>
        </w:tc>
        <w:tc>
          <w:tcPr>
            <w:tcW w:w="492" w:type="pct"/>
            <w:tcBorders>
              <w:top w:val="nil"/>
              <w:left w:val="nil"/>
              <w:bottom w:val="nil"/>
              <w:right w:val="nil"/>
            </w:tcBorders>
            <w:shd w:val="clear" w:color="auto" w:fill="auto"/>
            <w:noWrap/>
            <w:vAlign w:val="center"/>
            <w:hideMark/>
          </w:tcPr>
          <w:p w14:paraId="44066BB5"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529" w:type="pct"/>
            <w:tcBorders>
              <w:top w:val="nil"/>
              <w:left w:val="nil"/>
              <w:bottom w:val="nil"/>
              <w:right w:val="nil"/>
            </w:tcBorders>
            <w:shd w:val="clear" w:color="auto" w:fill="auto"/>
            <w:noWrap/>
            <w:vAlign w:val="center"/>
            <w:hideMark/>
          </w:tcPr>
          <w:p w14:paraId="455ED944"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62C1EFBA"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0.8478</w:t>
            </w:r>
          </w:p>
        </w:tc>
        <w:tc>
          <w:tcPr>
            <w:tcW w:w="589" w:type="pct"/>
            <w:tcBorders>
              <w:top w:val="nil"/>
              <w:left w:val="nil"/>
              <w:bottom w:val="nil"/>
              <w:right w:val="nil"/>
            </w:tcBorders>
            <w:shd w:val="clear" w:color="auto" w:fill="auto"/>
            <w:noWrap/>
            <w:vAlign w:val="center"/>
            <w:hideMark/>
          </w:tcPr>
          <w:p w14:paraId="45168D3C"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0.8476</w:t>
            </w:r>
          </w:p>
        </w:tc>
        <w:tc>
          <w:tcPr>
            <w:tcW w:w="590" w:type="pct"/>
            <w:tcBorders>
              <w:top w:val="nil"/>
              <w:left w:val="nil"/>
              <w:bottom w:val="nil"/>
              <w:right w:val="nil"/>
            </w:tcBorders>
            <w:shd w:val="clear" w:color="auto" w:fill="auto"/>
            <w:noWrap/>
            <w:vAlign w:val="center"/>
            <w:hideMark/>
          </w:tcPr>
          <w:p w14:paraId="0D350866"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0.8482</w:t>
            </w:r>
          </w:p>
        </w:tc>
        <w:tc>
          <w:tcPr>
            <w:tcW w:w="589" w:type="pct"/>
            <w:tcBorders>
              <w:top w:val="nil"/>
              <w:left w:val="nil"/>
              <w:bottom w:val="nil"/>
              <w:right w:val="nil"/>
            </w:tcBorders>
            <w:shd w:val="clear" w:color="auto" w:fill="auto"/>
            <w:noWrap/>
            <w:vAlign w:val="center"/>
            <w:hideMark/>
          </w:tcPr>
          <w:p w14:paraId="468FDD1D"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0.6496</w:t>
            </w:r>
          </w:p>
        </w:tc>
        <w:tc>
          <w:tcPr>
            <w:tcW w:w="488" w:type="pct"/>
            <w:tcBorders>
              <w:top w:val="nil"/>
              <w:left w:val="nil"/>
              <w:bottom w:val="nil"/>
              <w:right w:val="nil"/>
            </w:tcBorders>
            <w:shd w:val="clear" w:color="auto" w:fill="auto"/>
            <w:noWrap/>
            <w:vAlign w:val="center"/>
            <w:hideMark/>
          </w:tcPr>
          <w:p w14:paraId="182273E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r>
      <w:tr w:rsidR="0046229B" w:rsidRPr="003F6924" w14:paraId="3E7BCA2B" w14:textId="77777777" w:rsidTr="00794E60">
        <w:trPr>
          <w:trHeight w:val="340"/>
        </w:trPr>
        <w:tc>
          <w:tcPr>
            <w:tcW w:w="548" w:type="pct"/>
            <w:tcBorders>
              <w:top w:val="nil"/>
              <w:left w:val="nil"/>
              <w:bottom w:val="nil"/>
              <w:right w:val="nil"/>
            </w:tcBorders>
            <w:shd w:val="clear" w:color="auto" w:fill="auto"/>
            <w:noWrap/>
            <w:vAlign w:val="center"/>
            <w:hideMark/>
          </w:tcPr>
          <w:p w14:paraId="171BEE2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258D5046"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394D670B"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BTP_1</w:t>
            </w:r>
          </w:p>
        </w:tc>
        <w:tc>
          <w:tcPr>
            <w:tcW w:w="529" w:type="pct"/>
            <w:tcBorders>
              <w:top w:val="nil"/>
              <w:left w:val="nil"/>
              <w:bottom w:val="nil"/>
              <w:right w:val="nil"/>
            </w:tcBorders>
            <w:shd w:val="clear" w:color="auto" w:fill="auto"/>
            <w:noWrap/>
            <w:vAlign w:val="center"/>
            <w:hideMark/>
          </w:tcPr>
          <w:p w14:paraId="6976F420"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0.7892</w:t>
            </w:r>
          </w:p>
        </w:tc>
        <w:tc>
          <w:tcPr>
            <w:tcW w:w="589" w:type="pct"/>
            <w:tcBorders>
              <w:top w:val="nil"/>
              <w:left w:val="nil"/>
              <w:bottom w:val="nil"/>
              <w:right w:val="nil"/>
            </w:tcBorders>
            <w:shd w:val="clear" w:color="auto" w:fill="auto"/>
            <w:noWrap/>
            <w:vAlign w:val="center"/>
            <w:hideMark/>
          </w:tcPr>
          <w:p w14:paraId="13805561"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3D583757"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7C4FDAE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1E8E732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59E4ED98"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1.4805</w:t>
            </w:r>
          </w:p>
        </w:tc>
      </w:tr>
      <w:tr w:rsidR="0046229B" w:rsidRPr="003F6924" w14:paraId="081B5878" w14:textId="77777777" w:rsidTr="00794E60">
        <w:trPr>
          <w:trHeight w:val="340"/>
        </w:trPr>
        <w:tc>
          <w:tcPr>
            <w:tcW w:w="548" w:type="pct"/>
            <w:tcBorders>
              <w:top w:val="nil"/>
              <w:left w:val="nil"/>
              <w:bottom w:val="nil"/>
              <w:right w:val="nil"/>
            </w:tcBorders>
            <w:shd w:val="clear" w:color="auto" w:fill="auto"/>
            <w:noWrap/>
            <w:vAlign w:val="center"/>
            <w:hideMark/>
          </w:tcPr>
          <w:p w14:paraId="2E07A751"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76AAA424"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0B67F17E"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BTP_2</w:t>
            </w:r>
          </w:p>
        </w:tc>
        <w:tc>
          <w:tcPr>
            <w:tcW w:w="529" w:type="pct"/>
            <w:tcBorders>
              <w:top w:val="nil"/>
              <w:left w:val="nil"/>
              <w:bottom w:val="nil"/>
              <w:right w:val="nil"/>
            </w:tcBorders>
            <w:shd w:val="clear" w:color="auto" w:fill="auto"/>
            <w:noWrap/>
            <w:vAlign w:val="center"/>
            <w:hideMark/>
          </w:tcPr>
          <w:p w14:paraId="2DA81E5B"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0.7250</w:t>
            </w:r>
          </w:p>
        </w:tc>
        <w:tc>
          <w:tcPr>
            <w:tcW w:w="589" w:type="pct"/>
            <w:tcBorders>
              <w:top w:val="nil"/>
              <w:left w:val="nil"/>
              <w:bottom w:val="nil"/>
              <w:right w:val="nil"/>
            </w:tcBorders>
            <w:shd w:val="clear" w:color="auto" w:fill="auto"/>
            <w:noWrap/>
            <w:vAlign w:val="center"/>
            <w:hideMark/>
          </w:tcPr>
          <w:p w14:paraId="25A149A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37932EC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24779C4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1BB445C3"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6DE5131E"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2.0578</w:t>
            </w:r>
          </w:p>
        </w:tc>
      </w:tr>
      <w:tr w:rsidR="0046229B" w:rsidRPr="003F6924" w14:paraId="2C955EDC" w14:textId="77777777" w:rsidTr="00794E60">
        <w:trPr>
          <w:trHeight w:val="340"/>
        </w:trPr>
        <w:tc>
          <w:tcPr>
            <w:tcW w:w="548" w:type="pct"/>
            <w:tcBorders>
              <w:top w:val="nil"/>
              <w:left w:val="nil"/>
              <w:bottom w:val="nil"/>
              <w:right w:val="nil"/>
            </w:tcBorders>
            <w:shd w:val="clear" w:color="auto" w:fill="auto"/>
            <w:noWrap/>
            <w:vAlign w:val="center"/>
            <w:hideMark/>
          </w:tcPr>
          <w:p w14:paraId="1C1D9CB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3712810F"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5BEDEF18"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BTP_3</w:t>
            </w:r>
          </w:p>
        </w:tc>
        <w:tc>
          <w:tcPr>
            <w:tcW w:w="529" w:type="pct"/>
            <w:tcBorders>
              <w:top w:val="nil"/>
              <w:left w:val="nil"/>
              <w:bottom w:val="nil"/>
              <w:right w:val="nil"/>
            </w:tcBorders>
            <w:shd w:val="clear" w:color="auto" w:fill="auto"/>
            <w:noWrap/>
            <w:vAlign w:val="center"/>
            <w:hideMark/>
          </w:tcPr>
          <w:p w14:paraId="51FA52F8"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0.7400</w:t>
            </w:r>
          </w:p>
        </w:tc>
        <w:tc>
          <w:tcPr>
            <w:tcW w:w="589" w:type="pct"/>
            <w:tcBorders>
              <w:top w:val="nil"/>
              <w:left w:val="nil"/>
              <w:bottom w:val="nil"/>
              <w:right w:val="nil"/>
            </w:tcBorders>
            <w:shd w:val="clear" w:color="auto" w:fill="auto"/>
            <w:noWrap/>
            <w:vAlign w:val="center"/>
            <w:hideMark/>
          </w:tcPr>
          <w:p w14:paraId="0B4DD97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449CC794"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4DA163B0"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437A387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42D626A5"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1.8870</w:t>
            </w:r>
          </w:p>
        </w:tc>
      </w:tr>
      <w:tr w:rsidR="0046229B" w:rsidRPr="003F6924" w14:paraId="1C66DFD9" w14:textId="77777777" w:rsidTr="00794E60">
        <w:trPr>
          <w:trHeight w:val="340"/>
        </w:trPr>
        <w:tc>
          <w:tcPr>
            <w:tcW w:w="548" w:type="pct"/>
            <w:tcBorders>
              <w:top w:val="nil"/>
              <w:left w:val="nil"/>
              <w:bottom w:val="nil"/>
              <w:right w:val="nil"/>
            </w:tcBorders>
            <w:shd w:val="clear" w:color="auto" w:fill="auto"/>
            <w:noWrap/>
            <w:vAlign w:val="center"/>
            <w:hideMark/>
          </w:tcPr>
          <w:p w14:paraId="7964EC5E"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DTD</w:t>
            </w:r>
          </w:p>
        </w:tc>
        <w:tc>
          <w:tcPr>
            <w:tcW w:w="587" w:type="pct"/>
            <w:tcBorders>
              <w:top w:val="nil"/>
              <w:left w:val="nil"/>
              <w:bottom w:val="nil"/>
              <w:right w:val="nil"/>
            </w:tcBorders>
            <w:vAlign w:val="center"/>
          </w:tcPr>
          <w:p w14:paraId="2FCCD92C"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Reflective</w:t>
            </w:r>
          </w:p>
        </w:tc>
        <w:tc>
          <w:tcPr>
            <w:tcW w:w="492" w:type="pct"/>
            <w:tcBorders>
              <w:top w:val="nil"/>
              <w:left w:val="nil"/>
              <w:bottom w:val="nil"/>
              <w:right w:val="nil"/>
            </w:tcBorders>
            <w:shd w:val="clear" w:color="auto" w:fill="auto"/>
            <w:noWrap/>
            <w:vAlign w:val="center"/>
            <w:hideMark/>
          </w:tcPr>
          <w:p w14:paraId="60B42CBF"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529" w:type="pct"/>
            <w:tcBorders>
              <w:top w:val="nil"/>
              <w:left w:val="nil"/>
              <w:bottom w:val="nil"/>
              <w:right w:val="nil"/>
            </w:tcBorders>
            <w:shd w:val="clear" w:color="auto" w:fill="auto"/>
            <w:noWrap/>
            <w:vAlign w:val="center"/>
            <w:hideMark/>
          </w:tcPr>
          <w:p w14:paraId="7B258B54"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6A5EFD97"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0.8673</w:t>
            </w:r>
          </w:p>
        </w:tc>
        <w:tc>
          <w:tcPr>
            <w:tcW w:w="589" w:type="pct"/>
            <w:tcBorders>
              <w:top w:val="nil"/>
              <w:left w:val="nil"/>
              <w:bottom w:val="nil"/>
              <w:right w:val="nil"/>
            </w:tcBorders>
            <w:shd w:val="clear" w:color="auto" w:fill="auto"/>
            <w:noWrap/>
            <w:vAlign w:val="center"/>
            <w:hideMark/>
          </w:tcPr>
          <w:p w14:paraId="59336F3B"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0.8653</w:t>
            </w:r>
          </w:p>
        </w:tc>
        <w:tc>
          <w:tcPr>
            <w:tcW w:w="590" w:type="pct"/>
            <w:tcBorders>
              <w:top w:val="nil"/>
              <w:left w:val="nil"/>
              <w:bottom w:val="nil"/>
              <w:right w:val="nil"/>
            </w:tcBorders>
            <w:shd w:val="clear" w:color="auto" w:fill="auto"/>
            <w:noWrap/>
            <w:vAlign w:val="center"/>
            <w:hideMark/>
          </w:tcPr>
          <w:p w14:paraId="253F216C"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0.8654</w:t>
            </w:r>
          </w:p>
        </w:tc>
        <w:tc>
          <w:tcPr>
            <w:tcW w:w="589" w:type="pct"/>
            <w:tcBorders>
              <w:top w:val="nil"/>
              <w:left w:val="nil"/>
              <w:bottom w:val="nil"/>
              <w:right w:val="nil"/>
            </w:tcBorders>
            <w:shd w:val="clear" w:color="auto" w:fill="auto"/>
            <w:noWrap/>
            <w:vAlign w:val="center"/>
            <w:hideMark/>
          </w:tcPr>
          <w:p w14:paraId="01F1F0CC"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0.6168</w:t>
            </w:r>
          </w:p>
        </w:tc>
        <w:tc>
          <w:tcPr>
            <w:tcW w:w="488" w:type="pct"/>
            <w:tcBorders>
              <w:top w:val="nil"/>
              <w:left w:val="nil"/>
              <w:bottom w:val="nil"/>
              <w:right w:val="nil"/>
            </w:tcBorders>
            <w:shd w:val="clear" w:color="auto" w:fill="auto"/>
            <w:noWrap/>
            <w:vAlign w:val="center"/>
            <w:hideMark/>
          </w:tcPr>
          <w:p w14:paraId="39AF7D4E"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r>
      <w:tr w:rsidR="0046229B" w:rsidRPr="003F6924" w14:paraId="4ED7E211" w14:textId="77777777" w:rsidTr="00794E60">
        <w:trPr>
          <w:trHeight w:val="340"/>
        </w:trPr>
        <w:tc>
          <w:tcPr>
            <w:tcW w:w="548" w:type="pct"/>
            <w:tcBorders>
              <w:top w:val="nil"/>
              <w:left w:val="nil"/>
              <w:bottom w:val="nil"/>
              <w:right w:val="nil"/>
            </w:tcBorders>
            <w:shd w:val="clear" w:color="auto" w:fill="auto"/>
            <w:noWrap/>
            <w:vAlign w:val="center"/>
            <w:hideMark/>
          </w:tcPr>
          <w:p w14:paraId="31A64F64"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544074B6"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47CA4B99"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DTD_1</w:t>
            </w:r>
          </w:p>
        </w:tc>
        <w:tc>
          <w:tcPr>
            <w:tcW w:w="529" w:type="pct"/>
            <w:tcBorders>
              <w:top w:val="nil"/>
              <w:left w:val="nil"/>
              <w:bottom w:val="nil"/>
              <w:right w:val="nil"/>
            </w:tcBorders>
            <w:shd w:val="clear" w:color="auto" w:fill="auto"/>
            <w:noWrap/>
            <w:vAlign w:val="center"/>
            <w:hideMark/>
          </w:tcPr>
          <w:p w14:paraId="36C3127C"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0.7923</w:t>
            </w:r>
          </w:p>
        </w:tc>
        <w:tc>
          <w:tcPr>
            <w:tcW w:w="589" w:type="pct"/>
            <w:tcBorders>
              <w:top w:val="nil"/>
              <w:left w:val="nil"/>
              <w:bottom w:val="nil"/>
              <w:right w:val="nil"/>
            </w:tcBorders>
            <w:shd w:val="clear" w:color="auto" w:fill="auto"/>
            <w:noWrap/>
            <w:vAlign w:val="center"/>
            <w:hideMark/>
          </w:tcPr>
          <w:p w14:paraId="74A8FA15"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118EEC1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33032C8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1BCF330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76E51EB4"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2.7192</w:t>
            </w:r>
          </w:p>
        </w:tc>
      </w:tr>
      <w:tr w:rsidR="0046229B" w:rsidRPr="003F6924" w14:paraId="02902B47" w14:textId="77777777" w:rsidTr="00794E60">
        <w:trPr>
          <w:trHeight w:val="340"/>
        </w:trPr>
        <w:tc>
          <w:tcPr>
            <w:tcW w:w="548" w:type="pct"/>
            <w:tcBorders>
              <w:top w:val="nil"/>
              <w:left w:val="nil"/>
              <w:bottom w:val="nil"/>
              <w:right w:val="nil"/>
            </w:tcBorders>
            <w:shd w:val="clear" w:color="auto" w:fill="auto"/>
            <w:noWrap/>
            <w:vAlign w:val="center"/>
            <w:hideMark/>
          </w:tcPr>
          <w:p w14:paraId="4B08779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1EE1F99D"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5E31B042"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DTD_2</w:t>
            </w:r>
          </w:p>
        </w:tc>
        <w:tc>
          <w:tcPr>
            <w:tcW w:w="529" w:type="pct"/>
            <w:tcBorders>
              <w:top w:val="nil"/>
              <w:left w:val="nil"/>
              <w:bottom w:val="nil"/>
              <w:right w:val="nil"/>
            </w:tcBorders>
            <w:shd w:val="clear" w:color="auto" w:fill="auto"/>
            <w:noWrap/>
            <w:vAlign w:val="center"/>
            <w:hideMark/>
          </w:tcPr>
          <w:p w14:paraId="3343C4F8"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0.8047</w:t>
            </w:r>
          </w:p>
        </w:tc>
        <w:tc>
          <w:tcPr>
            <w:tcW w:w="589" w:type="pct"/>
            <w:tcBorders>
              <w:top w:val="nil"/>
              <w:left w:val="nil"/>
              <w:bottom w:val="nil"/>
              <w:right w:val="nil"/>
            </w:tcBorders>
            <w:shd w:val="clear" w:color="auto" w:fill="auto"/>
            <w:noWrap/>
            <w:vAlign w:val="center"/>
            <w:hideMark/>
          </w:tcPr>
          <w:p w14:paraId="49E834A3"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6C38232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40AAB75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7048426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1F28FD75"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3.0665</w:t>
            </w:r>
          </w:p>
        </w:tc>
      </w:tr>
      <w:tr w:rsidR="0046229B" w:rsidRPr="003F6924" w14:paraId="7DEB5B0C" w14:textId="77777777" w:rsidTr="00794E60">
        <w:trPr>
          <w:trHeight w:val="340"/>
        </w:trPr>
        <w:tc>
          <w:tcPr>
            <w:tcW w:w="548" w:type="pct"/>
            <w:tcBorders>
              <w:top w:val="nil"/>
              <w:left w:val="nil"/>
              <w:bottom w:val="nil"/>
              <w:right w:val="nil"/>
            </w:tcBorders>
            <w:shd w:val="clear" w:color="auto" w:fill="auto"/>
            <w:noWrap/>
            <w:vAlign w:val="center"/>
            <w:hideMark/>
          </w:tcPr>
          <w:p w14:paraId="6FD8F7FD"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71AEA3C3"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53CD7489"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DTD_4</w:t>
            </w:r>
          </w:p>
        </w:tc>
        <w:tc>
          <w:tcPr>
            <w:tcW w:w="529" w:type="pct"/>
            <w:tcBorders>
              <w:top w:val="nil"/>
              <w:left w:val="nil"/>
              <w:bottom w:val="nil"/>
              <w:right w:val="nil"/>
            </w:tcBorders>
            <w:shd w:val="clear" w:color="auto" w:fill="auto"/>
            <w:noWrap/>
            <w:vAlign w:val="center"/>
            <w:hideMark/>
          </w:tcPr>
          <w:p w14:paraId="0BFC9FFD"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0.8206</w:t>
            </w:r>
          </w:p>
        </w:tc>
        <w:tc>
          <w:tcPr>
            <w:tcW w:w="589" w:type="pct"/>
            <w:tcBorders>
              <w:top w:val="nil"/>
              <w:left w:val="nil"/>
              <w:bottom w:val="nil"/>
              <w:right w:val="nil"/>
            </w:tcBorders>
            <w:shd w:val="clear" w:color="auto" w:fill="auto"/>
            <w:noWrap/>
            <w:vAlign w:val="center"/>
            <w:hideMark/>
          </w:tcPr>
          <w:p w14:paraId="759255D1"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09F339E0"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52FFFF18"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41EA28D1"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4F2C9F62"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1.6314</w:t>
            </w:r>
          </w:p>
        </w:tc>
      </w:tr>
      <w:tr w:rsidR="0046229B" w:rsidRPr="003F6924" w14:paraId="49509453" w14:textId="77777777" w:rsidTr="00794E60">
        <w:trPr>
          <w:trHeight w:val="340"/>
        </w:trPr>
        <w:tc>
          <w:tcPr>
            <w:tcW w:w="548" w:type="pct"/>
            <w:tcBorders>
              <w:top w:val="nil"/>
              <w:left w:val="nil"/>
              <w:bottom w:val="nil"/>
              <w:right w:val="nil"/>
            </w:tcBorders>
            <w:shd w:val="clear" w:color="auto" w:fill="auto"/>
            <w:noWrap/>
            <w:vAlign w:val="center"/>
            <w:hideMark/>
          </w:tcPr>
          <w:p w14:paraId="4910E381"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LC</w:t>
            </w:r>
          </w:p>
        </w:tc>
        <w:tc>
          <w:tcPr>
            <w:tcW w:w="587" w:type="pct"/>
            <w:tcBorders>
              <w:top w:val="nil"/>
              <w:left w:val="nil"/>
              <w:bottom w:val="nil"/>
              <w:right w:val="nil"/>
            </w:tcBorders>
            <w:vAlign w:val="center"/>
          </w:tcPr>
          <w:p w14:paraId="27F4A75A"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Reflective</w:t>
            </w:r>
          </w:p>
        </w:tc>
        <w:tc>
          <w:tcPr>
            <w:tcW w:w="492" w:type="pct"/>
            <w:tcBorders>
              <w:top w:val="nil"/>
              <w:left w:val="nil"/>
              <w:bottom w:val="nil"/>
              <w:right w:val="nil"/>
            </w:tcBorders>
            <w:shd w:val="clear" w:color="auto" w:fill="auto"/>
            <w:noWrap/>
            <w:vAlign w:val="center"/>
            <w:hideMark/>
          </w:tcPr>
          <w:p w14:paraId="6FC4F937"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529" w:type="pct"/>
            <w:tcBorders>
              <w:top w:val="nil"/>
              <w:left w:val="nil"/>
              <w:bottom w:val="nil"/>
              <w:right w:val="nil"/>
            </w:tcBorders>
            <w:shd w:val="clear" w:color="auto" w:fill="auto"/>
            <w:noWrap/>
            <w:vAlign w:val="center"/>
            <w:hideMark/>
          </w:tcPr>
          <w:p w14:paraId="7299A4C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0B53FCA8"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0.8618</w:t>
            </w:r>
          </w:p>
        </w:tc>
        <w:tc>
          <w:tcPr>
            <w:tcW w:w="589" w:type="pct"/>
            <w:tcBorders>
              <w:top w:val="nil"/>
              <w:left w:val="nil"/>
              <w:bottom w:val="nil"/>
              <w:right w:val="nil"/>
            </w:tcBorders>
            <w:shd w:val="clear" w:color="auto" w:fill="auto"/>
            <w:noWrap/>
            <w:vAlign w:val="center"/>
            <w:hideMark/>
          </w:tcPr>
          <w:p w14:paraId="301064B7"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0.8596</w:t>
            </w:r>
          </w:p>
        </w:tc>
        <w:tc>
          <w:tcPr>
            <w:tcW w:w="590" w:type="pct"/>
            <w:tcBorders>
              <w:top w:val="nil"/>
              <w:left w:val="nil"/>
              <w:bottom w:val="nil"/>
              <w:right w:val="nil"/>
            </w:tcBorders>
            <w:shd w:val="clear" w:color="auto" w:fill="auto"/>
            <w:noWrap/>
            <w:vAlign w:val="center"/>
            <w:hideMark/>
          </w:tcPr>
          <w:p w14:paraId="7FF49658"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0.8597</w:t>
            </w:r>
          </w:p>
        </w:tc>
        <w:tc>
          <w:tcPr>
            <w:tcW w:w="589" w:type="pct"/>
            <w:tcBorders>
              <w:top w:val="nil"/>
              <w:left w:val="nil"/>
              <w:bottom w:val="nil"/>
              <w:right w:val="nil"/>
            </w:tcBorders>
            <w:shd w:val="clear" w:color="auto" w:fill="auto"/>
            <w:noWrap/>
            <w:vAlign w:val="center"/>
            <w:hideMark/>
          </w:tcPr>
          <w:p w14:paraId="6538B450"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0.6715</w:t>
            </w:r>
          </w:p>
        </w:tc>
        <w:tc>
          <w:tcPr>
            <w:tcW w:w="488" w:type="pct"/>
            <w:tcBorders>
              <w:top w:val="nil"/>
              <w:left w:val="nil"/>
              <w:bottom w:val="nil"/>
              <w:right w:val="nil"/>
            </w:tcBorders>
            <w:shd w:val="clear" w:color="auto" w:fill="auto"/>
            <w:noWrap/>
            <w:vAlign w:val="center"/>
            <w:hideMark/>
          </w:tcPr>
          <w:p w14:paraId="4B6A5520"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r>
      <w:tr w:rsidR="0046229B" w:rsidRPr="003F6924" w14:paraId="1A10B8C9" w14:textId="77777777" w:rsidTr="00794E60">
        <w:trPr>
          <w:trHeight w:val="340"/>
        </w:trPr>
        <w:tc>
          <w:tcPr>
            <w:tcW w:w="548" w:type="pct"/>
            <w:tcBorders>
              <w:top w:val="nil"/>
              <w:left w:val="nil"/>
              <w:bottom w:val="nil"/>
              <w:right w:val="nil"/>
            </w:tcBorders>
            <w:shd w:val="clear" w:color="auto" w:fill="auto"/>
            <w:noWrap/>
            <w:vAlign w:val="center"/>
            <w:hideMark/>
          </w:tcPr>
          <w:p w14:paraId="33571CF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2FFF8115"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7807C96F"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LC_3</w:t>
            </w:r>
          </w:p>
        </w:tc>
        <w:tc>
          <w:tcPr>
            <w:tcW w:w="529" w:type="pct"/>
            <w:tcBorders>
              <w:top w:val="nil"/>
              <w:left w:val="nil"/>
              <w:bottom w:val="nil"/>
              <w:right w:val="nil"/>
            </w:tcBorders>
            <w:shd w:val="clear" w:color="auto" w:fill="auto"/>
            <w:noWrap/>
            <w:vAlign w:val="center"/>
            <w:hideMark/>
          </w:tcPr>
          <w:p w14:paraId="5DC79A1D"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0.8217</w:t>
            </w:r>
          </w:p>
        </w:tc>
        <w:tc>
          <w:tcPr>
            <w:tcW w:w="589" w:type="pct"/>
            <w:tcBorders>
              <w:top w:val="nil"/>
              <w:left w:val="nil"/>
              <w:bottom w:val="nil"/>
              <w:right w:val="nil"/>
            </w:tcBorders>
            <w:shd w:val="clear" w:color="auto" w:fill="auto"/>
            <w:noWrap/>
            <w:vAlign w:val="center"/>
            <w:hideMark/>
          </w:tcPr>
          <w:p w14:paraId="4D702EDD"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63C2B670"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3FDDE4F1"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3EA4CDDD"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537A68BB"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1.9522</w:t>
            </w:r>
          </w:p>
        </w:tc>
      </w:tr>
      <w:tr w:rsidR="0046229B" w:rsidRPr="003F6924" w14:paraId="41E5B999" w14:textId="77777777" w:rsidTr="00794E60">
        <w:trPr>
          <w:trHeight w:val="340"/>
        </w:trPr>
        <w:tc>
          <w:tcPr>
            <w:tcW w:w="548" w:type="pct"/>
            <w:tcBorders>
              <w:top w:val="nil"/>
              <w:left w:val="nil"/>
              <w:bottom w:val="nil"/>
              <w:right w:val="nil"/>
            </w:tcBorders>
            <w:shd w:val="clear" w:color="auto" w:fill="auto"/>
            <w:noWrap/>
            <w:vAlign w:val="center"/>
            <w:hideMark/>
          </w:tcPr>
          <w:p w14:paraId="0E8DAB3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6BEF5A83"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5870507F"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LC_4</w:t>
            </w:r>
          </w:p>
        </w:tc>
        <w:tc>
          <w:tcPr>
            <w:tcW w:w="529" w:type="pct"/>
            <w:tcBorders>
              <w:top w:val="nil"/>
              <w:left w:val="nil"/>
              <w:bottom w:val="nil"/>
              <w:right w:val="nil"/>
            </w:tcBorders>
            <w:shd w:val="clear" w:color="auto" w:fill="auto"/>
            <w:noWrap/>
            <w:vAlign w:val="center"/>
            <w:hideMark/>
          </w:tcPr>
          <w:p w14:paraId="67CCEA2E"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0.8204</w:t>
            </w:r>
          </w:p>
        </w:tc>
        <w:tc>
          <w:tcPr>
            <w:tcW w:w="589" w:type="pct"/>
            <w:tcBorders>
              <w:top w:val="nil"/>
              <w:left w:val="nil"/>
              <w:bottom w:val="nil"/>
              <w:right w:val="nil"/>
            </w:tcBorders>
            <w:shd w:val="clear" w:color="auto" w:fill="auto"/>
            <w:noWrap/>
            <w:vAlign w:val="center"/>
            <w:hideMark/>
          </w:tcPr>
          <w:p w14:paraId="3B40E2F1"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434F1789"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4C46B065"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4EE9F36C"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002C632F"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2.2280</w:t>
            </w:r>
          </w:p>
        </w:tc>
      </w:tr>
      <w:tr w:rsidR="0046229B" w:rsidRPr="003F6924" w14:paraId="4ED9B49E" w14:textId="77777777" w:rsidTr="00794E60">
        <w:trPr>
          <w:trHeight w:val="340"/>
        </w:trPr>
        <w:tc>
          <w:tcPr>
            <w:tcW w:w="548" w:type="pct"/>
            <w:tcBorders>
              <w:top w:val="nil"/>
              <w:left w:val="nil"/>
              <w:bottom w:val="nil"/>
              <w:right w:val="nil"/>
            </w:tcBorders>
            <w:shd w:val="clear" w:color="auto" w:fill="auto"/>
            <w:noWrap/>
            <w:vAlign w:val="center"/>
            <w:hideMark/>
          </w:tcPr>
          <w:p w14:paraId="250DECE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22469611"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08F7C17A"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LC_5</w:t>
            </w:r>
          </w:p>
        </w:tc>
        <w:tc>
          <w:tcPr>
            <w:tcW w:w="529" w:type="pct"/>
            <w:tcBorders>
              <w:top w:val="nil"/>
              <w:left w:val="nil"/>
              <w:bottom w:val="nil"/>
              <w:right w:val="nil"/>
            </w:tcBorders>
            <w:shd w:val="clear" w:color="auto" w:fill="auto"/>
            <w:noWrap/>
            <w:vAlign w:val="center"/>
            <w:hideMark/>
          </w:tcPr>
          <w:p w14:paraId="23C61ABF"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0.7604</w:t>
            </w:r>
          </w:p>
        </w:tc>
        <w:tc>
          <w:tcPr>
            <w:tcW w:w="589" w:type="pct"/>
            <w:tcBorders>
              <w:top w:val="nil"/>
              <w:left w:val="nil"/>
              <w:bottom w:val="nil"/>
              <w:right w:val="nil"/>
            </w:tcBorders>
            <w:shd w:val="clear" w:color="auto" w:fill="auto"/>
            <w:noWrap/>
            <w:vAlign w:val="center"/>
            <w:hideMark/>
          </w:tcPr>
          <w:p w14:paraId="01FCD86C"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5C076234"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224F3CDC"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54DE97D7"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7A73FDBA"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2.2664</w:t>
            </w:r>
          </w:p>
        </w:tc>
      </w:tr>
      <w:tr w:rsidR="0046229B" w:rsidRPr="003F6924" w14:paraId="024EA4C9" w14:textId="77777777" w:rsidTr="00794E60">
        <w:trPr>
          <w:trHeight w:val="340"/>
        </w:trPr>
        <w:tc>
          <w:tcPr>
            <w:tcW w:w="548" w:type="pct"/>
            <w:tcBorders>
              <w:top w:val="nil"/>
              <w:left w:val="nil"/>
              <w:bottom w:val="nil"/>
              <w:right w:val="nil"/>
            </w:tcBorders>
            <w:shd w:val="clear" w:color="auto" w:fill="auto"/>
            <w:noWrap/>
            <w:vAlign w:val="center"/>
            <w:hideMark/>
          </w:tcPr>
          <w:p w14:paraId="10F2E88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51CFD97D"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2DD764B5"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LC_6</w:t>
            </w:r>
          </w:p>
        </w:tc>
        <w:tc>
          <w:tcPr>
            <w:tcW w:w="529" w:type="pct"/>
            <w:tcBorders>
              <w:top w:val="nil"/>
              <w:left w:val="nil"/>
              <w:bottom w:val="nil"/>
              <w:right w:val="nil"/>
            </w:tcBorders>
            <w:shd w:val="clear" w:color="auto" w:fill="auto"/>
            <w:noWrap/>
            <w:vAlign w:val="center"/>
            <w:hideMark/>
          </w:tcPr>
          <w:p w14:paraId="3B3F347E"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0.7354</w:t>
            </w:r>
          </w:p>
        </w:tc>
        <w:tc>
          <w:tcPr>
            <w:tcW w:w="589" w:type="pct"/>
            <w:tcBorders>
              <w:top w:val="nil"/>
              <w:left w:val="nil"/>
              <w:bottom w:val="nil"/>
              <w:right w:val="nil"/>
            </w:tcBorders>
            <w:shd w:val="clear" w:color="auto" w:fill="auto"/>
            <w:noWrap/>
            <w:vAlign w:val="center"/>
            <w:hideMark/>
          </w:tcPr>
          <w:p w14:paraId="02CD9D38"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25151FD9"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36738BA5"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09C1122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4EE3555D"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1.9261</w:t>
            </w:r>
          </w:p>
        </w:tc>
      </w:tr>
      <w:tr w:rsidR="0046229B" w:rsidRPr="003F6924" w14:paraId="3C046760" w14:textId="77777777" w:rsidTr="00794E60">
        <w:trPr>
          <w:trHeight w:val="340"/>
        </w:trPr>
        <w:tc>
          <w:tcPr>
            <w:tcW w:w="548" w:type="pct"/>
            <w:tcBorders>
              <w:top w:val="nil"/>
              <w:left w:val="nil"/>
              <w:bottom w:val="nil"/>
              <w:right w:val="nil"/>
            </w:tcBorders>
            <w:shd w:val="clear" w:color="auto" w:fill="auto"/>
            <w:noWrap/>
            <w:vAlign w:val="center"/>
            <w:hideMark/>
          </w:tcPr>
          <w:p w14:paraId="1E1457E3"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DTS</w:t>
            </w:r>
          </w:p>
        </w:tc>
        <w:tc>
          <w:tcPr>
            <w:tcW w:w="587" w:type="pct"/>
            <w:tcBorders>
              <w:top w:val="nil"/>
              <w:left w:val="nil"/>
              <w:bottom w:val="nil"/>
              <w:right w:val="nil"/>
            </w:tcBorders>
            <w:vAlign w:val="center"/>
          </w:tcPr>
          <w:p w14:paraId="0D7C6108"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Reflective</w:t>
            </w:r>
          </w:p>
        </w:tc>
        <w:tc>
          <w:tcPr>
            <w:tcW w:w="492" w:type="pct"/>
            <w:tcBorders>
              <w:top w:val="nil"/>
              <w:left w:val="nil"/>
              <w:bottom w:val="nil"/>
              <w:right w:val="nil"/>
            </w:tcBorders>
            <w:shd w:val="clear" w:color="auto" w:fill="auto"/>
            <w:noWrap/>
            <w:vAlign w:val="center"/>
            <w:hideMark/>
          </w:tcPr>
          <w:p w14:paraId="77A337E9"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529" w:type="pct"/>
            <w:tcBorders>
              <w:top w:val="nil"/>
              <w:left w:val="nil"/>
              <w:bottom w:val="nil"/>
              <w:right w:val="nil"/>
            </w:tcBorders>
            <w:shd w:val="clear" w:color="auto" w:fill="auto"/>
            <w:noWrap/>
            <w:vAlign w:val="center"/>
            <w:hideMark/>
          </w:tcPr>
          <w:p w14:paraId="4BA4D4D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0D8604DD"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0.9163</w:t>
            </w:r>
          </w:p>
        </w:tc>
        <w:tc>
          <w:tcPr>
            <w:tcW w:w="589" w:type="pct"/>
            <w:tcBorders>
              <w:top w:val="nil"/>
              <w:left w:val="nil"/>
              <w:bottom w:val="nil"/>
              <w:right w:val="nil"/>
            </w:tcBorders>
            <w:shd w:val="clear" w:color="auto" w:fill="auto"/>
            <w:noWrap/>
            <w:vAlign w:val="center"/>
            <w:hideMark/>
          </w:tcPr>
          <w:p w14:paraId="69755412"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0.9103</w:t>
            </w:r>
          </w:p>
        </w:tc>
        <w:tc>
          <w:tcPr>
            <w:tcW w:w="590" w:type="pct"/>
            <w:tcBorders>
              <w:top w:val="nil"/>
              <w:left w:val="nil"/>
              <w:bottom w:val="nil"/>
              <w:right w:val="nil"/>
            </w:tcBorders>
            <w:shd w:val="clear" w:color="auto" w:fill="auto"/>
            <w:noWrap/>
            <w:vAlign w:val="center"/>
            <w:hideMark/>
          </w:tcPr>
          <w:p w14:paraId="552722CF"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0.9052</w:t>
            </w:r>
          </w:p>
        </w:tc>
        <w:tc>
          <w:tcPr>
            <w:tcW w:w="589" w:type="pct"/>
            <w:tcBorders>
              <w:top w:val="nil"/>
              <w:left w:val="nil"/>
              <w:bottom w:val="nil"/>
              <w:right w:val="nil"/>
            </w:tcBorders>
            <w:shd w:val="clear" w:color="auto" w:fill="auto"/>
            <w:noWrap/>
            <w:vAlign w:val="center"/>
            <w:hideMark/>
          </w:tcPr>
          <w:p w14:paraId="596F4B18"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0.7188</w:t>
            </w:r>
          </w:p>
        </w:tc>
        <w:tc>
          <w:tcPr>
            <w:tcW w:w="488" w:type="pct"/>
            <w:tcBorders>
              <w:top w:val="nil"/>
              <w:left w:val="nil"/>
              <w:bottom w:val="nil"/>
              <w:right w:val="nil"/>
            </w:tcBorders>
            <w:shd w:val="clear" w:color="auto" w:fill="auto"/>
            <w:noWrap/>
            <w:vAlign w:val="center"/>
            <w:hideMark/>
          </w:tcPr>
          <w:p w14:paraId="1DA0C724"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r>
      <w:tr w:rsidR="0046229B" w:rsidRPr="003F6924" w14:paraId="00C10F49" w14:textId="77777777" w:rsidTr="00794E60">
        <w:trPr>
          <w:trHeight w:val="340"/>
        </w:trPr>
        <w:tc>
          <w:tcPr>
            <w:tcW w:w="548" w:type="pct"/>
            <w:tcBorders>
              <w:top w:val="nil"/>
              <w:left w:val="nil"/>
              <w:bottom w:val="nil"/>
              <w:right w:val="nil"/>
            </w:tcBorders>
            <w:shd w:val="clear" w:color="auto" w:fill="auto"/>
            <w:noWrap/>
            <w:vAlign w:val="center"/>
            <w:hideMark/>
          </w:tcPr>
          <w:p w14:paraId="0FFEA9A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37BFA5CA"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4E4817B7"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DTS_2</w:t>
            </w:r>
          </w:p>
        </w:tc>
        <w:tc>
          <w:tcPr>
            <w:tcW w:w="529" w:type="pct"/>
            <w:tcBorders>
              <w:top w:val="nil"/>
              <w:left w:val="nil"/>
              <w:bottom w:val="nil"/>
              <w:right w:val="nil"/>
            </w:tcBorders>
            <w:shd w:val="clear" w:color="auto" w:fill="auto"/>
            <w:noWrap/>
            <w:vAlign w:val="center"/>
            <w:hideMark/>
          </w:tcPr>
          <w:p w14:paraId="3EC29F72"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0.8512</w:t>
            </w:r>
          </w:p>
        </w:tc>
        <w:tc>
          <w:tcPr>
            <w:tcW w:w="589" w:type="pct"/>
            <w:tcBorders>
              <w:top w:val="nil"/>
              <w:left w:val="nil"/>
              <w:bottom w:val="nil"/>
              <w:right w:val="nil"/>
            </w:tcBorders>
            <w:shd w:val="clear" w:color="auto" w:fill="auto"/>
            <w:noWrap/>
            <w:vAlign w:val="center"/>
            <w:hideMark/>
          </w:tcPr>
          <w:p w14:paraId="4B6BBBB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7F0C68FD"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1A249D23"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09ACF87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4BC5DD21"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2.0674</w:t>
            </w:r>
          </w:p>
        </w:tc>
      </w:tr>
      <w:tr w:rsidR="0046229B" w:rsidRPr="003F6924" w14:paraId="0BFE26F5" w14:textId="77777777" w:rsidTr="00794E60">
        <w:trPr>
          <w:trHeight w:val="340"/>
        </w:trPr>
        <w:tc>
          <w:tcPr>
            <w:tcW w:w="548" w:type="pct"/>
            <w:tcBorders>
              <w:top w:val="nil"/>
              <w:left w:val="nil"/>
              <w:bottom w:val="nil"/>
              <w:right w:val="nil"/>
            </w:tcBorders>
            <w:shd w:val="clear" w:color="auto" w:fill="auto"/>
            <w:noWrap/>
            <w:vAlign w:val="center"/>
            <w:hideMark/>
          </w:tcPr>
          <w:p w14:paraId="09742443"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479FCF6B"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58E5203D"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DTS_3</w:t>
            </w:r>
          </w:p>
        </w:tc>
        <w:tc>
          <w:tcPr>
            <w:tcW w:w="529" w:type="pct"/>
            <w:tcBorders>
              <w:top w:val="nil"/>
              <w:left w:val="nil"/>
              <w:bottom w:val="nil"/>
              <w:right w:val="nil"/>
            </w:tcBorders>
            <w:shd w:val="clear" w:color="auto" w:fill="auto"/>
            <w:noWrap/>
            <w:vAlign w:val="center"/>
            <w:hideMark/>
          </w:tcPr>
          <w:p w14:paraId="69129694"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0.7666</w:t>
            </w:r>
          </w:p>
        </w:tc>
        <w:tc>
          <w:tcPr>
            <w:tcW w:w="589" w:type="pct"/>
            <w:tcBorders>
              <w:top w:val="nil"/>
              <w:left w:val="nil"/>
              <w:bottom w:val="nil"/>
              <w:right w:val="nil"/>
            </w:tcBorders>
            <w:shd w:val="clear" w:color="auto" w:fill="auto"/>
            <w:noWrap/>
            <w:vAlign w:val="center"/>
            <w:hideMark/>
          </w:tcPr>
          <w:p w14:paraId="0927A47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50DDA7B3"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62774D8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15E6032C"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34145B45"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2.2395</w:t>
            </w:r>
          </w:p>
        </w:tc>
      </w:tr>
      <w:tr w:rsidR="0046229B" w:rsidRPr="003F6924" w14:paraId="7B5677C2" w14:textId="77777777" w:rsidTr="00794E60">
        <w:trPr>
          <w:trHeight w:val="340"/>
        </w:trPr>
        <w:tc>
          <w:tcPr>
            <w:tcW w:w="548" w:type="pct"/>
            <w:tcBorders>
              <w:top w:val="nil"/>
              <w:left w:val="nil"/>
              <w:bottom w:val="nil"/>
              <w:right w:val="nil"/>
            </w:tcBorders>
            <w:shd w:val="clear" w:color="auto" w:fill="auto"/>
            <w:noWrap/>
            <w:vAlign w:val="center"/>
            <w:hideMark/>
          </w:tcPr>
          <w:p w14:paraId="30294405"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3A234471"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7605679B"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DTS_4</w:t>
            </w:r>
          </w:p>
        </w:tc>
        <w:tc>
          <w:tcPr>
            <w:tcW w:w="529" w:type="pct"/>
            <w:tcBorders>
              <w:top w:val="nil"/>
              <w:left w:val="nil"/>
              <w:bottom w:val="nil"/>
              <w:right w:val="nil"/>
            </w:tcBorders>
            <w:shd w:val="clear" w:color="auto" w:fill="auto"/>
            <w:noWrap/>
            <w:vAlign w:val="center"/>
            <w:hideMark/>
          </w:tcPr>
          <w:p w14:paraId="4864AD3A"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0.8381</w:t>
            </w:r>
          </w:p>
        </w:tc>
        <w:tc>
          <w:tcPr>
            <w:tcW w:w="589" w:type="pct"/>
            <w:tcBorders>
              <w:top w:val="nil"/>
              <w:left w:val="nil"/>
              <w:bottom w:val="nil"/>
              <w:right w:val="nil"/>
            </w:tcBorders>
            <w:shd w:val="clear" w:color="auto" w:fill="auto"/>
            <w:noWrap/>
            <w:vAlign w:val="center"/>
            <w:hideMark/>
          </w:tcPr>
          <w:p w14:paraId="59567717"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65239235"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20ACE7D4"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24466B10"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3C85FD62"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2.2312</w:t>
            </w:r>
          </w:p>
        </w:tc>
      </w:tr>
      <w:tr w:rsidR="0046229B" w:rsidRPr="003F6924" w14:paraId="40ADC228" w14:textId="77777777" w:rsidTr="00794E60">
        <w:trPr>
          <w:trHeight w:val="340"/>
        </w:trPr>
        <w:tc>
          <w:tcPr>
            <w:tcW w:w="548" w:type="pct"/>
            <w:tcBorders>
              <w:top w:val="nil"/>
              <w:left w:val="nil"/>
              <w:bottom w:val="nil"/>
              <w:right w:val="nil"/>
            </w:tcBorders>
            <w:shd w:val="clear" w:color="auto" w:fill="auto"/>
            <w:noWrap/>
            <w:vAlign w:val="center"/>
            <w:hideMark/>
          </w:tcPr>
          <w:p w14:paraId="3F3D418A"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ECC</w:t>
            </w:r>
          </w:p>
        </w:tc>
        <w:tc>
          <w:tcPr>
            <w:tcW w:w="587" w:type="pct"/>
            <w:tcBorders>
              <w:top w:val="nil"/>
              <w:left w:val="nil"/>
              <w:bottom w:val="nil"/>
              <w:right w:val="nil"/>
            </w:tcBorders>
            <w:vAlign w:val="center"/>
          </w:tcPr>
          <w:p w14:paraId="2C0832E9"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b/>
                <w:bCs/>
                <w:color w:val="000000" w:themeColor="text1"/>
                <w:sz w:val="20"/>
                <w:szCs w:val="20"/>
                <w:lang w:val="en-US"/>
              </w:rPr>
              <w:t>Reflective</w:t>
            </w:r>
          </w:p>
        </w:tc>
        <w:tc>
          <w:tcPr>
            <w:tcW w:w="492" w:type="pct"/>
            <w:tcBorders>
              <w:top w:val="nil"/>
              <w:left w:val="nil"/>
              <w:bottom w:val="nil"/>
              <w:right w:val="nil"/>
            </w:tcBorders>
            <w:shd w:val="clear" w:color="auto" w:fill="auto"/>
            <w:noWrap/>
            <w:vAlign w:val="center"/>
            <w:hideMark/>
          </w:tcPr>
          <w:p w14:paraId="5195DE13"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529" w:type="pct"/>
            <w:tcBorders>
              <w:top w:val="nil"/>
              <w:left w:val="nil"/>
              <w:bottom w:val="nil"/>
              <w:right w:val="nil"/>
            </w:tcBorders>
            <w:shd w:val="clear" w:color="auto" w:fill="auto"/>
            <w:noWrap/>
            <w:vAlign w:val="center"/>
            <w:hideMark/>
          </w:tcPr>
          <w:p w14:paraId="7D75590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19E5C22E"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0.8480</w:t>
            </w:r>
          </w:p>
        </w:tc>
        <w:tc>
          <w:tcPr>
            <w:tcW w:w="589" w:type="pct"/>
            <w:tcBorders>
              <w:top w:val="nil"/>
              <w:left w:val="nil"/>
              <w:bottom w:val="nil"/>
              <w:right w:val="nil"/>
            </w:tcBorders>
            <w:shd w:val="clear" w:color="auto" w:fill="auto"/>
            <w:noWrap/>
            <w:vAlign w:val="center"/>
            <w:hideMark/>
          </w:tcPr>
          <w:p w14:paraId="1E5727C5"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0.8377</w:t>
            </w:r>
          </w:p>
        </w:tc>
        <w:tc>
          <w:tcPr>
            <w:tcW w:w="590" w:type="pct"/>
            <w:tcBorders>
              <w:top w:val="nil"/>
              <w:left w:val="nil"/>
              <w:bottom w:val="nil"/>
              <w:right w:val="nil"/>
            </w:tcBorders>
            <w:shd w:val="clear" w:color="auto" w:fill="auto"/>
            <w:noWrap/>
            <w:vAlign w:val="center"/>
            <w:hideMark/>
          </w:tcPr>
          <w:p w14:paraId="109D67DE"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0.8394</w:t>
            </w:r>
          </w:p>
        </w:tc>
        <w:tc>
          <w:tcPr>
            <w:tcW w:w="589" w:type="pct"/>
            <w:tcBorders>
              <w:top w:val="nil"/>
              <w:left w:val="nil"/>
              <w:bottom w:val="nil"/>
              <w:right w:val="nil"/>
            </w:tcBorders>
            <w:shd w:val="clear" w:color="auto" w:fill="auto"/>
            <w:noWrap/>
            <w:vAlign w:val="center"/>
            <w:hideMark/>
          </w:tcPr>
          <w:p w14:paraId="01A66514"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0.5662</w:t>
            </w:r>
          </w:p>
        </w:tc>
        <w:tc>
          <w:tcPr>
            <w:tcW w:w="488" w:type="pct"/>
            <w:tcBorders>
              <w:top w:val="nil"/>
              <w:left w:val="nil"/>
              <w:bottom w:val="nil"/>
              <w:right w:val="nil"/>
            </w:tcBorders>
            <w:shd w:val="clear" w:color="auto" w:fill="auto"/>
            <w:noWrap/>
            <w:vAlign w:val="center"/>
            <w:hideMark/>
          </w:tcPr>
          <w:p w14:paraId="678050E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r>
      <w:tr w:rsidR="0046229B" w:rsidRPr="003F6924" w14:paraId="489DDD37" w14:textId="77777777" w:rsidTr="00794E60">
        <w:trPr>
          <w:trHeight w:val="340"/>
        </w:trPr>
        <w:tc>
          <w:tcPr>
            <w:tcW w:w="548" w:type="pct"/>
            <w:tcBorders>
              <w:top w:val="nil"/>
              <w:left w:val="nil"/>
              <w:bottom w:val="nil"/>
              <w:right w:val="nil"/>
            </w:tcBorders>
            <w:shd w:val="clear" w:color="auto" w:fill="auto"/>
            <w:noWrap/>
            <w:vAlign w:val="center"/>
            <w:hideMark/>
          </w:tcPr>
          <w:p w14:paraId="64FE5BF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0D1AC7A2"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57694E78"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ECC_1</w:t>
            </w:r>
          </w:p>
        </w:tc>
        <w:tc>
          <w:tcPr>
            <w:tcW w:w="529" w:type="pct"/>
            <w:tcBorders>
              <w:top w:val="nil"/>
              <w:left w:val="nil"/>
              <w:bottom w:val="nil"/>
              <w:right w:val="nil"/>
            </w:tcBorders>
            <w:shd w:val="clear" w:color="auto" w:fill="auto"/>
            <w:noWrap/>
            <w:vAlign w:val="center"/>
            <w:hideMark/>
          </w:tcPr>
          <w:p w14:paraId="7DF42968"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0.7212</w:t>
            </w:r>
          </w:p>
        </w:tc>
        <w:tc>
          <w:tcPr>
            <w:tcW w:w="589" w:type="pct"/>
            <w:tcBorders>
              <w:top w:val="nil"/>
              <w:left w:val="nil"/>
              <w:bottom w:val="nil"/>
              <w:right w:val="nil"/>
            </w:tcBorders>
            <w:shd w:val="clear" w:color="auto" w:fill="auto"/>
            <w:noWrap/>
            <w:vAlign w:val="center"/>
            <w:hideMark/>
          </w:tcPr>
          <w:p w14:paraId="1AE5767E"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6FFF6F0D"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3554372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7AD52065"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5D48B03C"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1.5714</w:t>
            </w:r>
          </w:p>
        </w:tc>
      </w:tr>
      <w:tr w:rsidR="0046229B" w:rsidRPr="003F6924" w14:paraId="630E54CA" w14:textId="77777777" w:rsidTr="00794E60">
        <w:trPr>
          <w:trHeight w:val="340"/>
        </w:trPr>
        <w:tc>
          <w:tcPr>
            <w:tcW w:w="548" w:type="pct"/>
            <w:tcBorders>
              <w:top w:val="nil"/>
              <w:left w:val="nil"/>
              <w:bottom w:val="nil"/>
              <w:right w:val="nil"/>
            </w:tcBorders>
            <w:shd w:val="clear" w:color="auto" w:fill="auto"/>
            <w:noWrap/>
            <w:vAlign w:val="center"/>
            <w:hideMark/>
          </w:tcPr>
          <w:p w14:paraId="6B3C64A3"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06EDC35E"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6A6CB441"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ECC_2</w:t>
            </w:r>
          </w:p>
        </w:tc>
        <w:tc>
          <w:tcPr>
            <w:tcW w:w="529" w:type="pct"/>
            <w:tcBorders>
              <w:top w:val="nil"/>
              <w:left w:val="nil"/>
              <w:bottom w:val="nil"/>
              <w:right w:val="nil"/>
            </w:tcBorders>
            <w:shd w:val="clear" w:color="auto" w:fill="auto"/>
            <w:noWrap/>
            <w:vAlign w:val="center"/>
            <w:hideMark/>
          </w:tcPr>
          <w:p w14:paraId="674C09E9"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0.8767</w:t>
            </w:r>
          </w:p>
        </w:tc>
        <w:tc>
          <w:tcPr>
            <w:tcW w:w="589" w:type="pct"/>
            <w:tcBorders>
              <w:top w:val="nil"/>
              <w:left w:val="nil"/>
              <w:bottom w:val="nil"/>
              <w:right w:val="nil"/>
            </w:tcBorders>
            <w:shd w:val="clear" w:color="auto" w:fill="auto"/>
            <w:noWrap/>
            <w:vAlign w:val="center"/>
            <w:hideMark/>
          </w:tcPr>
          <w:p w14:paraId="6B2529D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0BC373D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64403C2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0F50625D"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19DA341F"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2.9777</w:t>
            </w:r>
          </w:p>
        </w:tc>
      </w:tr>
      <w:tr w:rsidR="0046229B" w:rsidRPr="003F6924" w14:paraId="53BC3654" w14:textId="77777777" w:rsidTr="00794E60">
        <w:trPr>
          <w:trHeight w:val="340"/>
        </w:trPr>
        <w:tc>
          <w:tcPr>
            <w:tcW w:w="548" w:type="pct"/>
            <w:tcBorders>
              <w:top w:val="nil"/>
              <w:left w:val="nil"/>
              <w:bottom w:val="nil"/>
              <w:right w:val="nil"/>
            </w:tcBorders>
            <w:shd w:val="clear" w:color="auto" w:fill="auto"/>
            <w:noWrap/>
            <w:vAlign w:val="center"/>
            <w:hideMark/>
          </w:tcPr>
          <w:p w14:paraId="37D7A6D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67278D2B"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735FA460"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ECC_4</w:t>
            </w:r>
          </w:p>
        </w:tc>
        <w:tc>
          <w:tcPr>
            <w:tcW w:w="529" w:type="pct"/>
            <w:tcBorders>
              <w:top w:val="nil"/>
              <w:left w:val="nil"/>
              <w:bottom w:val="nil"/>
              <w:right w:val="nil"/>
            </w:tcBorders>
            <w:shd w:val="clear" w:color="auto" w:fill="auto"/>
            <w:noWrap/>
            <w:vAlign w:val="center"/>
            <w:hideMark/>
          </w:tcPr>
          <w:p w14:paraId="3731FD72"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0.8804</w:t>
            </w:r>
          </w:p>
        </w:tc>
        <w:tc>
          <w:tcPr>
            <w:tcW w:w="589" w:type="pct"/>
            <w:tcBorders>
              <w:top w:val="nil"/>
              <w:left w:val="nil"/>
              <w:bottom w:val="nil"/>
              <w:right w:val="nil"/>
            </w:tcBorders>
            <w:shd w:val="clear" w:color="auto" w:fill="auto"/>
            <w:noWrap/>
            <w:vAlign w:val="center"/>
            <w:hideMark/>
          </w:tcPr>
          <w:p w14:paraId="13D4E0F3"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68C67848"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2101503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4A6F9464"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359C9992"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3.9692</w:t>
            </w:r>
          </w:p>
        </w:tc>
      </w:tr>
      <w:tr w:rsidR="0046229B" w:rsidRPr="003F6924" w14:paraId="0885E98D" w14:textId="77777777" w:rsidTr="00794E60">
        <w:trPr>
          <w:trHeight w:val="340"/>
        </w:trPr>
        <w:tc>
          <w:tcPr>
            <w:tcW w:w="548" w:type="pct"/>
            <w:tcBorders>
              <w:top w:val="nil"/>
              <w:left w:val="nil"/>
              <w:bottom w:val="nil"/>
              <w:right w:val="nil"/>
            </w:tcBorders>
            <w:shd w:val="clear" w:color="auto" w:fill="auto"/>
            <w:noWrap/>
            <w:vAlign w:val="center"/>
            <w:hideMark/>
          </w:tcPr>
          <w:p w14:paraId="767D088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35BC54D2"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150EBDDB"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ECC_5</w:t>
            </w:r>
          </w:p>
        </w:tc>
        <w:tc>
          <w:tcPr>
            <w:tcW w:w="529" w:type="pct"/>
            <w:tcBorders>
              <w:top w:val="nil"/>
              <w:left w:val="nil"/>
              <w:bottom w:val="nil"/>
              <w:right w:val="nil"/>
            </w:tcBorders>
            <w:shd w:val="clear" w:color="auto" w:fill="auto"/>
            <w:noWrap/>
            <w:vAlign w:val="center"/>
            <w:hideMark/>
          </w:tcPr>
          <w:p w14:paraId="71962B8F"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0.9006</w:t>
            </w:r>
          </w:p>
        </w:tc>
        <w:tc>
          <w:tcPr>
            <w:tcW w:w="589" w:type="pct"/>
            <w:tcBorders>
              <w:top w:val="nil"/>
              <w:left w:val="nil"/>
              <w:bottom w:val="nil"/>
              <w:right w:val="nil"/>
            </w:tcBorders>
            <w:shd w:val="clear" w:color="auto" w:fill="auto"/>
            <w:noWrap/>
            <w:vAlign w:val="center"/>
            <w:hideMark/>
          </w:tcPr>
          <w:p w14:paraId="2912053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335EB0A0"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52AAB2F4"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79A029C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106EDFA1"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3.1107</w:t>
            </w:r>
          </w:p>
        </w:tc>
      </w:tr>
      <w:tr w:rsidR="0046229B" w:rsidRPr="003F6924" w14:paraId="6A56D7D4" w14:textId="77777777" w:rsidTr="00794E60">
        <w:trPr>
          <w:trHeight w:val="340"/>
        </w:trPr>
        <w:tc>
          <w:tcPr>
            <w:tcW w:w="548" w:type="pct"/>
            <w:tcBorders>
              <w:top w:val="nil"/>
              <w:left w:val="nil"/>
              <w:bottom w:val="nil"/>
              <w:right w:val="nil"/>
            </w:tcBorders>
            <w:shd w:val="clear" w:color="auto" w:fill="auto"/>
            <w:noWrap/>
            <w:vAlign w:val="center"/>
            <w:hideMark/>
          </w:tcPr>
          <w:p w14:paraId="145D7355"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BRM</w:t>
            </w:r>
          </w:p>
        </w:tc>
        <w:tc>
          <w:tcPr>
            <w:tcW w:w="587" w:type="pct"/>
            <w:tcBorders>
              <w:top w:val="nil"/>
              <w:left w:val="nil"/>
              <w:bottom w:val="nil"/>
              <w:right w:val="nil"/>
            </w:tcBorders>
            <w:vAlign w:val="center"/>
          </w:tcPr>
          <w:p w14:paraId="601E44B1"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Reflective</w:t>
            </w:r>
          </w:p>
        </w:tc>
        <w:tc>
          <w:tcPr>
            <w:tcW w:w="492" w:type="pct"/>
            <w:tcBorders>
              <w:top w:val="nil"/>
              <w:left w:val="nil"/>
              <w:bottom w:val="nil"/>
              <w:right w:val="nil"/>
            </w:tcBorders>
            <w:shd w:val="clear" w:color="auto" w:fill="auto"/>
            <w:noWrap/>
            <w:vAlign w:val="center"/>
            <w:hideMark/>
          </w:tcPr>
          <w:p w14:paraId="043E18B7"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529" w:type="pct"/>
            <w:tcBorders>
              <w:top w:val="nil"/>
              <w:left w:val="nil"/>
              <w:bottom w:val="nil"/>
              <w:right w:val="nil"/>
            </w:tcBorders>
            <w:shd w:val="clear" w:color="auto" w:fill="auto"/>
            <w:noWrap/>
            <w:vAlign w:val="center"/>
            <w:hideMark/>
          </w:tcPr>
          <w:p w14:paraId="5D46D2DC"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01142C79"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0.8275</w:t>
            </w:r>
          </w:p>
        </w:tc>
        <w:tc>
          <w:tcPr>
            <w:tcW w:w="589" w:type="pct"/>
            <w:tcBorders>
              <w:top w:val="nil"/>
              <w:left w:val="nil"/>
              <w:bottom w:val="nil"/>
              <w:right w:val="nil"/>
            </w:tcBorders>
            <w:shd w:val="clear" w:color="auto" w:fill="auto"/>
            <w:noWrap/>
            <w:vAlign w:val="center"/>
            <w:hideMark/>
          </w:tcPr>
          <w:p w14:paraId="7DFADCAB"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0.8199</w:t>
            </w:r>
          </w:p>
        </w:tc>
        <w:tc>
          <w:tcPr>
            <w:tcW w:w="590" w:type="pct"/>
            <w:tcBorders>
              <w:top w:val="nil"/>
              <w:left w:val="nil"/>
              <w:bottom w:val="nil"/>
              <w:right w:val="nil"/>
            </w:tcBorders>
            <w:shd w:val="clear" w:color="auto" w:fill="auto"/>
            <w:noWrap/>
            <w:vAlign w:val="center"/>
            <w:hideMark/>
          </w:tcPr>
          <w:p w14:paraId="1BF08D9A"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0.8229</w:t>
            </w:r>
          </w:p>
        </w:tc>
        <w:tc>
          <w:tcPr>
            <w:tcW w:w="589" w:type="pct"/>
            <w:tcBorders>
              <w:top w:val="nil"/>
              <w:left w:val="nil"/>
              <w:bottom w:val="nil"/>
              <w:right w:val="nil"/>
            </w:tcBorders>
            <w:shd w:val="clear" w:color="auto" w:fill="auto"/>
            <w:noWrap/>
            <w:vAlign w:val="center"/>
            <w:hideMark/>
          </w:tcPr>
          <w:p w14:paraId="76750729"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0.5347</w:t>
            </w:r>
          </w:p>
        </w:tc>
        <w:tc>
          <w:tcPr>
            <w:tcW w:w="488" w:type="pct"/>
            <w:tcBorders>
              <w:top w:val="nil"/>
              <w:left w:val="nil"/>
              <w:bottom w:val="nil"/>
              <w:right w:val="nil"/>
            </w:tcBorders>
            <w:shd w:val="clear" w:color="auto" w:fill="auto"/>
            <w:noWrap/>
            <w:vAlign w:val="center"/>
            <w:hideMark/>
          </w:tcPr>
          <w:p w14:paraId="02A0B545"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r>
      <w:tr w:rsidR="0046229B" w:rsidRPr="003F6924" w14:paraId="694650C9" w14:textId="77777777" w:rsidTr="00794E60">
        <w:trPr>
          <w:trHeight w:val="340"/>
        </w:trPr>
        <w:tc>
          <w:tcPr>
            <w:tcW w:w="548" w:type="pct"/>
            <w:tcBorders>
              <w:top w:val="nil"/>
              <w:left w:val="nil"/>
              <w:bottom w:val="nil"/>
              <w:right w:val="nil"/>
            </w:tcBorders>
            <w:shd w:val="clear" w:color="auto" w:fill="auto"/>
            <w:noWrap/>
            <w:vAlign w:val="center"/>
            <w:hideMark/>
          </w:tcPr>
          <w:p w14:paraId="20A2CFF7"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2110E916"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20CAA6DE"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BRM_1</w:t>
            </w:r>
          </w:p>
        </w:tc>
        <w:tc>
          <w:tcPr>
            <w:tcW w:w="529" w:type="pct"/>
            <w:tcBorders>
              <w:top w:val="nil"/>
              <w:left w:val="nil"/>
              <w:bottom w:val="nil"/>
              <w:right w:val="nil"/>
            </w:tcBorders>
            <w:shd w:val="clear" w:color="auto" w:fill="auto"/>
            <w:noWrap/>
            <w:vAlign w:val="center"/>
            <w:hideMark/>
          </w:tcPr>
          <w:p w14:paraId="19705D21"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0.7846</w:t>
            </w:r>
          </w:p>
        </w:tc>
        <w:tc>
          <w:tcPr>
            <w:tcW w:w="589" w:type="pct"/>
            <w:tcBorders>
              <w:top w:val="nil"/>
              <w:left w:val="nil"/>
              <w:bottom w:val="nil"/>
              <w:right w:val="nil"/>
            </w:tcBorders>
            <w:shd w:val="clear" w:color="auto" w:fill="auto"/>
            <w:noWrap/>
            <w:vAlign w:val="center"/>
            <w:hideMark/>
          </w:tcPr>
          <w:p w14:paraId="06B18399"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6312386E"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4D0BC879"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5816B51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7A2E9CE7"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1.5000</w:t>
            </w:r>
          </w:p>
        </w:tc>
      </w:tr>
      <w:tr w:rsidR="0046229B" w:rsidRPr="003F6924" w14:paraId="0F15102D" w14:textId="77777777" w:rsidTr="00794E60">
        <w:trPr>
          <w:trHeight w:val="340"/>
        </w:trPr>
        <w:tc>
          <w:tcPr>
            <w:tcW w:w="548" w:type="pct"/>
            <w:tcBorders>
              <w:top w:val="nil"/>
              <w:left w:val="nil"/>
              <w:bottom w:val="nil"/>
              <w:right w:val="nil"/>
            </w:tcBorders>
            <w:shd w:val="clear" w:color="auto" w:fill="auto"/>
            <w:noWrap/>
            <w:vAlign w:val="center"/>
            <w:hideMark/>
          </w:tcPr>
          <w:p w14:paraId="49962D6C"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2159727C"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7F89C840"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BRM_2</w:t>
            </w:r>
          </w:p>
        </w:tc>
        <w:tc>
          <w:tcPr>
            <w:tcW w:w="529" w:type="pct"/>
            <w:tcBorders>
              <w:top w:val="nil"/>
              <w:left w:val="nil"/>
              <w:bottom w:val="nil"/>
              <w:right w:val="nil"/>
            </w:tcBorders>
            <w:shd w:val="clear" w:color="auto" w:fill="auto"/>
            <w:noWrap/>
            <w:vAlign w:val="center"/>
            <w:hideMark/>
          </w:tcPr>
          <w:p w14:paraId="63D42AD8"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0.7358</w:t>
            </w:r>
          </w:p>
        </w:tc>
        <w:tc>
          <w:tcPr>
            <w:tcW w:w="589" w:type="pct"/>
            <w:tcBorders>
              <w:top w:val="nil"/>
              <w:left w:val="nil"/>
              <w:bottom w:val="nil"/>
              <w:right w:val="nil"/>
            </w:tcBorders>
            <w:shd w:val="clear" w:color="auto" w:fill="auto"/>
            <w:noWrap/>
            <w:vAlign w:val="center"/>
            <w:hideMark/>
          </w:tcPr>
          <w:p w14:paraId="5D7C9A60"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103B430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4C86F11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6FDC6DED"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7672041F"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1.5000</w:t>
            </w:r>
          </w:p>
        </w:tc>
      </w:tr>
      <w:tr w:rsidR="0046229B" w:rsidRPr="003F6924" w14:paraId="6D8D7DCB" w14:textId="77777777" w:rsidTr="00794E60">
        <w:trPr>
          <w:trHeight w:val="340"/>
        </w:trPr>
        <w:tc>
          <w:tcPr>
            <w:tcW w:w="548" w:type="pct"/>
            <w:tcBorders>
              <w:top w:val="nil"/>
              <w:left w:val="nil"/>
              <w:bottom w:val="nil"/>
              <w:right w:val="nil"/>
            </w:tcBorders>
            <w:shd w:val="clear" w:color="auto" w:fill="auto"/>
            <w:noWrap/>
            <w:vAlign w:val="center"/>
            <w:hideMark/>
          </w:tcPr>
          <w:p w14:paraId="361A4C04"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BCC</w:t>
            </w:r>
          </w:p>
        </w:tc>
        <w:tc>
          <w:tcPr>
            <w:tcW w:w="587" w:type="pct"/>
            <w:tcBorders>
              <w:top w:val="nil"/>
              <w:left w:val="nil"/>
              <w:bottom w:val="nil"/>
              <w:right w:val="nil"/>
            </w:tcBorders>
            <w:vAlign w:val="center"/>
          </w:tcPr>
          <w:p w14:paraId="29E2FBBD"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Reflective</w:t>
            </w:r>
          </w:p>
        </w:tc>
        <w:tc>
          <w:tcPr>
            <w:tcW w:w="492" w:type="pct"/>
            <w:tcBorders>
              <w:top w:val="nil"/>
              <w:left w:val="nil"/>
              <w:bottom w:val="nil"/>
              <w:right w:val="nil"/>
            </w:tcBorders>
            <w:shd w:val="clear" w:color="auto" w:fill="auto"/>
            <w:noWrap/>
            <w:vAlign w:val="center"/>
            <w:hideMark/>
          </w:tcPr>
          <w:p w14:paraId="03E043AD"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529" w:type="pct"/>
            <w:tcBorders>
              <w:top w:val="nil"/>
              <w:left w:val="nil"/>
              <w:bottom w:val="nil"/>
              <w:right w:val="nil"/>
            </w:tcBorders>
            <w:shd w:val="clear" w:color="auto" w:fill="auto"/>
            <w:noWrap/>
            <w:vAlign w:val="center"/>
            <w:hideMark/>
          </w:tcPr>
          <w:p w14:paraId="4D90F84C"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4D925B24"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0.8605</w:t>
            </w:r>
          </w:p>
        </w:tc>
        <w:tc>
          <w:tcPr>
            <w:tcW w:w="589" w:type="pct"/>
            <w:tcBorders>
              <w:top w:val="nil"/>
              <w:left w:val="nil"/>
              <w:bottom w:val="nil"/>
              <w:right w:val="nil"/>
            </w:tcBorders>
            <w:shd w:val="clear" w:color="auto" w:fill="auto"/>
            <w:noWrap/>
            <w:vAlign w:val="center"/>
            <w:hideMark/>
          </w:tcPr>
          <w:p w14:paraId="02BF64A0"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0.8588</w:t>
            </w:r>
          </w:p>
        </w:tc>
        <w:tc>
          <w:tcPr>
            <w:tcW w:w="590" w:type="pct"/>
            <w:tcBorders>
              <w:top w:val="nil"/>
              <w:left w:val="nil"/>
              <w:bottom w:val="nil"/>
              <w:right w:val="nil"/>
            </w:tcBorders>
            <w:shd w:val="clear" w:color="auto" w:fill="auto"/>
            <w:noWrap/>
            <w:vAlign w:val="center"/>
            <w:hideMark/>
          </w:tcPr>
          <w:p w14:paraId="0383FADC"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0.8600</w:t>
            </w:r>
          </w:p>
        </w:tc>
        <w:tc>
          <w:tcPr>
            <w:tcW w:w="589" w:type="pct"/>
            <w:tcBorders>
              <w:top w:val="nil"/>
              <w:left w:val="nil"/>
              <w:bottom w:val="nil"/>
              <w:right w:val="nil"/>
            </w:tcBorders>
            <w:shd w:val="clear" w:color="auto" w:fill="auto"/>
            <w:noWrap/>
            <w:vAlign w:val="center"/>
            <w:hideMark/>
          </w:tcPr>
          <w:p w14:paraId="793B8E41"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0.6701</w:t>
            </w:r>
          </w:p>
        </w:tc>
        <w:tc>
          <w:tcPr>
            <w:tcW w:w="488" w:type="pct"/>
            <w:tcBorders>
              <w:top w:val="nil"/>
              <w:left w:val="nil"/>
              <w:bottom w:val="nil"/>
              <w:right w:val="nil"/>
            </w:tcBorders>
            <w:shd w:val="clear" w:color="auto" w:fill="auto"/>
            <w:noWrap/>
            <w:vAlign w:val="center"/>
            <w:hideMark/>
          </w:tcPr>
          <w:p w14:paraId="7CCD5D9E"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r>
      <w:tr w:rsidR="0046229B" w:rsidRPr="003F6924" w14:paraId="042730DE" w14:textId="77777777" w:rsidTr="00794E60">
        <w:trPr>
          <w:trHeight w:val="340"/>
        </w:trPr>
        <w:tc>
          <w:tcPr>
            <w:tcW w:w="548" w:type="pct"/>
            <w:tcBorders>
              <w:top w:val="nil"/>
              <w:left w:val="nil"/>
              <w:bottom w:val="nil"/>
              <w:right w:val="nil"/>
            </w:tcBorders>
            <w:shd w:val="clear" w:color="auto" w:fill="auto"/>
            <w:noWrap/>
            <w:vAlign w:val="center"/>
            <w:hideMark/>
          </w:tcPr>
          <w:p w14:paraId="681FB74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23C6F33D"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226E39D6"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BCC_1</w:t>
            </w:r>
          </w:p>
        </w:tc>
        <w:tc>
          <w:tcPr>
            <w:tcW w:w="529" w:type="pct"/>
            <w:tcBorders>
              <w:top w:val="nil"/>
              <w:left w:val="nil"/>
              <w:bottom w:val="nil"/>
              <w:right w:val="nil"/>
            </w:tcBorders>
            <w:shd w:val="clear" w:color="auto" w:fill="auto"/>
            <w:noWrap/>
            <w:vAlign w:val="center"/>
            <w:hideMark/>
          </w:tcPr>
          <w:p w14:paraId="79AD95F0"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0.7445</w:t>
            </w:r>
          </w:p>
        </w:tc>
        <w:tc>
          <w:tcPr>
            <w:tcW w:w="589" w:type="pct"/>
            <w:tcBorders>
              <w:top w:val="nil"/>
              <w:left w:val="nil"/>
              <w:bottom w:val="nil"/>
              <w:right w:val="nil"/>
            </w:tcBorders>
            <w:shd w:val="clear" w:color="auto" w:fill="auto"/>
            <w:noWrap/>
            <w:vAlign w:val="center"/>
            <w:hideMark/>
          </w:tcPr>
          <w:p w14:paraId="135E182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1BD1E664"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5E8049B7"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7A98E4F1"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5693EE3B"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1.9315</w:t>
            </w:r>
          </w:p>
        </w:tc>
      </w:tr>
      <w:tr w:rsidR="0046229B" w:rsidRPr="003F6924" w14:paraId="7B460641" w14:textId="77777777" w:rsidTr="00794E60">
        <w:trPr>
          <w:trHeight w:val="340"/>
        </w:trPr>
        <w:tc>
          <w:tcPr>
            <w:tcW w:w="548" w:type="pct"/>
            <w:tcBorders>
              <w:top w:val="nil"/>
              <w:left w:val="nil"/>
              <w:bottom w:val="nil"/>
              <w:right w:val="nil"/>
            </w:tcBorders>
            <w:shd w:val="clear" w:color="auto" w:fill="auto"/>
            <w:noWrap/>
            <w:vAlign w:val="center"/>
            <w:hideMark/>
          </w:tcPr>
          <w:p w14:paraId="6E8A698C"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4F0002D7"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4E79C9FF"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BCC_3</w:t>
            </w:r>
          </w:p>
        </w:tc>
        <w:tc>
          <w:tcPr>
            <w:tcW w:w="529" w:type="pct"/>
            <w:tcBorders>
              <w:top w:val="nil"/>
              <w:left w:val="nil"/>
              <w:bottom w:val="nil"/>
              <w:right w:val="nil"/>
            </w:tcBorders>
            <w:shd w:val="clear" w:color="auto" w:fill="auto"/>
            <w:noWrap/>
            <w:vAlign w:val="center"/>
            <w:hideMark/>
          </w:tcPr>
          <w:p w14:paraId="314717F3"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0.6633</w:t>
            </w:r>
          </w:p>
        </w:tc>
        <w:tc>
          <w:tcPr>
            <w:tcW w:w="589" w:type="pct"/>
            <w:tcBorders>
              <w:top w:val="nil"/>
              <w:left w:val="nil"/>
              <w:bottom w:val="nil"/>
              <w:right w:val="nil"/>
            </w:tcBorders>
            <w:shd w:val="clear" w:color="auto" w:fill="auto"/>
            <w:noWrap/>
            <w:vAlign w:val="center"/>
            <w:hideMark/>
          </w:tcPr>
          <w:p w14:paraId="0F6E96B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2099220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2DBC4DAD"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2BFCB07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180B0EDE"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1.9327</w:t>
            </w:r>
          </w:p>
        </w:tc>
      </w:tr>
      <w:tr w:rsidR="0046229B" w:rsidRPr="003F6924" w14:paraId="4715515A" w14:textId="77777777" w:rsidTr="00794E60">
        <w:trPr>
          <w:trHeight w:val="340"/>
        </w:trPr>
        <w:tc>
          <w:tcPr>
            <w:tcW w:w="548" w:type="pct"/>
            <w:tcBorders>
              <w:top w:val="nil"/>
              <w:left w:val="nil"/>
              <w:bottom w:val="nil"/>
              <w:right w:val="nil"/>
            </w:tcBorders>
            <w:shd w:val="clear" w:color="auto" w:fill="auto"/>
            <w:noWrap/>
            <w:vAlign w:val="center"/>
            <w:hideMark/>
          </w:tcPr>
          <w:p w14:paraId="486AE0E0"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4741D58E"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43AA7CCE"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BCC_4</w:t>
            </w:r>
          </w:p>
        </w:tc>
        <w:tc>
          <w:tcPr>
            <w:tcW w:w="529" w:type="pct"/>
            <w:tcBorders>
              <w:top w:val="nil"/>
              <w:left w:val="nil"/>
              <w:bottom w:val="nil"/>
              <w:right w:val="nil"/>
            </w:tcBorders>
            <w:shd w:val="clear" w:color="auto" w:fill="auto"/>
            <w:noWrap/>
            <w:vAlign w:val="center"/>
            <w:hideMark/>
          </w:tcPr>
          <w:p w14:paraId="7E82CAF7"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0.7060</w:t>
            </w:r>
          </w:p>
        </w:tc>
        <w:tc>
          <w:tcPr>
            <w:tcW w:w="589" w:type="pct"/>
            <w:tcBorders>
              <w:top w:val="nil"/>
              <w:left w:val="nil"/>
              <w:bottom w:val="nil"/>
              <w:right w:val="nil"/>
            </w:tcBorders>
            <w:shd w:val="clear" w:color="auto" w:fill="auto"/>
            <w:noWrap/>
            <w:vAlign w:val="center"/>
            <w:hideMark/>
          </w:tcPr>
          <w:p w14:paraId="7AB167A7"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02E270AD"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44094BD4"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33AED99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55DE2A9B"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1.7604</w:t>
            </w:r>
          </w:p>
        </w:tc>
      </w:tr>
      <w:tr w:rsidR="0046229B" w:rsidRPr="003F6924" w14:paraId="5971710B" w14:textId="77777777" w:rsidTr="00794E60">
        <w:trPr>
          <w:trHeight w:val="340"/>
        </w:trPr>
        <w:tc>
          <w:tcPr>
            <w:tcW w:w="548" w:type="pct"/>
            <w:tcBorders>
              <w:top w:val="nil"/>
              <w:left w:val="nil"/>
              <w:bottom w:val="nil"/>
              <w:right w:val="nil"/>
            </w:tcBorders>
            <w:shd w:val="clear" w:color="auto" w:fill="auto"/>
            <w:noWrap/>
            <w:vAlign w:val="center"/>
            <w:hideMark/>
          </w:tcPr>
          <w:p w14:paraId="17DEC9C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58EEC5B5"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5B238D5D"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BCC_8</w:t>
            </w:r>
          </w:p>
        </w:tc>
        <w:tc>
          <w:tcPr>
            <w:tcW w:w="529" w:type="pct"/>
            <w:tcBorders>
              <w:top w:val="nil"/>
              <w:left w:val="nil"/>
              <w:bottom w:val="nil"/>
              <w:right w:val="nil"/>
            </w:tcBorders>
            <w:shd w:val="clear" w:color="auto" w:fill="auto"/>
            <w:noWrap/>
            <w:vAlign w:val="center"/>
            <w:hideMark/>
          </w:tcPr>
          <w:p w14:paraId="7DF3161A"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0.8787</w:t>
            </w:r>
          </w:p>
        </w:tc>
        <w:tc>
          <w:tcPr>
            <w:tcW w:w="589" w:type="pct"/>
            <w:tcBorders>
              <w:top w:val="nil"/>
              <w:left w:val="nil"/>
              <w:bottom w:val="nil"/>
              <w:right w:val="nil"/>
            </w:tcBorders>
            <w:shd w:val="clear" w:color="auto" w:fill="auto"/>
            <w:noWrap/>
            <w:vAlign w:val="center"/>
            <w:hideMark/>
          </w:tcPr>
          <w:p w14:paraId="71A3E42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37754839"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29607D43"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75B242E9"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52BDE11A"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1.7787</w:t>
            </w:r>
          </w:p>
        </w:tc>
      </w:tr>
      <w:tr w:rsidR="0046229B" w:rsidRPr="003F6924" w14:paraId="191AED4D" w14:textId="77777777" w:rsidTr="00794E60">
        <w:trPr>
          <w:trHeight w:val="340"/>
        </w:trPr>
        <w:tc>
          <w:tcPr>
            <w:tcW w:w="548" w:type="pct"/>
            <w:tcBorders>
              <w:top w:val="nil"/>
              <w:left w:val="nil"/>
              <w:bottom w:val="nil"/>
              <w:right w:val="nil"/>
            </w:tcBorders>
            <w:shd w:val="clear" w:color="auto" w:fill="auto"/>
            <w:noWrap/>
            <w:vAlign w:val="center"/>
            <w:hideMark/>
          </w:tcPr>
          <w:p w14:paraId="700AA196"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DTP</w:t>
            </w:r>
          </w:p>
        </w:tc>
        <w:tc>
          <w:tcPr>
            <w:tcW w:w="587" w:type="pct"/>
            <w:tcBorders>
              <w:top w:val="nil"/>
              <w:left w:val="nil"/>
              <w:bottom w:val="nil"/>
              <w:right w:val="nil"/>
            </w:tcBorders>
            <w:vAlign w:val="center"/>
          </w:tcPr>
          <w:p w14:paraId="62E5FB97"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Reflective</w:t>
            </w:r>
          </w:p>
        </w:tc>
        <w:tc>
          <w:tcPr>
            <w:tcW w:w="492" w:type="pct"/>
            <w:tcBorders>
              <w:top w:val="nil"/>
              <w:left w:val="nil"/>
              <w:bottom w:val="nil"/>
              <w:right w:val="nil"/>
            </w:tcBorders>
            <w:shd w:val="clear" w:color="auto" w:fill="auto"/>
            <w:noWrap/>
            <w:vAlign w:val="center"/>
            <w:hideMark/>
          </w:tcPr>
          <w:p w14:paraId="2BF1B2B0"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529" w:type="pct"/>
            <w:tcBorders>
              <w:top w:val="nil"/>
              <w:left w:val="nil"/>
              <w:bottom w:val="nil"/>
              <w:right w:val="nil"/>
            </w:tcBorders>
            <w:shd w:val="clear" w:color="auto" w:fill="auto"/>
            <w:noWrap/>
            <w:vAlign w:val="center"/>
            <w:hideMark/>
          </w:tcPr>
          <w:p w14:paraId="7260D3D0"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07AAD684"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0.8777</w:t>
            </w:r>
          </w:p>
        </w:tc>
        <w:tc>
          <w:tcPr>
            <w:tcW w:w="589" w:type="pct"/>
            <w:tcBorders>
              <w:top w:val="nil"/>
              <w:left w:val="nil"/>
              <w:bottom w:val="nil"/>
              <w:right w:val="nil"/>
            </w:tcBorders>
            <w:shd w:val="clear" w:color="auto" w:fill="auto"/>
            <w:noWrap/>
            <w:vAlign w:val="center"/>
            <w:hideMark/>
          </w:tcPr>
          <w:p w14:paraId="3FF4347C"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0.8767</w:t>
            </w:r>
          </w:p>
        </w:tc>
        <w:tc>
          <w:tcPr>
            <w:tcW w:w="590" w:type="pct"/>
            <w:tcBorders>
              <w:top w:val="nil"/>
              <w:left w:val="nil"/>
              <w:bottom w:val="nil"/>
              <w:right w:val="nil"/>
            </w:tcBorders>
            <w:shd w:val="clear" w:color="auto" w:fill="auto"/>
            <w:noWrap/>
            <w:vAlign w:val="center"/>
            <w:hideMark/>
          </w:tcPr>
          <w:p w14:paraId="168E4B2C"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0.8768</w:t>
            </w:r>
          </w:p>
        </w:tc>
        <w:tc>
          <w:tcPr>
            <w:tcW w:w="589" w:type="pct"/>
            <w:tcBorders>
              <w:top w:val="nil"/>
              <w:left w:val="nil"/>
              <w:bottom w:val="nil"/>
              <w:right w:val="nil"/>
            </w:tcBorders>
            <w:shd w:val="clear" w:color="auto" w:fill="auto"/>
            <w:noWrap/>
            <w:vAlign w:val="center"/>
            <w:hideMark/>
          </w:tcPr>
          <w:p w14:paraId="6BE68D74"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0.6403</w:t>
            </w:r>
          </w:p>
        </w:tc>
        <w:tc>
          <w:tcPr>
            <w:tcW w:w="488" w:type="pct"/>
            <w:tcBorders>
              <w:top w:val="nil"/>
              <w:left w:val="nil"/>
              <w:bottom w:val="nil"/>
              <w:right w:val="nil"/>
            </w:tcBorders>
            <w:shd w:val="clear" w:color="auto" w:fill="auto"/>
            <w:noWrap/>
            <w:vAlign w:val="center"/>
            <w:hideMark/>
          </w:tcPr>
          <w:p w14:paraId="06CD9D5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r>
      <w:tr w:rsidR="0046229B" w:rsidRPr="003F6924" w14:paraId="5B1A43A3" w14:textId="77777777" w:rsidTr="00794E60">
        <w:trPr>
          <w:trHeight w:val="340"/>
        </w:trPr>
        <w:tc>
          <w:tcPr>
            <w:tcW w:w="548" w:type="pct"/>
            <w:tcBorders>
              <w:top w:val="nil"/>
              <w:left w:val="nil"/>
              <w:bottom w:val="nil"/>
              <w:right w:val="nil"/>
            </w:tcBorders>
            <w:shd w:val="clear" w:color="auto" w:fill="auto"/>
            <w:noWrap/>
            <w:vAlign w:val="center"/>
            <w:hideMark/>
          </w:tcPr>
          <w:p w14:paraId="390E67C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78AF4D92"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783FE0E8"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DTP_1</w:t>
            </w:r>
          </w:p>
        </w:tc>
        <w:tc>
          <w:tcPr>
            <w:tcW w:w="529" w:type="pct"/>
            <w:tcBorders>
              <w:top w:val="nil"/>
              <w:left w:val="nil"/>
              <w:bottom w:val="nil"/>
              <w:right w:val="nil"/>
            </w:tcBorders>
            <w:shd w:val="clear" w:color="auto" w:fill="auto"/>
            <w:noWrap/>
            <w:vAlign w:val="center"/>
            <w:hideMark/>
          </w:tcPr>
          <w:p w14:paraId="45A422AF"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0.7946</w:t>
            </w:r>
          </w:p>
        </w:tc>
        <w:tc>
          <w:tcPr>
            <w:tcW w:w="589" w:type="pct"/>
            <w:tcBorders>
              <w:top w:val="nil"/>
              <w:left w:val="nil"/>
              <w:bottom w:val="nil"/>
              <w:right w:val="nil"/>
            </w:tcBorders>
            <w:shd w:val="clear" w:color="auto" w:fill="auto"/>
            <w:noWrap/>
            <w:vAlign w:val="center"/>
            <w:hideMark/>
          </w:tcPr>
          <w:p w14:paraId="44D37DE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0091B0B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7035B70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57BC1B47"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666F68F4"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1.8731</w:t>
            </w:r>
          </w:p>
        </w:tc>
      </w:tr>
      <w:tr w:rsidR="0046229B" w:rsidRPr="003F6924" w14:paraId="0F435EB2" w14:textId="77777777" w:rsidTr="00794E60">
        <w:trPr>
          <w:trHeight w:val="340"/>
        </w:trPr>
        <w:tc>
          <w:tcPr>
            <w:tcW w:w="548" w:type="pct"/>
            <w:tcBorders>
              <w:top w:val="nil"/>
              <w:left w:val="nil"/>
              <w:bottom w:val="nil"/>
              <w:right w:val="nil"/>
            </w:tcBorders>
            <w:shd w:val="clear" w:color="auto" w:fill="auto"/>
            <w:noWrap/>
            <w:vAlign w:val="center"/>
            <w:hideMark/>
          </w:tcPr>
          <w:p w14:paraId="19A1ACBE"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6A6CB768"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67C50E6F"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DTP_2</w:t>
            </w:r>
          </w:p>
        </w:tc>
        <w:tc>
          <w:tcPr>
            <w:tcW w:w="529" w:type="pct"/>
            <w:tcBorders>
              <w:top w:val="nil"/>
              <w:left w:val="nil"/>
              <w:bottom w:val="nil"/>
              <w:right w:val="nil"/>
            </w:tcBorders>
            <w:shd w:val="clear" w:color="auto" w:fill="auto"/>
            <w:noWrap/>
            <w:vAlign w:val="center"/>
            <w:hideMark/>
          </w:tcPr>
          <w:p w14:paraId="0DC7A99F"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0.6913</w:t>
            </w:r>
          </w:p>
        </w:tc>
        <w:tc>
          <w:tcPr>
            <w:tcW w:w="589" w:type="pct"/>
            <w:tcBorders>
              <w:top w:val="nil"/>
              <w:left w:val="nil"/>
              <w:bottom w:val="nil"/>
              <w:right w:val="nil"/>
            </w:tcBorders>
            <w:shd w:val="clear" w:color="auto" w:fill="auto"/>
            <w:noWrap/>
            <w:vAlign w:val="center"/>
            <w:hideMark/>
          </w:tcPr>
          <w:p w14:paraId="3FC2DE73"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31DCC9A1"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7E2FF5E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10F8DB7C"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3608EB9B"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2.0173</w:t>
            </w:r>
          </w:p>
        </w:tc>
      </w:tr>
      <w:tr w:rsidR="0046229B" w:rsidRPr="003F6924" w14:paraId="590A3397" w14:textId="77777777" w:rsidTr="00794E60">
        <w:trPr>
          <w:trHeight w:val="340"/>
        </w:trPr>
        <w:tc>
          <w:tcPr>
            <w:tcW w:w="548" w:type="pct"/>
            <w:tcBorders>
              <w:top w:val="nil"/>
              <w:left w:val="nil"/>
              <w:bottom w:val="nil"/>
              <w:right w:val="nil"/>
            </w:tcBorders>
            <w:shd w:val="clear" w:color="auto" w:fill="auto"/>
            <w:noWrap/>
            <w:vAlign w:val="center"/>
            <w:hideMark/>
          </w:tcPr>
          <w:p w14:paraId="26948DC9"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2C10178F"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0064A3FE"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DTP_4</w:t>
            </w:r>
          </w:p>
        </w:tc>
        <w:tc>
          <w:tcPr>
            <w:tcW w:w="529" w:type="pct"/>
            <w:tcBorders>
              <w:top w:val="nil"/>
              <w:left w:val="nil"/>
              <w:bottom w:val="nil"/>
              <w:right w:val="nil"/>
            </w:tcBorders>
            <w:shd w:val="clear" w:color="auto" w:fill="auto"/>
            <w:noWrap/>
            <w:vAlign w:val="center"/>
            <w:hideMark/>
          </w:tcPr>
          <w:p w14:paraId="2FF3EEFD"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0.6291</w:t>
            </w:r>
          </w:p>
        </w:tc>
        <w:tc>
          <w:tcPr>
            <w:tcW w:w="589" w:type="pct"/>
            <w:tcBorders>
              <w:top w:val="nil"/>
              <w:left w:val="nil"/>
              <w:bottom w:val="nil"/>
              <w:right w:val="nil"/>
            </w:tcBorders>
            <w:shd w:val="clear" w:color="auto" w:fill="auto"/>
            <w:noWrap/>
            <w:vAlign w:val="center"/>
            <w:hideMark/>
          </w:tcPr>
          <w:p w14:paraId="3C241DB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50954B2D"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0A71D8B0"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4C929B8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2F653760"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1.7498</w:t>
            </w:r>
          </w:p>
        </w:tc>
      </w:tr>
      <w:tr w:rsidR="0046229B" w:rsidRPr="003F6924" w14:paraId="2E633BFA" w14:textId="77777777" w:rsidTr="00794E60">
        <w:trPr>
          <w:trHeight w:val="340"/>
        </w:trPr>
        <w:tc>
          <w:tcPr>
            <w:tcW w:w="548" w:type="pct"/>
            <w:tcBorders>
              <w:top w:val="nil"/>
              <w:left w:val="nil"/>
              <w:bottom w:val="nil"/>
              <w:right w:val="nil"/>
            </w:tcBorders>
            <w:shd w:val="clear" w:color="auto" w:fill="auto"/>
            <w:noWrap/>
            <w:vAlign w:val="center"/>
            <w:hideMark/>
          </w:tcPr>
          <w:p w14:paraId="776A2043"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3D64A692"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59570F2C"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DTP_5</w:t>
            </w:r>
          </w:p>
        </w:tc>
        <w:tc>
          <w:tcPr>
            <w:tcW w:w="529" w:type="pct"/>
            <w:tcBorders>
              <w:top w:val="nil"/>
              <w:left w:val="nil"/>
              <w:bottom w:val="nil"/>
              <w:right w:val="nil"/>
            </w:tcBorders>
            <w:shd w:val="clear" w:color="auto" w:fill="auto"/>
            <w:noWrap/>
            <w:vAlign w:val="center"/>
            <w:hideMark/>
          </w:tcPr>
          <w:p w14:paraId="7BEDE68B"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0.7963</w:t>
            </w:r>
          </w:p>
        </w:tc>
        <w:tc>
          <w:tcPr>
            <w:tcW w:w="589" w:type="pct"/>
            <w:tcBorders>
              <w:top w:val="nil"/>
              <w:left w:val="nil"/>
              <w:bottom w:val="nil"/>
              <w:right w:val="nil"/>
            </w:tcBorders>
            <w:shd w:val="clear" w:color="auto" w:fill="auto"/>
            <w:noWrap/>
            <w:vAlign w:val="center"/>
            <w:hideMark/>
          </w:tcPr>
          <w:p w14:paraId="70B26159"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064D811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665EA054"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5739A735"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59D07D49"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1.5316</w:t>
            </w:r>
          </w:p>
        </w:tc>
      </w:tr>
      <w:tr w:rsidR="0046229B" w:rsidRPr="003F6924" w14:paraId="6BC4AB46" w14:textId="77777777" w:rsidTr="00794E60">
        <w:trPr>
          <w:trHeight w:val="340"/>
        </w:trPr>
        <w:tc>
          <w:tcPr>
            <w:tcW w:w="548" w:type="pct"/>
            <w:tcBorders>
              <w:top w:val="nil"/>
              <w:left w:val="nil"/>
              <w:bottom w:val="nil"/>
              <w:right w:val="nil"/>
            </w:tcBorders>
            <w:shd w:val="clear" w:color="auto" w:fill="auto"/>
            <w:noWrap/>
            <w:vAlign w:val="center"/>
            <w:hideMark/>
          </w:tcPr>
          <w:p w14:paraId="3000B339"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BFC</w:t>
            </w:r>
          </w:p>
        </w:tc>
        <w:tc>
          <w:tcPr>
            <w:tcW w:w="587" w:type="pct"/>
            <w:tcBorders>
              <w:top w:val="nil"/>
              <w:left w:val="nil"/>
              <w:bottom w:val="nil"/>
              <w:right w:val="nil"/>
            </w:tcBorders>
            <w:vAlign w:val="center"/>
          </w:tcPr>
          <w:p w14:paraId="25E85D89"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Reflective</w:t>
            </w:r>
          </w:p>
        </w:tc>
        <w:tc>
          <w:tcPr>
            <w:tcW w:w="492" w:type="pct"/>
            <w:tcBorders>
              <w:top w:val="nil"/>
              <w:left w:val="nil"/>
              <w:bottom w:val="nil"/>
              <w:right w:val="nil"/>
            </w:tcBorders>
            <w:shd w:val="clear" w:color="auto" w:fill="auto"/>
            <w:noWrap/>
            <w:vAlign w:val="center"/>
            <w:hideMark/>
          </w:tcPr>
          <w:p w14:paraId="5E5923B7"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529" w:type="pct"/>
            <w:tcBorders>
              <w:top w:val="nil"/>
              <w:left w:val="nil"/>
              <w:bottom w:val="nil"/>
              <w:right w:val="nil"/>
            </w:tcBorders>
            <w:shd w:val="clear" w:color="auto" w:fill="auto"/>
            <w:noWrap/>
            <w:vAlign w:val="center"/>
            <w:hideMark/>
          </w:tcPr>
          <w:p w14:paraId="1CBC003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73621F6A"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0.8795</w:t>
            </w:r>
          </w:p>
        </w:tc>
        <w:tc>
          <w:tcPr>
            <w:tcW w:w="589" w:type="pct"/>
            <w:tcBorders>
              <w:top w:val="nil"/>
              <w:left w:val="nil"/>
              <w:bottom w:val="nil"/>
              <w:right w:val="nil"/>
            </w:tcBorders>
            <w:shd w:val="clear" w:color="auto" w:fill="auto"/>
            <w:noWrap/>
            <w:vAlign w:val="center"/>
            <w:hideMark/>
          </w:tcPr>
          <w:p w14:paraId="165C1DFF"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0.8792</w:t>
            </w:r>
          </w:p>
        </w:tc>
        <w:tc>
          <w:tcPr>
            <w:tcW w:w="590" w:type="pct"/>
            <w:tcBorders>
              <w:top w:val="nil"/>
              <w:left w:val="nil"/>
              <w:bottom w:val="nil"/>
              <w:right w:val="nil"/>
            </w:tcBorders>
            <w:shd w:val="clear" w:color="auto" w:fill="auto"/>
            <w:noWrap/>
            <w:vAlign w:val="center"/>
            <w:hideMark/>
          </w:tcPr>
          <w:p w14:paraId="66F7761C"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0.8790</w:t>
            </w:r>
          </w:p>
        </w:tc>
        <w:tc>
          <w:tcPr>
            <w:tcW w:w="589" w:type="pct"/>
            <w:tcBorders>
              <w:top w:val="nil"/>
              <w:left w:val="nil"/>
              <w:bottom w:val="nil"/>
              <w:right w:val="nil"/>
            </w:tcBorders>
            <w:shd w:val="clear" w:color="auto" w:fill="auto"/>
            <w:noWrap/>
            <w:vAlign w:val="center"/>
            <w:hideMark/>
          </w:tcPr>
          <w:p w14:paraId="3E7AEC09"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0.6454</w:t>
            </w:r>
          </w:p>
        </w:tc>
        <w:tc>
          <w:tcPr>
            <w:tcW w:w="488" w:type="pct"/>
            <w:tcBorders>
              <w:top w:val="nil"/>
              <w:left w:val="nil"/>
              <w:bottom w:val="nil"/>
              <w:right w:val="nil"/>
            </w:tcBorders>
            <w:shd w:val="clear" w:color="auto" w:fill="auto"/>
            <w:noWrap/>
            <w:vAlign w:val="center"/>
            <w:hideMark/>
          </w:tcPr>
          <w:p w14:paraId="0CBDE34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r>
      <w:tr w:rsidR="0046229B" w:rsidRPr="003F6924" w14:paraId="1DAD1ECE" w14:textId="77777777" w:rsidTr="00794E60">
        <w:trPr>
          <w:trHeight w:val="340"/>
        </w:trPr>
        <w:tc>
          <w:tcPr>
            <w:tcW w:w="548" w:type="pct"/>
            <w:tcBorders>
              <w:top w:val="nil"/>
              <w:left w:val="nil"/>
              <w:bottom w:val="nil"/>
              <w:right w:val="nil"/>
            </w:tcBorders>
            <w:shd w:val="clear" w:color="auto" w:fill="auto"/>
            <w:noWrap/>
            <w:vAlign w:val="center"/>
            <w:hideMark/>
          </w:tcPr>
          <w:p w14:paraId="72EB9B21"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53AB472F"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6CD6BC33"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BFC_1</w:t>
            </w:r>
          </w:p>
        </w:tc>
        <w:tc>
          <w:tcPr>
            <w:tcW w:w="529" w:type="pct"/>
            <w:tcBorders>
              <w:top w:val="nil"/>
              <w:left w:val="nil"/>
              <w:bottom w:val="nil"/>
              <w:right w:val="nil"/>
            </w:tcBorders>
            <w:shd w:val="clear" w:color="auto" w:fill="auto"/>
            <w:noWrap/>
            <w:vAlign w:val="center"/>
            <w:hideMark/>
          </w:tcPr>
          <w:p w14:paraId="04FEE079"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0.8180</w:t>
            </w:r>
          </w:p>
        </w:tc>
        <w:tc>
          <w:tcPr>
            <w:tcW w:w="589" w:type="pct"/>
            <w:tcBorders>
              <w:top w:val="nil"/>
              <w:left w:val="nil"/>
              <w:bottom w:val="nil"/>
              <w:right w:val="nil"/>
            </w:tcBorders>
            <w:shd w:val="clear" w:color="auto" w:fill="auto"/>
            <w:noWrap/>
            <w:vAlign w:val="center"/>
            <w:hideMark/>
          </w:tcPr>
          <w:p w14:paraId="40F643D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42949C2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5A37DF08"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2C7425B3"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7ED71E2A"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2.4458</w:t>
            </w:r>
          </w:p>
        </w:tc>
      </w:tr>
      <w:tr w:rsidR="0046229B" w:rsidRPr="003F6924" w14:paraId="488A5CD0" w14:textId="77777777" w:rsidTr="00794E60">
        <w:trPr>
          <w:trHeight w:val="340"/>
        </w:trPr>
        <w:tc>
          <w:tcPr>
            <w:tcW w:w="548" w:type="pct"/>
            <w:tcBorders>
              <w:top w:val="nil"/>
              <w:left w:val="nil"/>
              <w:bottom w:val="nil"/>
              <w:right w:val="nil"/>
            </w:tcBorders>
            <w:shd w:val="clear" w:color="auto" w:fill="auto"/>
            <w:noWrap/>
            <w:vAlign w:val="center"/>
            <w:hideMark/>
          </w:tcPr>
          <w:p w14:paraId="15838DE5"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72E7417C"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2CC83433"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BFC_2</w:t>
            </w:r>
          </w:p>
        </w:tc>
        <w:tc>
          <w:tcPr>
            <w:tcW w:w="529" w:type="pct"/>
            <w:tcBorders>
              <w:top w:val="nil"/>
              <w:left w:val="nil"/>
              <w:bottom w:val="nil"/>
              <w:right w:val="nil"/>
            </w:tcBorders>
            <w:shd w:val="clear" w:color="auto" w:fill="auto"/>
            <w:noWrap/>
            <w:vAlign w:val="center"/>
            <w:hideMark/>
          </w:tcPr>
          <w:p w14:paraId="17874FA3"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0.7783</w:t>
            </w:r>
          </w:p>
        </w:tc>
        <w:tc>
          <w:tcPr>
            <w:tcW w:w="589" w:type="pct"/>
            <w:tcBorders>
              <w:top w:val="nil"/>
              <w:left w:val="nil"/>
              <w:bottom w:val="nil"/>
              <w:right w:val="nil"/>
            </w:tcBorders>
            <w:shd w:val="clear" w:color="auto" w:fill="auto"/>
            <w:noWrap/>
            <w:vAlign w:val="center"/>
            <w:hideMark/>
          </w:tcPr>
          <w:p w14:paraId="3D06E227"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4C1EC603"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539F44BE"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201D1D3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17F5B76C"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2.7000</w:t>
            </w:r>
          </w:p>
        </w:tc>
      </w:tr>
      <w:tr w:rsidR="0046229B" w:rsidRPr="003F6924" w14:paraId="270F1457" w14:textId="77777777" w:rsidTr="00794E60">
        <w:trPr>
          <w:trHeight w:val="340"/>
        </w:trPr>
        <w:tc>
          <w:tcPr>
            <w:tcW w:w="548" w:type="pct"/>
            <w:tcBorders>
              <w:top w:val="nil"/>
              <w:left w:val="nil"/>
              <w:bottom w:val="nil"/>
              <w:right w:val="nil"/>
            </w:tcBorders>
            <w:shd w:val="clear" w:color="auto" w:fill="auto"/>
            <w:noWrap/>
            <w:vAlign w:val="center"/>
            <w:hideMark/>
          </w:tcPr>
          <w:p w14:paraId="7F17625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3F248816"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77857DCB"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BFC_3</w:t>
            </w:r>
          </w:p>
        </w:tc>
        <w:tc>
          <w:tcPr>
            <w:tcW w:w="529" w:type="pct"/>
            <w:tcBorders>
              <w:top w:val="nil"/>
              <w:left w:val="nil"/>
              <w:bottom w:val="nil"/>
              <w:right w:val="nil"/>
            </w:tcBorders>
            <w:shd w:val="clear" w:color="auto" w:fill="auto"/>
            <w:noWrap/>
            <w:vAlign w:val="center"/>
            <w:hideMark/>
          </w:tcPr>
          <w:p w14:paraId="5737D1BA"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0.8576</w:t>
            </w:r>
          </w:p>
        </w:tc>
        <w:tc>
          <w:tcPr>
            <w:tcW w:w="589" w:type="pct"/>
            <w:tcBorders>
              <w:top w:val="nil"/>
              <w:left w:val="nil"/>
              <w:bottom w:val="nil"/>
              <w:right w:val="nil"/>
            </w:tcBorders>
            <w:shd w:val="clear" w:color="auto" w:fill="auto"/>
            <w:noWrap/>
            <w:vAlign w:val="center"/>
            <w:hideMark/>
          </w:tcPr>
          <w:p w14:paraId="1375A583"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235B5D5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0319C3A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0E72C139"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636B50FE"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1.8461</w:t>
            </w:r>
          </w:p>
        </w:tc>
      </w:tr>
      <w:tr w:rsidR="0046229B" w:rsidRPr="003F6924" w14:paraId="16DC19B4" w14:textId="77777777" w:rsidTr="00794E60">
        <w:trPr>
          <w:trHeight w:val="340"/>
        </w:trPr>
        <w:tc>
          <w:tcPr>
            <w:tcW w:w="548" w:type="pct"/>
            <w:tcBorders>
              <w:top w:val="nil"/>
              <w:left w:val="nil"/>
              <w:bottom w:val="nil"/>
              <w:right w:val="nil"/>
            </w:tcBorders>
            <w:shd w:val="clear" w:color="auto" w:fill="auto"/>
            <w:noWrap/>
            <w:vAlign w:val="center"/>
            <w:hideMark/>
          </w:tcPr>
          <w:p w14:paraId="088C0EF2"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GDS</w:t>
            </w:r>
          </w:p>
        </w:tc>
        <w:tc>
          <w:tcPr>
            <w:tcW w:w="587" w:type="pct"/>
            <w:tcBorders>
              <w:top w:val="nil"/>
              <w:left w:val="nil"/>
              <w:bottom w:val="nil"/>
              <w:right w:val="nil"/>
            </w:tcBorders>
            <w:vAlign w:val="center"/>
          </w:tcPr>
          <w:p w14:paraId="00261C61"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Reflective</w:t>
            </w:r>
          </w:p>
        </w:tc>
        <w:tc>
          <w:tcPr>
            <w:tcW w:w="492" w:type="pct"/>
            <w:tcBorders>
              <w:top w:val="nil"/>
              <w:left w:val="nil"/>
              <w:bottom w:val="nil"/>
              <w:right w:val="nil"/>
            </w:tcBorders>
            <w:shd w:val="clear" w:color="auto" w:fill="auto"/>
            <w:noWrap/>
            <w:vAlign w:val="center"/>
            <w:hideMark/>
          </w:tcPr>
          <w:p w14:paraId="511B6D22"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529" w:type="pct"/>
            <w:tcBorders>
              <w:top w:val="nil"/>
              <w:left w:val="nil"/>
              <w:bottom w:val="nil"/>
              <w:right w:val="nil"/>
            </w:tcBorders>
            <w:shd w:val="clear" w:color="auto" w:fill="auto"/>
            <w:noWrap/>
            <w:vAlign w:val="center"/>
            <w:hideMark/>
          </w:tcPr>
          <w:p w14:paraId="24369E87"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5E6C557E"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0.7341</w:t>
            </w:r>
          </w:p>
        </w:tc>
        <w:tc>
          <w:tcPr>
            <w:tcW w:w="589" w:type="pct"/>
            <w:tcBorders>
              <w:top w:val="nil"/>
              <w:left w:val="nil"/>
              <w:bottom w:val="nil"/>
              <w:right w:val="nil"/>
            </w:tcBorders>
            <w:shd w:val="clear" w:color="auto" w:fill="auto"/>
            <w:noWrap/>
            <w:vAlign w:val="center"/>
            <w:hideMark/>
          </w:tcPr>
          <w:p w14:paraId="7D18A24E"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0.7328</w:t>
            </w:r>
          </w:p>
        </w:tc>
        <w:tc>
          <w:tcPr>
            <w:tcW w:w="590" w:type="pct"/>
            <w:tcBorders>
              <w:top w:val="nil"/>
              <w:left w:val="nil"/>
              <w:bottom w:val="nil"/>
              <w:right w:val="nil"/>
            </w:tcBorders>
            <w:shd w:val="clear" w:color="auto" w:fill="auto"/>
            <w:noWrap/>
            <w:vAlign w:val="center"/>
            <w:hideMark/>
          </w:tcPr>
          <w:p w14:paraId="35177AE1"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0.7320</w:t>
            </w:r>
          </w:p>
        </w:tc>
        <w:tc>
          <w:tcPr>
            <w:tcW w:w="589" w:type="pct"/>
            <w:tcBorders>
              <w:top w:val="nil"/>
              <w:left w:val="nil"/>
              <w:bottom w:val="nil"/>
              <w:right w:val="nil"/>
            </w:tcBorders>
            <w:shd w:val="clear" w:color="auto" w:fill="auto"/>
            <w:noWrap/>
            <w:vAlign w:val="center"/>
            <w:hideMark/>
          </w:tcPr>
          <w:p w14:paraId="60D1DCFB"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0.5785</w:t>
            </w:r>
          </w:p>
        </w:tc>
        <w:tc>
          <w:tcPr>
            <w:tcW w:w="488" w:type="pct"/>
            <w:tcBorders>
              <w:top w:val="nil"/>
              <w:left w:val="nil"/>
              <w:bottom w:val="nil"/>
              <w:right w:val="nil"/>
            </w:tcBorders>
            <w:shd w:val="clear" w:color="auto" w:fill="auto"/>
            <w:noWrap/>
            <w:vAlign w:val="center"/>
            <w:hideMark/>
          </w:tcPr>
          <w:p w14:paraId="6E1781D1"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r>
      <w:tr w:rsidR="0046229B" w:rsidRPr="003F6924" w14:paraId="6C405226" w14:textId="77777777" w:rsidTr="00794E60">
        <w:trPr>
          <w:trHeight w:val="340"/>
        </w:trPr>
        <w:tc>
          <w:tcPr>
            <w:tcW w:w="548" w:type="pct"/>
            <w:tcBorders>
              <w:top w:val="nil"/>
              <w:left w:val="nil"/>
              <w:bottom w:val="nil"/>
              <w:right w:val="nil"/>
            </w:tcBorders>
            <w:shd w:val="clear" w:color="auto" w:fill="auto"/>
            <w:noWrap/>
            <w:vAlign w:val="center"/>
            <w:hideMark/>
          </w:tcPr>
          <w:p w14:paraId="14D2BBB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73787DEC"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7083BF24"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GDS_1</w:t>
            </w:r>
          </w:p>
        </w:tc>
        <w:tc>
          <w:tcPr>
            <w:tcW w:w="529" w:type="pct"/>
            <w:tcBorders>
              <w:top w:val="nil"/>
              <w:left w:val="nil"/>
              <w:bottom w:val="nil"/>
              <w:right w:val="nil"/>
            </w:tcBorders>
            <w:shd w:val="clear" w:color="auto" w:fill="auto"/>
            <w:noWrap/>
            <w:vAlign w:val="center"/>
            <w:hideMark/>
          </w:tcPr>
          <w:p w14:paraId="0948C463"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0.8363</w:t>
            </w:r>
          </w:p>
        </w:tc>
        <w:tc>
          <w:tcPr>
            <w:tcW w:w="589" w:type="pct"/>
            <w:tcBorders>
              <w:top w:val="nil"/>
              <w:left w:val="nil"/>
              <w:bottom w:val="nil"/>
              <w:right w:val="nil"/>
            </w:tcBorders>
            <w:shd w:val="clear" w:color="auto" w:fill="auto"/>
            <w:noWrap/>
            <w:vAlign w:val="center"/>
            <w:hideMark/>
          </w:tcPr>
          <w:p w14:paraId="47A2CAA1"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4B4452F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172F845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14F55A7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239D7FE6"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2.2792</w:t>
            </w:r>
          </w:p>
        </w:tc>
      </w:tr>
      <w:tr w:rsidR="0046229B" w:rsidRPr="003F6924" w14:paraId="2949962E" w14:textId="77777777" w:rsidTr="00794E60">
        <w:trPr>
          <w:trHeight w:val="340"/>
        </w:trPr>
        <w:tc>
          <w:tcPr>
            <w:tcW w:w="548" w:type="pct"/>
            <w:tcBorders>
              <w:top w:val="nil"/>
              <w:left w:val="nil"/>
              <w:bottom w:val="nil"/>
              <w:right w:val="nil"/>
            </w:tcBorders>
            <w:shd w:val="clear" w:color="auto" w:fill="auto"/>
            <w:noWrap/>
            <w:vAlign w:val="center"/>
            <w:hideMark/>
          </w:tcPr>
          <w:p w14:paraId="7A9C737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5F067937"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16651CDB"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GDS_2</w:t>
            </w:r>
          </w:p>
        </w:tc>
        <w:tc>
          <w:tcPr>
            <w:tcW w:w="529" w:type="pct"/>
            <w:tcBorders>
              <w:top w:val="nil"/>
              <w:left w:val="nil"/>
              <w:bottom w:val="nil"/>
              <w:right w:val="nil"/>
            </w:tcBorders>
            <w:shd w:val="clear" w:color="auto" w:fill="auto"/>
            <w:noWrap/>
            <w:vAlign w:val="center"/>
            <w:hideMark/>
          </w:tcPr>
          <w:p w14:paraId="4010CA49"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0.7964</w:t>
            </w:r>
          </w:p>
        </w:tc>
        <w:tc>
          <w:tcPr>
            <w:tcW w:w="589" w:type="pct"/>
            <w:tcBorders>
              <w:top w:val="nil"/>
              <w:left w:val="nil"/>
              <w:bottom w:val="nil"/>
              <w:right w:val="nil"/>
            </w:tcBorders>
            <w:shd w:val="clear" w:color="auto" w:fill="auto"/>
            <w:noWrap/>
            <w:vAlign w:val="center"/>
            <w:hideMark/>
          </w:tcPr>
          <w:p w14:paraId="5F2D2C5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630B9718"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4EB04D1C"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5C8AF965"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5A8E89CE"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2.5981</w:t>
            </w:r>
          </w:p>
        </w:tc>
      </w:tr>
      <w:tr w:rsidR="0046229B" w:rsidRPr="003F6924" w14:paraId="056A3DFD" w14:textId="77777777" w:rsidTr="00794E60">
        <w:trPr>
          <w:trHeight w:val="340"/>
        </w:trPr>
        <w:tc>
          <w:tcPr>
            <w:tcW w:w="548" w:type="pct"/>
            <w:tcBorders>
              <w:top w:val="nil"/>
              <w:left w:val="nil"/>
              <w:bottom w:val="nil"/>
              <w:right w:val="nil"/>
            </w:tcBorders>
            <w:shd w:val="clear" w:color="auto" w:fill="auto"/>
            <w:noWrap/>
            <w:vAlign w:val="center"/>
            <w:hideMark/>
          </w:tcPr>
          <w:p w14:paraId="07131D3C"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035534F5"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76DD4A48"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GDS_3</w:t>
            </w:r>
          </w:p>
        </w:tc>
        <w:tc>
          <w:tcPr>
            <w:tcW w:w="529" w:type="pct"/>
            <w:tcBorders>
              <w:top w:val="nil"/>
              <w:left w:val="nil"/>
              <w:bottom w:val="nil"/>
              <w:right w:val="nil"/>
            </w:tcBorders>
            <w:shd w:val="clear" w:color="auto" w:fill="auto"/>
            <w:noWrap/>
            <w:vAlign w:val="center"/>
            <w:hideMark/>
          </w:tcPr>
          <w:p w14:paraId="22779D9A"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0.7623</w:t>
            </w:r>
          </w:p>
        </w:tc>
        <w:tc>
          <w:tcPr>
            <w:tcW w:w="589" w:type="pct"/>
            <w:tcBorders>
              <w:top w:val="nil"/>
              <w:left w:val="nil"/>
              <w:bottom w:val="nil"/>
              <w:right w:val="nil"/>
            </w:tcBorders>
            <w:shd w:val="clear" w:color="auto" w:fill="auto"/>
            <w:noWrap/>
            <w:vAlign w:val="center"/>
            <w:hideMark/>
          </w:tcPr>
          <w:p w14:paraId="61E5E7A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4BF4A8D1"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03FD27C8"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21EBCC9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6E13B742"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2.1014</w:t>
            </w:r>
          </w:p>
        </w:tc>
      </w:tr>
      <w:tr w:rsidR="0046229B" w:rsidRPr="003F6924" w14:paraId="1D11F8FC" w14:textId="77777777" w:rsidTr="00794E60">
        <w:trPr>
          <w:trHeight w:val="340"/>
        </w:trPr>
        <w:tc>
          <w:tcPr>
            <w:tcW w:w="548" w:type="pct"/>
            <w:tcBorders>
              <w:top w:val="nil"/>
              <w:left w:val="nil"/>
              <w:bottom w:val="nil"/>
              <w:right w:val="nil"/>
            </w:tcBorders>
            <w:shd w:val="clear" w:color="auto" w:fill="auto"/>
            <w:noWrap/>
            <w:vAlign w:val="center"/>
            <w:hideMark/>
          </w:tcPr>
          <w:p w14:paraId="57D8D2AC"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3417006E"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71783DAC"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GDS_4</w:t>
            </w:r>
          </w:p>
        </w:tc>
        <w:tc>
          <w:tcPr>
            <w:tcW w:w="529" w:type="pct"/>
            <w:tcBorders>
              <w:top w:val="nil"/>
              <w:left w:val="nil"/>
              <w:bottom w:val="nil"/>
              <w:right w:val="nil"/>
            </w:tcBorders>
            <w:shd w:val="clear" w:color="auto" w:fill="auto"/>
            <w:noWrap/>
            <w:vAlign w:val="center"/>
            <w:hideMark/>
          </w:tcPr>
          <w:p w14:paraId="2CE2D4CA"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0.8040</w:t>
            </w:r>
          </w:p>
        </w:tc>
        <w:tc>
          <w:tcPr>
            <w:tcW w:w="589" w:type="pct"/>
            <w:tcBorders>
              <w:top w:val="nil"/>
              <w:left w:val="nil"/>
              <w:bottom w:val="nil"/>
              <w:right w:val="nil"/>
            </w:tcBorders>
            <w:shd w:val="clear" w:color="auto" w:fill="auto"/>
            <w:noWrap/>
            <w:vAlign w:val="center"/>
            <w:hideMark/>
          </w:tcPr>
          <w:p w14:paraId="150A130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3E892F50"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2FE8F13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167BC7E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25B14788"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2.0650</w:t>
            </w:r>
          </w:p>
        </w:tc>
      </w:tr>
      <w:tr w:rsidR="0046229B" w:rsidRPr="003F6924" w14:paraId="0A9659C7" w14:textId="77777777" w:rsidTr="00794E60">
        <w:trPr>
          <w:trHeight w:val="340"/>
        </w:trPr>
        <w:tc>
          <w:tcPr>
            <w:tcW w:w="548" w:type="pct"/>
            <w:tcBorders>
              <w:top w:val="nil"/>
              <w:left w:val="nil"/>
              <w:bottom w:val="nil"/>
              <w:right w:val="nil"/>
            </w:tcBorders>
            <w:shd w:val="clear" w:color="auto" w:fill="auto"/>
            <w:noWrap/>
            <w:vAlign w:val="center"/>
            <w:hideMark/>
          </w:tcPr>
          <w:p w14:paraId="5589A773"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DTC</w:t>
            </w:r>
          </w:p>
        </w:tc>
        <w:tc>
          <w:tcPr>
            <w:tcW w:w="587" w:type="pct"/>
            <w:tcBorders>
              <w:top w:val="nil"/>
              <w:left w:val="nil"/>
              <w:bottom w:val="nil"/>
              <w:right w:val="nil"/>
            </w:tcBorders>
            <w:vAlign w:val="center"/>
          </w:tcPr>
          <w:p w14:paraId="1CE9C0B2"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Reflective</w:t>
            </w:r>
          </w:p>
        </w:tc>
        <w:tc>
          <w:tcPr>
            <w:tcW w:w="492" w:type="pct"/>
            <w:tcBorders>
              <w:top w:val="nil"/>
              <w:left w:val="nil"/>
              <w:bottom w:val="nil"/>
              <w:right w:val="nil"/>
            </w:tcBorders>
            <w:shd w:val="clear" w:color="auto" w:fill="auto"/>
            <w:noWrap/>
            <w:vAlign w:val="center"/>
            <w:hideMark/>
          </w:tcPr>
          <w:p w14:paraId="4E921EF1"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529" w:type="pct"/>
            <w:tcBorders>
              <w:top w:val="nil"/>
              <w:left w:val="nil"/>
              <w:bottom w:val="nil"/>
              <w:right w:val="nil"/>
            </w:tcBorders>
            <w:shd w:val="clear" w:color="auto" w:fill="auto"/>
            <w:noWrap/>
            <w:vAlign w:val="center"/>
            <w:hideMark/>
          </w:tcPr>
          <w:p w14:paraId="56B9D8D1"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32BFBEE4"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0.7971</w:t>
            </w:r>
          </w:p>
        </w:tc>
        <w:tc>
          <w:tcPr>
            <w:tcW w:w="589" w:type="pct"/>
            <w:tcBorders>
              <w:top w:val="nil"/>
              <w:left w:val="nil"/>
              <w:bottom w:val="nil"/>
              <w:right w:val="nil"/>
            </w:tcBorders>
            <w:shd w:val="clear" w:color="auto" w:fill="auto"/>
            <w:noWrap/>
            <w:vAlign w:val="center"/>
            <w:hideMark/>
          </w:tcPr>
          <w:p w14:paraId="010AF910"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0.7958</w:t>
            </w:r>
          </w:p>
        </w:tc>
        <w:tc>
          <w:tcPr>
            <w:tcW w:w="590" w:type="pct"/>
            <w:tcBorders>
              <w:top w:val="nil"/>
              <w:left w:val="nil"/>
              <w:bottom w:val="nil"/>
              <w:right w:val="nil"/>
            </w:tcBorders>
            <w:shd w:val="clear" w:color="auto" w:fill="auto"/>
            <w:noWrap/>
            <w:vAlign w:val="center"/>
            <w:hideMark/>
          </w:tcPr>
          <w:p w14:paraId="1D019230"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0.7975</w:t>
            </w:r>
          </w:p>
        </w:tc>
        <w:tc>
          <w:tcPr>
            <w:tcW w:w="589" w:type="pct"/>
            <w:tcBorders>
              <w:top w:val="nil"/>
              <w:left w:val="nil"/>
              <w:bottom w:val="nil"/>
              <w:right w:val="nil"/>
            </w:tcBorders>
            <w:shd w:val="clear" w:color="auto" w:fill="auto"/>
            <w:noWrap/>
            <w:vAlign w:val="center"/>
            <w:hideMark/>
          </w:tcPr>
          <w:p w14:paraId="6051F7D4"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0.5653</w:t>
            </w:r>
          </w:p>
        </w:tc>
        <w:tc>
          <w:tcPr>
            <w:tcW w:w="488" w:type="pct"/>
            <w:tcBorders>
              <w:top w:val="nil"/>
              <w:left w:val="nil"/>
              <w:bottom w:val="nil"/>
              <w:right w:val="nil"/>
            </w:tcBorders>
            <w:shd w:val="clear" w:color="auto" w:fill="auto"/>
            <w:noWrap/>
            <w:vAlign w:val="center"/>
            <w:hideMark/>
          </w:tcPr>
          <w:p w14:paraId="439D74C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r>
      <w:tr w:rsidR="0046229B" w:rsidRPr="003F6924" w14:paraId="68EDDB57" w14:textId="77777777" w:rsidTr="00794E60">
        <w:trPr>
          <w:trHeight w:val="340"/>
        </w:trPr>
        <w:tc>
          <w:tcPr>
            <w:tcW w:w="548" w:type="pct"/>
            <w:tcBorders>
              <w:top w:val="nil"/>
              <w:left w:val="nil"/>
              <w:bottom w:val="nil"/>
              <w:right w:val="nil"/>
            </w:tcBorders>
            <w:shd w:val="clear" w:color="auto" w:fill="auto"/>
            <w:noWrap/>
            <w:vAlign w:val="center"/>
            <w:hideMark/>
          </w:tcPr>
          <w:p w14:paraId="44FEEC74"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02C1EAB9"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645660BF"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DTC_2</w:t>
            </w:r>
          </w:p>
        </w:tc>
        <w:tc>
          <w:tcPr>
            <w:tcW w:w="529" w:type="pct"/>
            <w:tcBorders>
              <w:top w:val="nil"/>
              <w:left w:val="nil"/>
              <w:bottom w:val="nil"/>
              <w:right w:val="nil"/>
            </w:tcBorders>
            <w:shd w:val="clear" w:color="auto" w:fill="auto"/>
            <w:noWrap/>
            <w:vAlign w:val="center"/>
            <w:hideMark/>
          </w:tcPr>
          <w:p w14:paraId="60CA594D"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0.7957</w:t>
            </w:r>
          </w:p>
        </w:tc>
        <w:tc>
          <w:tcPr>
            <w:tcW w:w="589" w:type="pct"/>
            <w:tcBorders>
              <w:top w:val="nil"/>
              <w:left w:val="nil"/>
              <w:bottom w:val="nil"/>
              <w:right w:val="nil"/>
            </w:tcBorders>
            <w:shd w:val="clear" w:color="auto" w:fill="auto"/>
            <w:noWrap/>
            <w:vAlign w:val="center"/>
            <w:hideMark/>
          </w:tcPr>
          <w:p w14:paraId="4DD0CE9E"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5E934F99"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5461965E"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3ED282A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2CEBB0E4"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2.1686</w:t>
            </w:r>
          </w:p>
        </w:tc>
      </w:tr>
      <w:tr w:rsidR="0046229B" w:rsidRPr="003F6924" w14:paraId="063788E7" w14:textId="77777777" w:rsidTr="00794E60">
        <w:trPr>
          <w:trHeight w:val="340"/>
        </w:trPr>
        <w:tc>
          <w:tcPr>
            <w:tcW w:w="548" w:type="pct"/>
            <w:tcBorders>
              <w:top w:val="nil"/>
              <w:left w:val="nil"/>
              <w:bottom w:val="nil"/>
              <w:right w:val="nil"/>
            </w:tcBorders>
            <w:shd w:val="clear" w:color="auto" w:fill="auto"/>
            <w:noWrap/>
            <w:vAlign w:val="center"/>
            <w:hideMark/>
          </w:tcPr>
          <w:p w14:paraId="0804818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2FE91718"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1C27B668"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DTC_3</w:t>
            </w:r>
          </w:p>
        </w:tc>
        <w:tc>
          <w:tcPr>
            <w:tcW w:w="529" w:type="pct"/>
            <w:tcBorders>
              <w:top w:val="nil"/>
              <w:left w:val="nil"/>
              <w:bottom w:val="nil"/>
              <w:right w:val="nil"/>
            </w:tcBorders>
            <w:shd w:val="clear" w:color="auto" w:fill="auto"/>
            <w:noWrap/>
            <w:vAlign w:val="center"/>
            <w:hideMark/>
          </w:tcPr>
          <w:p w14:paraId="3A8D8095"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0.7866</w:t>
            </w:r>
          </w:p>
        </w:tc>
        <w:tc>
          <w:tcPr>
            <w:tcW w:w="589" w:type="pct"/>
            <w:tcBorders>
              <w:top w:val="nil"/>
              <w:left w:val="nil"/>
              <w:bottom w:val="nil"/>
              <w:right w:val="nil"/>
            </w:tcBorders>
            <w:shd w:val="clear" w:color="auto" w:fill="auto"/>
            <w:noWrap/>
            <w:vAlign w:val="center"/>
            <w:hideMark/>
          </w:tcPr>
          <w:p w14:paraId="618AB4E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214C28BE"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01C3B46E"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4BED844D"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71F95B7C"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2.0985</w:t>
            </w:r>
          </w:p>
        </w:tc>
      </w:tr>
      <w:tr w:rsidR="0046229B" w:rsidRPr="003F6924" w14:paraId="63E01ADE" w14:textId="77777777" w:rsidTr="00794E60">
        <w:trPr>
          <w:trHeight w:val="340"/>
        </w:trPr>
        <w:tc>
          <w:tcPr>
            <w:tcW w:w="548" w:type="pct"/>
            <w:tcBorders>
              <w:top w:val="nil"/>
              <w:left w:val="nil"/>
              <w:bottom w:val="nil"/>
              <w:right w:val="nil"/>
            </w:tcBorders>
            <w:shd w:val="clear" w:color="auto" w:fill="auto"/>
            <w:noWrap/>
            <w:vAlign w:val="center"/>
            <w:hideMark/>
          </w:tcPr>
          <w:p w14:paraId="1B8BCC47"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5D2888C6"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7713EA9E"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DTC_4</w:t>
            </w:r>
          </w:p>
        </w:tc>
        <w:tc>
          <w:tcPr>
            <w:tcW w:w="529" w:type="pct"/>
            <w:tcBorders>
              <w:top w:val="nil"/>
              <w:left w:val="nil"/>
              <w:bottom w:val="nil"/>
              <w:right w:val="nil"/>
            </w:tcBorders>
            <w:shd w:val="clear" w:color="auto" w:fill="auto"/>
            <w:noWrap/>
            <w:vAlign w:val="center"/>
            <w:hideMark/>
          </w:tcPr>
          <w:p w14:paraId="521CB5AB"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0.8001</w:t>
            </w:r>
          </w:p>
        </w:tc>
        <w:tc>
          <w:tcPr>
            <w:tcW w:w="589" w:type="pct"/>
            <w:tcBorders>
              <w:top w:val="nil"/>
              <w:left w:val="nil"/>
              <w:bottom w:val="nil"/>
              <w:right w:val="nil"/>
            </w:tcBorders>
            <w:shd w:val="clear" w:color="auto" w:fill="auto"/>
            <w:noWrap/>
            <w:vAlign w:val="center"/>
            <w:hideMark/>
          </w:tcPr>
          <w:p w14:paraId="32724E25"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662C9FEE"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59005A08"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7D8AC64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4FE6C9FF"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2.9557</w:t>
            </w:r>
          </w:p>
        </w:tc>
      </w:tr>
      <w:tr w:rsidR="0046229B" w:rsidRPr="003F6924" w14:paraId="04CFF052" w14:textId="77777777" w:rsidTr="00794E60">
        <w:trPr>
          <w:trHeight w:val="340"/>
        </w:trPr>
        <w:tc>
          <w:tcPr>
            <w:tcW w:w="548" w:type="pct"/>
            <w:tcBorders>
              <w:top w:val="nil"/>
              <w:left w:val="nil"/>
              <w:bottom w:val="nil"/>
              <w:right w:val="nil"/>
            </w:tcBorders>
            <w:shd w:val="clear" w:color="auto" w:fill="auto"/>
            <w:noWrap/>
            <w:vAlign w:val="center"/>
            <w:hideMark/>
          </w:tcPr>
          <w:p w14:paraId="2773B1A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1C7443CB"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33598595"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DTC_5</w:t>
            </w:r>
          </w:p>
        </w:tc>
        <w:tc>
          <w:tcPr>
            <w:tcW w:w="529" w:type="pct"/>
            <w:tcBorders>
              <w:top w:val="nil"/>
              <w:left w:val="nil"/>
              <w:bottom w:val="nil"/>
              <w:right w:val="nil"/>
            </w:tcBorders>
            <w:shd w:val="clear" w:color="auto" w:fill="auto"/>
            <w:noWrap/>
            <w:vAlign w:val="center"/>
            <w:hideMark/>
          </w:tcPr>
          <w:p w14:paraId="0C667FDF"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0.8304</w:t>
            </w:r>
          </w:p>
        </w:tc>
        <w:tc>
          <w:tcPr>
            <w:tcW w:w="589" w:type="pct"/>
            <w:tcBorders>
              <w:top w:val="nil"/>
              <w:left w:val="nil"/>
              <w:bottom w:val="nil"/>
              <w:right w:val="nil"/>
            </w:tcBorders>
            <w:shd w:val="clear" w:color="auto" w:fill="auto"/>
            <w:noWrap/>
            <w:vAlign w:val="center"/>
            <w:hideMark/>
          </w:tcPr>
          <w:p w14:paraId="53444036"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7C604C47"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155B38E1"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67A1D798"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46D8C37A"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2.8501</w:t>
            </w:r>
          </w:p>
        </w:tc>
      </w:tr>
      <w:tr w:rsidR="0046229B" w:rsidRPr="003F6924" w14:paraId="72265D36" w14:textId="77777777" w:rsidTr="00794E60">
        <w:trPr>
          <w:trHeight w:val="340"/>
        </w:trPr>
        <w:tc>
          <w:tcPr>
            <w:tcW w:w="548" w:type="pct"/>
            <w:tcBorders>
              <w:top w:val="nil"/>
              <w:left w:val="nil"/>
              <w:bottom w:val="nil"/>
              <w:right w:val="nil"/>
            </w:tcBorders>
            <w:shd w:val="clear" w:color="auto" w:fill="auto"/>
            <w:noWrap/>
            <w:vAlign w:val="center"/>
            <w:hideMark/>
          </w:tcPr>
          <w:p w14:paraId="38433AD4"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LDT</w:t>
            </w:r>
          </w:p>
        </w:tc>
        <w:tc>
          <w:tcPr>
            <w:tcW w:w="587" w:type="pct"/>
            <w:tcBorders>
              <w:top w:val="nil"/>
              <w:left w:val="nil"/>
              <w:bottom w:val="nil"/>
              <w:right w:val="nil"/>
            </w:tcBorders>
            <w:vAlign w:val="center"/>
          </w:tcPr>
          <w:p w14:paraId="0634A3F9"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Reflective</w:t>
            </w:r>
          </w:p>
        </w:tc>
        <w:tc>
          <w:tcPr>
            <w:tcW w:w="492" w:type="pct"/>
            <w:tcBorders>
              <w:top w:val="nil"/>
              <w:left w:val="nil"/>
              <w:bottom w:val="nil"/>
              <w:right w:val="nil"/>
            </w:tcBorders>
            <w:shd w:val="clear" w:color="auto" w:fill="auto"/>
            <w:noWrap/>
            <w:vAlign w:val="center"/>
            <w:hideMark/>
          </w:tcPr>
          <w:p w14:paraId="2C83297A"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529" w:type="pct"/>
            <w:tcBorders>
              <w:top w:val="nil"/>
              <w:left w:val="nil"/>
              <w:bottom w:val="nil"/>
              <w:right w:val="nil"/>
            </w:tcBorders>
            <w:shd w:val="clear" w:color="auto" w:fill="auto"/>
            <w:noWrap/>
            <w:vAlign w:val="center"/>
            <w:hideMark/>
          </w:tcPr>
          <w:p w14:paraId="3EDAF2A1"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709AE500"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0.8943</w:t>
            </w:r>
          </w:p>
        </w:tc>
        <w:tc>
          <w:tcPr>
            <w:tcW w:w="589" w:type="pct"/>
            <w:tcBorders>
              <w:top w:val="nil"/>
              <w:left w:val="nil"/>
              <w:bottom w:val="nil"/>
              <w:right w:val="nil"/>
            </w:tcBorders>
            <w:shd w:val="clear" w:color="auto" w:fill="auto"/>
            <w:noWrap/>
            <w:vAlign w:val="center"/>
            <w:hideMark/>
          </w:tcPr>
          <w:p w14:paraId="01501B07"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0.8899</w:t>
            </w:r>
          </w:p>
        </w:tc>
        <w:tc>
          <w:tcPr>
            <w:tcW w:w="590" w:type="pct"/>
            <w:tcBorders>
              <w:top w:val="nil"/>
              <w:left w:val="nil"/>
              <w:bottom w:val="nil"/>
              <w:right w:val="nil"/>
            </w:tcBorders>
            <w:shd w:val="clear" w:color="auto" w:fill="auto"/>
            <w:noWrap/>
            <w:vAlign w:val="center"/>
            <w:hideMark/>
          </w:tcPr>
          <w:p w14:paraId="79298FEA"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0.8887</w:t>
            </w:r>
          </w:p>
        </w:tc>
        <w:tc>
          <w:tcPr>
            <w:tcW w:w="589" w:type="pct"/>
            <w:tcBorders>
              <w:top w:val="nil"/>
              <w:left w:val="nil"/>
              <w:bottom w:val="nil"/>
              <w:right w:val="nil"/>
            </w:tcBorders>
            <w:shd w:val="clear" w:color="auto" w:fill="auto"/>
            <w:noWrap/>
            <w:vAlign w:val="center"/>
            <w:hideMark/>
          </w:tcPr>
          <w:p w14:paraId="4A8302F0"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0.7299</w:t>
            </w:r>
          </w:p>
        </w:tc>
        <w:tc>
          <w:tcPr>
            <w:tcW w:w="488" w:type="pct"/>
            <w:tcBorders>
              <w:top w:val="nil"/>
              <w:left w:val="nil"/>
              <w:bottom w:val="nil"/>
              <w:right w:val="nil"/>
            </w:tcBorders>
            <w:shd w:val="clear" w:color="auto" w:fill="auto"/>
            <w:noWrap/>
            <w:vAlign w:val="center"/>
            <w:hideMark/>
          </w:tcPr>
          <w:p w14:paraId="1F148B07"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r>
      <w:tr w:rsidR="0046229B" w:rsidRPr="003F6924" w14:paraId="559094E6" w14:textId="77777777" w:rsidTr="00794E60">
        <w:trPr>
          <w:trHeight w:val="340"/>
        </w:trPr>
        <w:tc>
          <w:tcPr>
            <w:tcW w:w="548" w:type="pct"/>
            <w:tcBorders>
              <w:top w:val="nil"/>
              <w:left w:val="nil"/>
              <w:bottom w:val="nil"/>
              <w:right w:val="nil"/>
            </w:tcBorders>
            <w:shd w:val="clear" w:color="auto" w:fill="auto"/>
            <w:noWrap/>
            <w:vAlign w:val="center"/>
            <w:hideMark/>
          </w:tcPr>
          <w:p w14:paraId="44D2E05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68F66ACF"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506C8048"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LDT_1</w:t>
            </w:r>
          </w:p>
        </w:tc>
        <w:tc>
          <w:tcPr>
            <w:tcW w:w="529" w:type="pct"/>
            <w:tcBorders>
              <w:top w:val="nil"/>
              <w:left w:val="nil"/>
              <w:bottom w:val="nil"/>
              <w:right w:val="nil"/>
            </w:tcBorders>
            <w:shd w:val="clear" w:color="auto" w:fill="auto"/>
            <w:noWrap/>
            <w:vAlign w:val="center"/>
            <w:hideMark/>
          </w:tcPr>
          <w:p w14:paraId="6D823860"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0.9249</w:t>
            </w:r>
          </w:p>
        </w:tc>
        <w:tc>
          <w:tcPr>
            <w:tcW w:w="589" w:type="pct"/>
            <w:tcBorders>
              <w:top w:val="nil"/>
              <w:left w:val="nil"/>
              <w:bottom w:val="nil"/>
              <w:right w:val="nil"/>
            </w:tcBorders>
            <w:shd w:val="clear" w:color="auto" w:fill="auto"/>
            <w:noWrap/>
            <w:vAlign w:val="center"/>
            <w:hideMark/>
          </w:tcPr>
          <w:p w14:paraId="37B99C2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66A7957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461F1E79"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32E0F308"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7AD84308"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2.9830</w:t>
            </w:r>
          </w:p>
        </w:tc>
      </w:tr>
      <w:tr w:rsidR="0046229B" w:rsidRPr="003F6924" w14:paraId="63FB0216" w14:textId="77777777" w:rsidTr="00794E60">
        <w:trPr>
          <w:trHeight w:val="340"/>
        </w:trPr>
        <w:tc>
          <w:tcPr>
            <w:tcW w:w="548" w:type="pct"/>
            <w:tcBorders>
              <w:top w:val="nil"/>
              <w:left w:val="nil"/>
              <w:bottom w:val="nil"/>
              <w:right w:val="nil"/>
            </w:tcBorders>
            <w:shd w:val="clear" w:color="auto" w:fill="auto"/>
            <w:noWrap/>
            <w:vAlign w:val="center"/>
            <w:hideMark/>
          </w:tcPr>
          <w:p w14:paraId="26AD134C"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7" w:type="pct"/>
            <w:tcBorders>
              <w:top w:val="nil"/>
              <w:left w:val="nil"/>
              <w:bottom w:val="nil"/>
              <w:right w:val="nil"/>
            </w:tcBorders>
            <w:vAlign w:val="center"/>
          </w:tcPr>
          <w:p w14:paraId="58CA18FC"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nil"/>
              <w:right w:val="nil"/>
            </w:tcBorders>
            <w:shd w:val="clear" w:color="auto" w:fill="auto"/>
            <w:noWrap/>
            <w:vAlign w:val="center"/>
            <w:hideMark/>
          </w:tcPr>
          <w:p w14:paraId="5C2D553C"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LDT_2</w:t>
            </w:r>
          </w:p>
        </w:tc>
        <w:tc>
          <w:tcPr>
            <w:tcW w:w="529" w:type="pct"/>
            <w:tcBorders>
              <w:top w:val="nil"/>
              <w:left w:val="nil"/>
              <w:bottom w:val="nil"/>
              <w:right w:val="nil"/>
            </w:tcBorders>
            <w:shd w:val="clear" w:color="auto" w:fill="auto"/>
            <w:noWrap/>
            <w:vAlign w:val="center"/>
            <w:hideMark/>
          </w:tcPr>
          <w:p w14:paraId="522BC8E5"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0.8302</w:t>
            </w:r>
          </w:p>
        </w:tc>
        <w:tc>
          <w:tcPr>
            <w:tcW w:w="589" w:type="pct"/>
            <w:tcBorders>
              <w:top w:val="nil"/>
              <w:left w:val="nil"/>
              <w:bottom w:val="nil"/>
              <w:right w:val="nil"/>
            </w:tcBorders>
            <w:shd w:val="clear" w:color="auto" w:fill="auto"/>
            <w:noWrap/>
            <w:vAlign w:val="center"/>
            <w:hideMark/>
          </w:tcPr>
          <w:p w14:paraId="74C6DAD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0BC59E22"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nil"/>
              <w:right w:val="nil"/>
            </w:tcBorders>
            <w:shd w:val="clear" w:color="auto" w:fill="auto"/>
            <w:noWrap/>
            <w:vAlign w:val="center"/>
            <w:hideMark/>
          </w:tcPr>
          <w:p w14:paraId="37502AEF"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nil"/>
              <w:right w:val="nil"/>
            </w:tcBorders>
            <w:shd w:val="clear" w:color="auto" w:fill="auto"/>
            <w:noWrap/>
            <w:vAlign w:val="center"/>
            <w:hideMark/>
          </w:tcPr>
          <w:p w14:paraId="198BEF97"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nil"/>
              <w:right w:val="nil"/>
            </w:tcBorders>
            <w:shd w:val="clear" w:color="auto" w:fill="auto"/>
            <w:noWrap/>
            <w:vAlign w:val="center"/>
            <w:hideMark/>
          </w:tcPr>
          <w:p w14:paraId="28732263"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3.2369</w:t>
            </w:r>
          </w:p>
        </w:tc>
      </w:tr>
      <w:tr w:rsidR="0046229B" w:rsidRPr="003F6924" w14:paraId="77900AB1" w14:textId="77777777" w:rsidTr="00794E60">
        <w:trPr>
          <w:trHeight w:val="340"/>
        </w:trPr>
        <w:tc>
          <w:tcPr>
            <w:tcW w:w="548" w:type="pct"/>
            <w:tcBorders>
              <w:top w:val="nil"/>
              <w:left w:val="nil"/>
              <w:bottom w:val="single" w:sz="4" w:space="0" w:color="auto"/>
              <w:right w:val="nil"/>
            </w:tcBorders>
            <w:shd w:val="clear" w:color="auto" w:fill="auto"/>
            <w:noWrap/>
            <w:vAlign w:val="center"/>
            <w:hideMark/>
          </w:tcPr>
          <w:p w14:paraId="2F8BE2D4"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587" w:type="pct"/>
            <w:tcBorders>
              <w:top w:val="nil"/>
              <w:left w:val="nil"/>
              <w:bottom w:val="single" w:sz="4" w:space="0" w:color="auto"/>
              <w:right w:val="nil"/>
            </w:tcBorders>
            <w:vAlign w:val="center"/>
          </w:tcPr>
          <w:p w14:paraId="2489BAE1" w14:textId="77777777" w:rsidR="00EF6E62" w:rsidRPr="003F6924" w:rsidRDefault="00EF6E62" w:rsidP="001577F3">
            <w:pPr>
              <w:spacing w:after="0" w:line="240" w:lineRule="auto"/>
              <w:jc w:val="center"/>
              <w:rPr>
                <w:rFonts w:ascii="Times New Roman" w:hAnsi="Times New Roman" w:cs="Times New Roman"/>
                <w:b/>
                <w:bCs/>
                <w:color w:val="000000" w:themeColor="text1"/>
                <w:sz w:val="20"/>
                <w:szCs w:val="20"/>
                <w:lang w:val="en-US"/>
              </w:rPr>
            </w:pPr>
          </w:p>
        </w:tc>
        <w:tc>
          <w:tcPr>
            <w:tcW w:w="492" w:type="pct"/>
            <w:tcBorders>
              <w:top w:val="nil"/>
              <w:left w:val="nil"/>
              <w:bottom w:val="single" w:sz="4" w:space="0" w:color="auto"/>
              <w:right w:val="nil"/>
            </w:tcBorders>
            <w:shd w:val="clear" w:color="auto" w:fill="auto"/>
            <w:noWrap/>
            <w:vAlign w:val="center"/>
            <w:hideMark/>
          </w:tcPr>
          <w:p w14:paraId="52D317BD" w14:textId="77777777" w:rsidR="00EF6E62" w:rsidRPr="003F6924" w:rsidRDefault="00B543E4" w:rsidP="001577F3">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LDT_3</w:t>
            </w:r>
          </w:p>
        </w:tc>
        <w:tc>
          <w:tcPr>
            <w:tcW w:w="529" w:type="pct"/>
            <w:tcBorders>
              <w:top w:val="nil"/>
              <w:left w:val="nil"/>
              <w:bottom w:val="single" w:sz="4" w:space="0" w:color="auto"/>
              <w:right w:val="nil"/>
            </w:tcBorders>
            <w:shd w:val="clear" w:color="auto" w:fill="auto"/>
            <w:noWrap/>
            <w:vAlign w:val="center"/>
            <w:hideMark/>
          </w:tcPr>
          <w:p w14:paraId="07428AE0"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0.8033</w:t>
            </w:r>
          </w:p>
        </w:tc>
        <w:tc>
          <w:tcPr>
            <w:tcW w:w="589" w:type="pct"/>
            <w:tcBorders>
              <w:top w:val="nil"/>
              <w:left w:val="nil"/>
              <w:bottom w:val="single" w:sz="4" w:space="0" w:color="auto"/>
              <w:right w:val="nil"/>
            </w:tcBorders>
            <w:shd w:val="clear" w:color="auto" w:fill="auto"/>
            <w:noWrap/>
            <w:vAlign w:val="center"/>
            <w:hideMark/>
          </w:tcPr>
          <w:p w14:paraId="1ED6655B"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single" w:sz="4" w:space="0" w:color="auto"/>
              <w:right w:val="nil"/>
            </w:tcBorders>
            <w:shd w:val="clear" w:color="auto" w:fill="auto"/>
            <w:noWrap/>
            <w:vAlign w:val="center"/>
            <w:hideMark/>
          </w:tcPr>
          <w:p w14:paraId="21FB0D75"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90" w:type="pct"/>
            <w:tcBorders>
              <w:top w:val="nil"/>
              <w:left w:val="nil"/>
              <w:bottom w:val="single" w:sz="4" w:space="0" w:color="auto"/>
              <w:right w:val="nil"/>
            </w:tcBorders>
            <w:shd w:val="clear" w:color="auto" w:fill="auto"/>
            <w:noWrap/>
            <w:vAlign w:val="center"/>
            <w:hideMark/>
          </w:tcPr>
          <w:p w14:paraId="373FFA3A"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589" w:type="pct"/>
            <w:tcBorders>
              <w:top w:val="nil"/>
              <w:left w:val="nil"/>
              <w:bottom w:val="single" w:sz="4" w:space="0" w:color="auto"/>
              <w:right w:val="nil"/>
            </w:tcBorders>
            <w:shd w:val="clear" w:color="auto" w:fill="auto"/>
            <w:noWrap/>
            <w:vAlign w:val="center"/>
            <w:hideMark/>
          </w:tcPr>
          <w:p w14:paraId="2C6F49CE" w14:textId="77777777" w:rsidR="00EF6E62" w:rsidRPr="003F6924" w:rsidRDefault="00EF6E62" w:rsidP="001577F3">
            <w:pPr>
              <w:spacing w:after="0" w:line="240" w:lineRule="auto"/>
              <w:jc w:val="center"/>
              <w:rPr>
                <w:rFonts w:ascii="Times New Roman" w:hAnsi="Times New Roman" w:cs="Times New Roman"/>
                <w:color w:val="000000" w:themeColor="text1"/>
                <w:sz w:val="20"/>
                <w:szCs w:val="20"/>
                <w:lang w:val="en-US"/>
              </w:rPr>
            </w:pPr>
          </w:p>
        </w:tc>
        <w:tc>
          <w:tcPr>
            <w:tcW w:w="488" w:type="pct"/>
            <w:tcBorders>
              <w:top w:val="nil"/>
              <w:left w:val="nil"/>
              <w:bottom w:val="single" w:sz="4" w:space="0" w:color="auto"/>
              <w:right w:val="nil"/>
            </w:tcBorders>
            <w:shd w:val="clear" w:color="auto" w:fill="auto"/>
            <w:noWrap/>
            <w:vAlign w:val="center"/>
            <w:hideMark/>
          </w:tcPr>
          <w:p w14:paraId="446F294B" w14:textId="77777777" w:rsidR="00EF6E62" w:rsidRPr="003F6924" w:rsidRDefault="00B543E4" w:rsidP="001577F3">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2.1333</w:t>
            </w:r>
          </w:p>
        </w:tc>
      </w:tr>
      <w:tr w:rsidR="0046229B" w:rsidRPr="003F6924" w14:paraId="050A60E8" w14:textId="77777777" w:rsidTr="004159AA">
        <w:trPr>
          <w:trHeight w:val="57"/>
        </w:trPr>
        <w:tc>
          <w:tcPr>
            <w:tcW w:w="5000" w:type="pct"/>
            <w:gridSpan w:val="9"/>
            <w:tcBorders>
              <w:top w:val="single" w:sz="4" w:space="0" w:color="auto"/>
              <w:left w:val="nil"/>
              <w:bottom w:val="single" w:sz="4" w:space="0" w:color="auto"/>
              <w:right w:val="nil"/>
            </w:tcBorders>
            <w:shd w:val="clear" w:color="auto" w:fill="auto"/>
            <w:noWrap/>
            <w:vAlign w:val="bottom"/>
          </w:tcPr>
          <w:p w14:paraId="6BF73071" w14:textId="77777777" w:rsidR="00EF6E62" w:rsidRPr="003F6924" w:rsidRDefault="00B543E4" w:rsidP="004159AA">
            <w:pPr>
              <w:snapToGrid w:val="0"/>
              <w:spacing w:after="0" w:line="300" w:lineRule="auto"/>
              <w:ind w:left="500" w:hangingChars="250" w:hanging="500"/>
              <w:jc w:val="both"/>
              <w:rPr>
                <w:rFonts w:ascii="Times New Roman" w:hAnsi="Times New Roman" w:cs="Times New Roman"/>
                <w:i/>
                <w:iCs/>
                <w:color w:val="000000" w:themeColor="text1"/>
                <w:sz w:val="20"/>
                <w:szCs w:val="20"/>
                <w:lang w:val="en-US"/>
              </w:rPr>
            </w:pPr>
            <w:r w:rsidRPr="003F6924">
              <w:rPr>
                <w:rFonts w:ascii="Times New Roman" w:hAnsi="Times New Roman" w:cs="Times New Roman"/>
                <w:i/>
                <w:iCs/>
                <w:color w:val="000000" w:themeColor="text1"/>
                <w:sz w:val="20"/>
                <w:szCs w:val="20"/>
                <w:lang w:val="en-US"/>
              </w:rPr>
              <w:t xml:space="preserve">Note: BTP – Bank technology platform, DTD – Digital transformation development, LC – leadership capability, DTS – Digital transformation strategy, ECC – Employee competency </w:t>
            </w:r>
            <w:r w:rsidR="0025775B" w:rsidRPr="003F6924">
              <w:rPr>
                <w:rFonts w:ascii="Times New Roman" w:hAnsi="Times New Roman" w:cs="Times New Roman"/>
                <w:i/>
                <w:iCs/>
                <w:color w:val="000000" w:themeColor="text1"/>
                <w:sz w:val="20"/>
                <w:szCs w:val="20"/>
                <w:lang w:val="en-US"/>
              </w:rPr>
              <w:t>and</w:t>
            </w:r>
            <w:r w:rsidRPr="003F6924">
              <w:rPr>
                <w:rFonts w:ascii="Times New Roman" w:hAnsi="Times New Roman" w:cs="Times New Roman"/>
                <w:i/>
                <w:iCs/>
                <w:color w:val="000000" w:themeColor="text1"/>
                <w:sz w:val="20"/>
                <w:szCs w:val="20"/>
                <w:lang w:val="en-US"/>
              </w:rPr>
              <w:t xml:space="preserve"> comprehension, BRM – Bank risk management, BCC – Bank corporate culture, DTP – Digital transformation pressure, BFC – Bank financial capability, GDS – Government support for digital transformation, DTC – Digital transformation capability, LDT – Level of digital transformation</w:t>
            </w:r>
          </w:p>
        </w:tc>
      </w:tr>
    </w:tbl>
    <w:p w14:paraId="7A344F83" w14:textId="42C98A1D" w:rsidR="00C855B0" w:rsidRPr="003F6924" w:rsidRDefault="00794E60" w:rsidP="00EF6E62">
      <w:pPr>
        <w:spacing w:after="120" w:line="360" w:lineRule="exact"/>
        <w:jc w:val="both"/>
        <w:rPr>
          <w:rFonts w:ascii="Times New Roman" w:hAnsi="Times New Roman" w:cs="Times New Roman"/>
          <w:color w:val="000000" w:themeColor="text1"/>
          <w:sz w:val="24"/>
          <w:szCs w:val="24"/>
          <w:lang w:val="en-US"/>
        </w:rPr>
      </w:pPr>
      <w:r w:rsidRPr="003F6924">
        <w:rPr>
          <w:rFonts w:ascii="Times New Roman" w:hAnsi="Times New Roman" w:cs="Times New Roman"/>
          <w:i/>
          <w:iCs/>
          <w:color w:val="000000" w:themeColor="text1"/>
          <w:sz w:val="24"/>
          <w:szCs w:val="24"/>
          <w:lang w:val="en-US"/>
        </w:rPr>
        <w:t>Source</w:t>
      </w:r>
      <w:r w:rsidRPr="003F6924">
        <w:rPr>
          <w:rFonts w:ascii="Times New Roman" w:hAnsi="Times New Roman" w:cs="Times New Roman"/>
          <w:i/>
          <w:iCs/>
          <w:color w:val="000000" w:themeColor="text1"/>
          <w:sz w:val="24"/>
          <w:szCs w:val="24"/>
          <w:lang w:val="en-US" w:eastAsia="zh-TW"/>
        </w:rPr>
        <w:t>.</w:t>
      </w:r>
      <w:r w:rsidRPr="003F6924">
        <w:rPr>
          <w:rFonts w:ascii="Times New Roman" w:hAnsi="Times New Roman" w:cs="Times New Roman"/>
          <w:color w:val="000000" w:themeColor="text1"/>
          <w:sz w:val="24"/>
          <w:szCs w:val="24"/>
          <w:lang w:val="en-US"/>
        </w:rPr>
        <w:t xml:space="preserve"> Author's contribution</w:t>
      </w:r>
    </w:p>
    <w:p w14:paraId="293AFB41" w14:textId="77777777" w:rsidR="00794E60" w:rsidRPr="003F6924" w:rsidRDefault="00794E60" w:rsidP="000A240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43DB4D60" w14:textId="028620E3" w:rsidR="00EF6E62" w:rsidRDefault="00B543E4" w:rsidP="000A240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Discriminant validity was assessed using the Fornell–Larcker criterion and the </w:t>
      </w:r>
      <w:proofErr w:type="spellStart"/>
      <w:r w:rsidR="003D5415">
        <w:rPr>
          <w:rFonts w:ascii="Times New Roman" w:hAnsi="Times New Roman" w:cs="Times New Roman"/>
          <w:color w:val="000000" w:themeColor="text1"/>
          <w:sz w:val="26"/>
          <w:szCs w:val="26"/>
          <w:lang w:val="en-US"/>
        </w:rPr>
        <w:t>Heterotrait</w:t>
      </w:r>
      <w:proofErr w:type="spellEnd"/>
      <w:r w:rsidR="003D5415">
        <w:rPr>
          <w:rFonts w:ascii="Times New Roman" w:hAnsi="Times New Roman" w:cs="Times New Roman"/>
          <w:color w:val="000000" w:themeColor="text1"/>
          <w:sz w:val="26"/>
          <w:szCs w:val="26"/>
          <w:lang w:val="en-US"/>
        </w:rPr>
        <w:t>–</w:t>
      </w:r>
      <w:proofErr w:type="spellStart"/>
      <w:r w:rsidR="003D5415">
        <w:rPr>
          <w:rFonts w:ascii="Times New Roman" w:hAnsi="Times New Roman" w:cs="Times New Roman"/>
          <w:color w:val="000000" w:themeColor="text1"/>
          <w:sz w:val="26"/>
          <w:szCs w:val="26"/>
          <w:lang w:val="en-US"/>
        </w:rPr>
        <w:t>Monotrait</w:t>
      </w:r>
      <w:proofErr w:type="spellEnd"/>
      <w:r w:rsidRPr="003F6924">
        <w:rPr>
          <w:rFonts w:ascii="Times New Roman" w:hAnsi="Times New Roman" w:cs="Times New Roman"/>
          <w:color w:val="000000" w:themeColor="text1"/>
          <w:sz w:val="26"/>
          <w:szCs w:val="26"/>
          <w:lang w:val="en-US"/>
        </w:rPr>
        <w:t xml:space="preserve"> ratio of correlation (HTMT)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{"citationID":"a29j2lts5an","properties":{"formattedCitation":"(Fornell &amp; Larcker, 1981; Henseler, Ringle, et al., 2015)","plainCitation":"(Fornell &amp; Larcker, 1981; Henseler, Ringle, et al., 2015)","noteIndex":0},"citationItems":[{"id":1051,"uris":["http://zotero.org/users/9020985/items/M4AZKJAU"],"itemData":{"id":1051,"type":"article-journal","abstract":"The statistical tests used in the analysis of structural equation models with unobservable variables and measurement error are examined. A drawback of the commonly applied chi square test, in addition to the known problems related to sample size and power, is that it may indicate an increasing correspondence between the hypothesized model and the observed data as both the measurement properties and the relationship between constructs decline. Further, and contrary to common assertion, the risk of making a Type II error can be substantial even when the sample size is large. Moreover, the present testing methods are unable to assess a model's explanatory power. To overcome these problems, the authors develop and apply a testing system based on measures of shared variance within the structural model, measurement model, and overall model.","container-title":"Journal of Marketing Research","DOI":"10.2307/3151312","ISSN":"0022-2437","issue":"1","note":"publisher: American Marketing Association","page":"39-50","source":"JSTOR","title":"Evaluating Structural Equation Models with Unobservable Variables and Measurement Error","volume":"18","author":[{"family":"Fornell","given":"Claes"},{"family":"Larcker","given":"David F."}],"issued":{"date-parts":[["1981"]]}}},{"id":1049,"uris":["http://zotero.org/users/9020985/items/ZAGRTSEL"],"itemData":{"id":1049,"type":"article-journal","abstract":"Discriminant validity assessment has become a generally accepted prerequisite for analyzing relationships between latent variables. For variance-based structural equation modeling, such as partial least squares, the Fornell-Larcker criterion and the examination of cross-loadings are the dominant approaches for evaluating discriminant validity. By means of a simulation study, we show that these approaches do not reliably detect the lack of discriminant validity in common research situations. We therefore propose an alternative approach, based on the multitrait-multimethod matrix, to assess discriminant validity: the heterotrait-monotrait ratio of correlations. We demonstrate its superior performance by means of a Monte Carlo simulation study, in which we compare the new approach to the Fornell-Larcker criterion and the assessment of (partial) cross-loadings. Finally, we provide guidelines on how to handle discriminant validity issues in variance-based structural equation modeling.","container-title":"Journal of the Academy of Marketing Science","DOI":"10.1007/s11747-014-0403-8","ISSN":"1552-7824","issue":"1","journalAbbreviation":"J. of the Acad. Mark. Sci.","language":"en","page":"115-135","source":"Springer Link","title":"A new criterion for assessing discriminant validity in variance-based structural equation modeling","volume":"43","author":[{"family":"Henseler","given":"Jörg"},{"family":"Ringle","given":"Christian M."},{"family":"Sarstedt","given":"Marko"}],"issued":{"date-parts":[["2015",1,1]]}}}],"schema":"https://github.com/citation-style-language/schema/raw/master/csl-citation.json"}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color w:val="000000" w:themeColor="text1"/>
          <w:sz w:val="26"/>
          <w:szCs w:val="26"/>
          <w:lang w:val="en-US"/>
        </w:rPr>
        <w:t xml:space="preserve">(Fornell </w:t>
      </w:r>
      <w:r w:rsidR="00F377A7" w:rsidRPr="003F6924">
        <w:rPr>
          <w:rFonts w:ascii="Times New Roman" w:hAnsi="Times New Roman" w:cs="Times New Roman"/>
          <w:color w:val="000000" w:themeColor="text1"/>
          <w:sz w:val="26"/>
          <w:szCs w:val="26"/>
          <w:lang w:val="vi-VN"/>
        </w:rPr>
        <w:t>&amp;</w:t>
      </w:r>
      <w:r w:rsidRPr="003F6924">
        <w:rPr>
          <w:rFonts w:ascii="Times New Roman" w:hAnsi="Times New Roman" w:cs="Times New Roman"/>
          <w:color w:val="000000" w:themeColor="text1"/>
          <w:sz w:val="26"/>
          <w:szCs w:val="26"/>
          <w:lang w:val="en-US"/>
        </w:rPr>
        <w:t xml:space="preserve"> Larcker, 1981; Henseler</w:t>
      </w:r>
      <w:r w:rsidR="00777DD9"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et al., 2015)</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According to the </w:t>
      </w:r>
      <w:proofErr w:type="spellStart"/>
      <w:r w:rsidRPr="003F6924">
        <w:rPr>
          <w:rFonts w:ascii="Times New Roman" w:hAnsi="Times New Roman" w:cs="Times New Roman"/>
          <w:color w:val="000000" w:themeColor="text1"/>
          <w:sz w:val="26"/>
          <w:szCs w:val="26"/>
          <w:lang w:val="en-US"/>
        </w:rPr>
        <w:t>Fornell-Larcker</w:t>
      </w:r>
      <w:proofErr w:type="spellEnd"/>
      <w:r w:rsidRPr="003F6924">
        <w:rPr>
          <w:rFonts w:ascii="Times New Roman" w:hAnsi="Times New Roman" w:cs="Times New Roman"/>
          <w:color w:val="000000" w:themeColor="text1"/>
          <w:sz w:val="26"/>
          <w:szCs w:val="26"/>
          <w:lang w:val="en-US"/>
        </w:rPr>
        <w:t xml:space="preserve"> criterion, the AVE for a construct should be greater than its squared correlation with all other constructs to achieve discriminant validity. </w:t>
      </w:r>
    </w:p>
    <w:p w14:paraId="57A3D329" w14:textId="77777777" w:rsidR="00673588" w:rsidRPr="003F6924" w:rsidRDefault="00673588" w:rsidP="000A240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4F342E38" w14:textId="14CFC8D8" w:rsidR="00EF6E62" w:rsidRPr="003F6924" w:rsidRDefault="00B543E4" w:rsidP="00C855B0">
      <w:pPr>
        <w:pStyle w:val="af8"/>
        <w:snapToGrid w:val="0"/>
        <w:spacing w:after="0" w:line="300" w:lineRule="auto"/>
        <w:jc w:val="both"/>
        <w:rPr>
          <w:color w:val="000000" w:themeColor="text1"/>
          <w:sz w:val="26"/>
          <w:szCs w:val="26"/>
          <w:lang w:val="en-US"/>
        </w:rPr>
      </w:pPr>
      <w:r w:rsidRPr="00C96078">
        <w:rPr>
          <w:b/>
          <w:bCs/>
          <w:i w:val="0"/>
          <w:iCs w:val="0"/>
          <w:color w:val="000000" w:themeColor="text1"/>
          <w:sz w:val="26"/>
          <w:szCs w:val="26"/>
          <w:lang w:val="en-US"/>
        </w:rPr>
        <w:t xml:space="preserve">Table </w:t>
      </w:r>
      <w:r w:rsidRPr="00C96078">
        <w:rPr>
          <w:b/>
          <w:bCs/>
          <w:i w:val="0"/>
          <w:iCs w:val="0"/>
          <w:color w:val="000000" w:themeColor="text1"/>
          <w:sz w:val="26"/>
          <w:szCs w:val="26"/>
          <w:lang w:val="en-US"/>
        </w:rPr>
        <w:fldChar w:fldCharType="begin"/>
      </w:r>
      <w:r w:rsidRPr="00C96078">
        <w:rPr>
          <w:b/>
          <w:bCs/>
          <w:i w:val="0"/>
          <w:iCs w:val="0"/>
          <w:color w:val="000000" w:themeColor="text1"/>
          <w:sz w:val="26"/>
          <w:szCs w:val="26"/>
          <w:lang w:val="en-US"/>
        </w:rPr>
        <w:instrText xml:space="preserve"> SEQ Table \* ARABIC </w:instrText>
      </w:r>
      <w:r w:rsidRPr="00C96078">
        <w:rPr>
          <w:b/>
          <w:bCs/>
          <w:i w:val="0"/>
          <w:iCs w:val="0"/>
          <w:color w:val="000000" w:themeColor="text1"/>
          <w:sz w:val="26"/>
          <w:szCs w:val="26"/>
          <w:lang w:val="en-US"/>
        </w:rPr>
        <w:fldChar w:fldCharType="separate"/>
      </w:r>
      <w:r w:rsidR="0058062D">
        <w:rPr>
          <w:b/>
          <w:bCs/>
          <w:i w:val="0"/>
          <w:iCs w:val="0"/>
          <w:noProof/>
          <w:color w:val="000000" w:themeColor="text1"/>
          <w:sz w:val="26"/>
          <w:szCs w:val="26"/>
          <w:lang w:val="en-US"/>
        </w:rPr>
        <w:t>6</w:t>
      </w:r>
      <w:r w:rsidRPr="00C96078">
        <w:rPr>
          <w:b/>
          <w:bCs/>
          <w:i w:val="0"/>
          <w:iCs w:val="0"/>
          <w:noProof/>
          <w:color w:val="000000" w:themeColor="text1"/>
          <w:sz w:val="26"/>
          <w:szCs w:val="26"/>
          <w:lang w:val="en-US"/>
        </w:rPr>
        <w:fldChar w:fldCharType="end"/>
      </w:r>
      <w:r w:rsidRPr="003F6924">
        <w:rPr>
          <w:color w:val="000000" w:themeColor="text1"/>
          <w:sz w:val="26"/>
          <w:szCs w:val="26"/>
          <w:lang w:val="en-US"/>
        </w:rPr>
        <w:t xml:space="preserve"> Discriminant Validity: </w:t>
      </w:r>
      <w:proofErr w:type="spellStart"/>
      <w:r w:rsidRPr="003F6924">
        <w:rPr>
          <w:color w:val="000000" w:themeColor="text1"/>
          <w:sz w:val="26"/>
          <w:szCs w:val="26"/>
          <w:lang w:val="en-US"/>
        </w:rPr>
        <w:t>Fornell-Larcker</w:t>
      </w:r>
      <w:proofErr w:type="spellEnd"/>
      <w:r w:rsidRPr="003F6924">
        <w:rPr>
          <w:color w:val="000000" w:themeColor="text1"/>
          <w:sz w:val="26"/>
          <w:szCs w:val="26"/>
          <w:lang w:val="en-US"/>
        </w:rPr>
        <w:t xml:space="preserve"> Criterion</w:t>
      </w:r>
    </w:p>
    <w:tbl>
      <w:tblPr>
        <w:tblW w:w="0" w:type="auto"/>
        <w:tblBorders>
          <w:top w:val="single" w:sz="4" w:space="0" w:color="auto"/>
          <w:bottom w:val="single" w:sz="4" w:space="0" w:color="auto"/>
        </w:tblBorders>
        <w:tblLook w:val="04A0" w:firstRow="1" w:lastRow="0" w:firstColumn="1" w:lastColumn="0" w:noHBand="0" w:noVBand="1"/>
      </w:tblPr>
      <w:tblGrid>
        <w:gridCol w:w="1072"/>
        <w:gridCol w:w="666"/>
        <w:gridCol w:w="666"/>
        <w:gridCol w:w="666"/>
        <w:gridCol w:w="666"/>
        <w:gridCol w:w="666"/>
        <w:gridCol w:w="666"/>
        <w:gridCol w:w="666"/>
        <w:gridCol w:w="666"/>
        <w:gridCol w:w="666"/>
        <w:gridCol w:w="683"/>
        <w:gridCol w:w="666"/>
        <w:gridCol w:w="666"/>
      </w:tblGrid>
      <w:tr w:rsidR="0046229B" w:rsidRPr="003F6924" w14:paraId="1AB31D51" w14:textId="77777777" w:rsidTr="005F3932">
        <w:trPr>
          <w:trHeight w:val="340"/>
        </w:trPr>
        <w:tc>
          <w:tcPr>
            <w:tcW w:w="0" w:type="auto"/>
            <w:tcBorders>
              <w:top w:val="single" w:sz="4" w:space="0" w:color="auto"/>
              <w:bottom w:val="single" w:sz="4" w:space="0" w:color="auto"/>
            </w:tcBorders>
            <w:shd w:val="clear" w:color="auto" w:fill="auto"/>
            <w:noWrap/>
            <w:vAlign w:val="center"/>
            <w:hideMark/>
          </w:tcPr>
          <w:p w14:paraId="1FDE0C16"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Construct</w:t>
            </w:r>
          </w:p>
        </w:tc>
        <w:tc>
          <w:tcPr>
            <w:tcW w:w="0" w:type="auto"/>
            <w:tcBorders>
              <w:top w:val="single" w:sz="4" w:space="0" w:color="auto"/>
              <w:bottom w:val="single" w:sz="4" w:space="0" w:color="auto"/>
            </w:tcBorders>
            <w:shd w:val="clear" w:color="auto" w:fill="auto"/>
            <w:noWrap/>
            <w:vAlign w:val="center"/>
            <w:hideMark/>
          </w:tcPr>
          <w:p w14:paraId="2482777E"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DTD</w:t>
            </w:r>
          </w:p>
        </w:tc>
        <w:tc>
          <w:tcPr>
            <w:tcW w:w="0" w:type="auto"/>
            <w:tcBorders>
              <w:top w:val="single" w:sz="4" w:space="0" w:color="auto"/>
              <w:bottom w:val="single" w:sz="4" w:space="0" w:color="auto"/>
            </w:tcBorders>
            <w:shd w:val="clear" w:color="auto" w:fill="auto"/>
            <w:noWrap/>
            <w:vAlign w:val="center"/>
            <w:hideMark/>
          </w:tcPr>
          <w:p w14:paraId="3C2EEBE6"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LC</w:t>
            </w:r>
          </w:p>
        </w:tc>
        <w:tc>
          <w:tcPr>
            <w:tcW w:w="0" w:type="auto"/>
            <w:tcBorders>
              <w:top w:val="single" w:sz="4" w:space="0" w:color="auto"/>
              <w:bottom w:val="single" w:sz="4" w:space="0" w:color="auto"/>
            </w:tcBorders>
            <w:shd w:val="clear" w:color="auto" w:fill="auto"/>
            <w:noWrap/>
            <w:vAlign w:val="center"/>
            <w:hideMark/>
          </w:tcPr>
          <w:p w14:paraId="6F1CA933"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DTS</w:t>
            </w:r>
          </w:p>
        </w:tc>
        <w:tc>
          <w:tcPr>
            <w:tcW w:w="0" w:type="auto"/>
            <w:tcBorders>
              <w:top w:val="single" w:sz="4" w:space="0" w:color="auto"/>
              <w:bottom w:val="single" w:sz="4" w:space="0" w:color="auto"/>
            </w:tcBorders>
            <w:shd w:val="clear" w:color="auto" w:fill="auto"/>
            <w:noWrap/>
            <w:vAlign w:val="center"/>
            <w:hideMark/>
          </w:tcPr>
          <w:p w14:paraId="3993F0C7"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ECC</w:t>
            </w:r>
          </w:p>
        </w:tc>
        <w:tc>
          <w:tcPr>
            <w:tcW w:w="0" w:type="auto"/>
            <w:tcBorders>
              <w:top w:val="single" w:sz="4" w:space="0" w:color="auto"/>
              <w:bottom w:val="single" w:sz="4" w:space="0" w:color="auto"/>
            </w:tcBorders>
            <w:shd w:val="clear" w:color="auto" w:fill="auto"/>
            <w:noWrap/>
            <w:vAlign w:val="center"/>
            <w:hideMark/>
          </w:tcPr>
          <w:p w14:paraId="7B88E7D1"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BCC</w:t>
            </w:r>
          </w:p>
        </w:tc>
        <w:tc>
          <w:tcPr>
            <w:tcW w:w="0" w:type="auto"/>
            <w:tcBorders>
              <w:top w:val="single" w:sz="4" w:space="0" w:color="auto"/>
              <w:bottom w:val="single" w:sz="4" w:space="0" w:color="auto"/>
            </w:tcBorders>
            <w:shd w:val="clear" w:color="auto" w:fill="auto"/>
            <w:noWrap/>
            <w:vAlign w:val="center"/>
            <w:hideMark/>
          </w:tcPr>
          <w:p w14:paraId="4E3241D9"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DTP</w:t>
            </w:r>
          </w:p>
        </w:tc>
        <w:tc>
          <w:tcPr>
            <w:tcW w:w="0" w:type="auto"/>
            <w:tcBorders>
              <w:top w:val="single" w:sz="4" w:space="0" w:color="auto"/>
              <w:bottom w:val="single" w:sz="4" w:space="0" w:color="auto"/>
            </w:tcBorders>
            <w:shd w:val="clear" w:color="auto" w:fill="auto"/>
            <w:noWrap/>
            <w:vAlign w:val="center"/>
            <w:hideMark/>
          </w:tcPr>
          <w:p w14:paraId="791504A9"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BFC</w:t>
            </w:r>
          </w:p>
        </w:tc>
        <w:tc>
          <w:tcPr>
            <w:tcW w:w="0" w:type="auto"/>
            <w:tcBorders>
              <w:top w:val="single" w:sz="4" w:space="0" w:color="auto"/>
              <w:bottom w:val="single" w:sz="4" w:space="0" w:color="auto"/>
            </w:tcBorders>
            <w:shd w:val="clear" w:color="auto" w:fill="auto"/>
            <w:noWrap/>
            <w:vAlign w:val="center"/>
            <w:hideMark/>
          </w:tcPr>
          <w:p w14:paraId="3660B7A3"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GDS</w:t>
            </w:r>
          </w:p>
        </w:tc>
        <w:tc>
          <w:tcPr>
            <w:tcW w:w="0" w:type="auto"/>
            <w:tcBorders>
              <w:top w:val="single" w:sz="4" w:space="0" w:color="auto"/>
              <w:bottom w:val="single" w:sz="4" w:space="0" w:color="auto"/>
            </w:tcBorders>
            <w:shd w:val="clear" w:color="auto" w:fill="auto"/>
            <w:noWrap/>
            <w:vAlign w:val="center"/>
            <w:hideMark/>
          </w:tcPr>
          <w:p w14:paraId="3771C5F3"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DTC</w:t>
            </w:r>
          </w:p>
        </w:tc>
        <w:tc>
          <w:tcPr>
            <w:tcW w:w="0" w:type="auto"/>
            <w:tcBorders>
              <w:top w:val="single" w:sz="4" w:space="0" w:color="auto"/>
              <w:bottom w:val="single" w:sz="4" w:space="0" w:color="auto"/>
            </w:tcBorders>
            <w:shd w:val="clear" w:color="auto" w:fill="auto"/>
            <w:noWrap/>
            <w:vAlign w:val="center"/>
            <w:hideMark/>
          </w:tcPr>
          <w:p w14:paraId="22C3DE09"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BRM</w:t>
            </w:r>
          </w:p>
        </w:tc>
        <w:tc>
          <w:tcPr>
            <w:tcW w:w="0" w:type="auto"/>
            <w:tcBorders>
              <w:top w:val="single" w:sz="4" w:space="0" w:color="auto"/>
              <w:bottom w:val="single" w:sz="4" w:space="0" w:color="auto"/>
            </w:tcBorders>
            <w:shd w:val="clear" w:color="auto" w:fill="auto"/>
            <w:noWrap/>
            <w:vAlign w:val="center"/>
            <w:hideMark/>
          </w:tcPr>
          <w:p w14:paraId="4F29C22E"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BTP</w:t>
            </w:r>
          </w:p>
        </w:tc>
        <w:tc>
          <w:tcPr>
            <w:tcW w:w="0" w:type="auto"/>
            <w:tcBorders>
              <w:top w:val="single" w:sz="4" w:space="0" w:color="auto"/>
              <w:bottom w:val="single" w:sz="4" w:space="0" w:color="auto"/>
            </w:tcBorders>
            <w:shd w:val="clear" w:color="auto" w:fill="auto"/>
            <w:noWrap/>
            <w:vAlign w:val="center"/>
            <w:hideMark/>
          </w:tcPr>
          <w:p w14:paraId="100B406C"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LDT</w:t>
            </w:r>
          </w:p>
        </w:tc>
      </w:tr>
      <w:tr w:rsidR="0046229B" w:rsidRPr="003F6924" w14:paraId="6117662D" w14:textId="77777777" w:rsidTr="005F3932">
        <w:trPr>
          <w:trHeight w:val="340"/>
        </w:trPr>
        <w:tc>
          <w:tcPr>
            <w:tcW w:w="0" w:type="auto"/>
            <w:tcBorders>
              <w:top w:val="single" w:sz="4" w:space="0" w:color="auto"/>
            </w:tcBorders>
            <w:shd w:val="clear" w:color="auto" w:fill="auto"/>
            <w:noWrap/>
            <w:vAlign w:val="center"/>
            <w:hideMark/>
          </w:tcPr>
          <w:p w14:paraId="64787B19"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DTD</w:t>
            </w:r>
          </w:p>
        </w:tc>
        <w:tc>
          <w:tcPr>
            <w:tcW w:w="0" w:type="auto"/>
            <w:tcBorders>
              <w:top w:val="single" w:sz="4" w:space="0" w:color="auto"/>
            </w:tcBorders>
            <w:shd w:val="clear" w:color="auto" w:fill="E7E6E6" w:themeFill="background2"/>
            <w:noWrap/>
            <w:vAlign w:val="center"/>
            <w:hideMark/>
          </w:tcPr>
          <w:p w14:paraId="7D1763A4"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0.650</w:t>
            </w:r>
          </w:p>
        </w:tc>
        <w:tc>
          <w:tcPr>
            <w:tcW w:w="0" w:type="auto"/>
            <w:tcBorders>
              <w:top w:val="single" w:sz="4" w:space="0" w:color="auto"/>
            </w:tcBorders>
            <w:shd w:val="clear" w:color="auto" w:fill="auto"/>
            <w:noWrap/>
            <w:vAlign w:val="center"/>
            <w:hideMark/>
          </w:tcPr>
          <w:p w14:paraId="05568A8F"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640E4CB7"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13A1EE3C"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463D40E6"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36EF8DDF"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1F228772"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0AB2D551"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09AE410C"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7D021ACF"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54CB72E8"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1C0403ED"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2B79B8DB" w14:textId="77777777" w:rsidTr="005F3932">
        <w:trPr>
          <w:trHeight w:val="340"/>
        </w:trPr>
        <w:tc>
          <w:tcPr>
            <w:tcW w:w="0" w:type="auto"/>
            <w:shd w:val="clear" w:color="auto" w:fill="auto"/>
            <w:noWrap/>
            <w:vAlign w:val="center"/>
            <w:hideMark/>
          </w:tcPr>
          <w:p w14:paraId="59B7A656"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LC</w:t>
            </w:r>
          </w:p>
        </w:tc>
        <w:tc>
          <w:tcPr>
            <w:tcW w:w="0" w:type="auto"/>
            <w:shd w:val="clear" w:color="auto" w:fill="auto"/>
            <w:noWrap/>
            <w:vAlign w:val="center"/>
            <w:hideMark/>
          </w:tcPr>
          <w:p w14:paraId="757510D9"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0.484</w:t>
            </w:r>
          </w:p>
        </w:tc>
        <w:tc>
          <w:tcPr>
            <w:tcW w:w="0" w:type="auto"/>
            <w:shd w:val="clear" w:color="auto" w:fill="E7E6E6" w:themeFill="background2"/>
            <w:noWrap/>
            <w:vAlign w:val="center"/>
            <w:hideMark/>
          </w:tcPr>
          <w:p w14:paraId="27144C58"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0.617</w:t>
            </w:r>
          </w:p>
        </w:tc>
        <w:tc>
          <w:tcPr>
            <w:tcW w:w="0" w:type="auto"/>
            <w:shd w:val="clear" w:color="auto" w:fill="auto"/>
            <w:noWrap/>
            <w:vAlign w:val="center"/>
            <w:hideMark/>
          </w:tcPr>
          <w:p w14:paraId="50C19B04"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2E64DA7F"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6E1EFF25"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362F1372"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4709D08F"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5E92D71D"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42535338"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11AC6376"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1D7070B9"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7DA12E4A"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5A9A67E1" w14:textId="77777777" w:rsidTr="005F3932">
        <w:trPr>
          <w:trHeight w:val="340"/>
        </w:trPr>
        <w:tc>
          <w:tcPr>
            <w:tcW w:w="0" w:type="auto"/>
            <w:shd w:val="clear" w:color="auto" w:fill="auto"/>
            <w:noWrap/>
            <w:vAlign w:val="center"/>
            <w:hideMark/>
          </w:tcPr>
          <w:p w14:paraId="77B579A7"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DTS</w:t>
            </w:r>
          </w:p>
        </w:tc>
        <w:tc>
          <w:tcPr>
            <w:tcW w:w="0" w:type="auto"/>
            <w:shd w:val="clear" w:color="auto" w:fill="auto"/>
            <w:noWrap/>
            <w:vAlign w:val="center"/>
            <w:hideMark/>
          </w:tcPr>
          <w:p w14:paraId="0809028B"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0.056</w:t>
            </w:r>
          </w:p>
        </w:tc>
        <w:tc>
          <w:tcPr>
            <w:tcW w:w="0" w:type="auto"/>
            <w:shd w:val="clear" w:color="auto" w:fill="auto"/>
            <w:noWrap/>
            <w:vAlign w:val="center"/>
            <w:hideMark/>
          </w:tcPr>
          <w:p w14:paraId="5CB3402C"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0.096</w:t>
            </w:r>
          </w:p>
        </w:tc>
        <w:tc>
          <w:tcPr>
            <w:tcW w:w="0" w:type="auto"/>
            <w:shd w:val="clear" w:color="auto" w:fill="E7E6E6" w:themeFill="background2"/>
            <w:noWrap/>
            <w:vAlign w:val="center"/>
            <w:hideMark/>
          </w:tcPr>
          <w:p w14:paraId="63B1C23B"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0.672</w:t>
            </w:r>
          </w:p>
        </w:tc>
        <w:tc>
          <w:tcPr>
            <w:tcW w:w="0" w:type="auto"/>
            <w:shd w:val="clear" w:color="auto" w:fill="auto"/>
            <w:noWrap/>
            <w:vAlign w:val="center"/>
            <w:hideMark/>
          </w:tcPr>
          <w:p w14:paraId="35754101"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6E4B8898"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62C42920"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1A6A9ED9"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075CA5BB"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084EA192"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4B991F14"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4C4A0F37"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50369FB9"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4366905F" w14:textId="77777777" w:rsidTr="005F3932">
        <w:trPr>
          <w:trHeight w:val="340"/>
        </w:trPr>
        <w:tc>
          <w:tcPr>
            <w:tcW w:w="0" w:type="auto"/>
            <w:shd w:val="clear" w:color="auto" w:fill="auto"/>
            <w:noWrap/>
            <w:vAlign w:val="center"/>
            <w:hideMark/>
          </w:tcPr>
          <w:p w14:paraId="708FFD40"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ECC</w:t>
            </w:r>
          </w:p>
        </w:tc>
        <w:tc>
          <w:tcPr>
            <w:tcW w:w="0" w:type="auto"/>
            <w:shd w:val="clear" w:color="auto" w:fill="auto"/>
            <w:noWrap/>
            <w:vAlign w:val="center"/>
            <w:hideMark/>
          </w:tcPr>
          <w:p w14:paraId="5EF36A46"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0.500</w:t>
            </w:r>
          </w:p>
        </w:tc>
        <w:tc>
          <w:tcPr>
            <w:tcW w:w="0" w:type="auto"/>
            <w:shd w:val="clear" w:color="auto" w:fill="auto"/>
            <w:noWrap/>
            <w:vAlign w:val="center"/>
            <w:hideMark/>
          </w:tcPr>
          <w:p w14:paraId="3B40DA2B"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0.489</w:t>
            </w:r>
          </w:p>
        </w:tc>
        <w:tc>
          <w:tcPr>
            <w:tcW w:w="0" w:type="auto"/>
            <w:shd w:val="clear" w:color="auto" w:fill="auto"/>
            <w:noWrap/>
            <w:vAlign w:val="center"/>
            <w:hideMark/>
          </w:tcPr>
          <w:p w14:paraId="41FE7C30"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0.103</w:t>
            </w:r>
          </w:p>
        </w:tc>
        <w:tc>
          <w:tcPr>
            <w:tcW w:w="0" w:type="auto"/>
            <w:shd w:val="clear" w:color="auto" w:fill="E7E6E6" w:themeFill="background2"/>
            <w:noWrap/>
            <w:vAlign w:val="center"/>
            <w:hideMark/>
          </w:tcPr>
          <w:p w14:paraId="5AEF0BBC"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0.719</w:t>
            </w:r>
          </w:p>
        </w:tc>
        <w:tc>
          <w:tcPr>
            <w:tcW w:w="0" w:type="auto"/>
            <w:shd w:val="clear" w:color="auto" w:fill="auto"/>
            <w:noWrap/>
            <w:vAlign w:val="center"/>
            <w:hideMark/>
          </w:tcPr>
          <w:p w14:paraId="1FA22462"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2A5A8B76"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6EA4E8C2"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478251D6"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6D8A6637"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71804643"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611462F6"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6625637D"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246A17A8" w14:textId="77777777" w:rsidTr="005F3932">
        <w:trPr>
          <w:trHeight w:val="340"/>
        </w:trPr>
        <w:tc>
          <w:tcPr>
            <w:tcW w:w="0" w:type="auto"/>
            <w:shd w:val="clear" w:color="auto" w:fill="auto"/>
            <w:noWrap/>
            <w:vAlign w:val="center"/>
            <w:hideMark/>
          </w:tcPr>
          <w:p w14:paraId="50BD5DCF"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BCC</w:t>
            </w:r>
          </w:p>
        </w:tc>
        <w:tc>
          <w:tcPr>
            <w:tcW w:w="0" w:type="auto"/>
            <w:shd w:val="clear" w:color="auto" w:fill="auto"/>
            <w:noWrap/>
            <w:vAlign w:val="center"/>
            <w:hideMark/>
          </w:tcPr>
          <w:p w14:paraId="0BC4AB1D"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0.583</w:t>
            </w:r>
          </w:p>
        </w:tc>
        <w:tc>
          <w:tcPr>
            <w:tcW w:w="0" w:type="auto"/>
            <w:shd w:val="clear" w:color="auto" w:fill="auto"/>
            <w:noWrap/>
            <w:vAlign w:val="center"/>
            <w:hideMark/>
          </w:tcPr>
          <w:p w14:paraId="12E53401"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0.603</w:t>
            </w:r>
          </w:p>
        </w:tc>
        <w:tc>
          <w:tcPr>
            <w:tcW w:w="0" w:type="auto"/>
            <w:shd w:val="clear" w:color="auto" w:fill="auto"/>
            <w:noWrap/>
            <w:vAlign w:val="center"/>
            <w:hideMark/>
          </w:tcPr>
          <w:p w14:paraId="7E08D43D"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0.100</w:t>
            </w:r>
          </w:p>
        </w:tc>
        <w:tc>
          <w:tcPr>
            <w:tcW w:w="0" w:type="auto"/>
            <w:shd w:val="clear" w:color="auto" w:fill="auto"/>
            <w:noWrap/>
            <w:vAlign w:val="center"/>
            <w:hideMark/>
          </w:tcPr>
          <w:p w14:paraId="33C32C1C"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0.509</w:t>
            </w:r>
          </w:p>
        </w:tc>
        <w:tc>
          <w:tcPr>
            <w:tcW w:w="0" w:type="auto"/>
            <w:shd w:val="clear" w:color="auto" w:fill="E7E6E6" w:themeFill="background2"/>
            <w:noWrap/>
            <w:vAlign w:val="center"/>
            <w:hideMark/>
          </w:tcPr>
          <w:p w14:paraId="61800310"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0.566</w:t>
            </w:r>
          </w:p>
        </w:tc>
        <w:tc>
          <w:tcPr>
            <w:tcW w:w="0" w:type="auto"/>
            <w:shd w:val="clear" w:color="auto" w:fill="auto"/>
            <w:noWrap/>
            <w:vAlign w:val="center"/>
            <w:hideMark/>
          </w:tcPr>
          <w:p w14:paraId="0702754D"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045AC173"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28BC0E47"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517C87CB"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317253F5"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0A0BB659"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7E5F2DB9"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0EEE52E1" w14:textId="77777777" w:rsidTr="005F3932">
        <w:trPr>
          <w:trHeight w:val="340"/>
        </w:trPr>
        <w:tc>
          <w:tcPr>
            <w:tcW w:w="0" w:type="auto"/>
            <w:shd w:val="clear" w:color="auto" w:fill="auto"/>
            <w:noWrap/>
            <w:vAlign w:val="center"/>
            <w:hideMark/>
          </w:tcPr>
          <w:p w14:paraId="151A4ED7"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DTP</w:t>
            </w:r>
          </w:p>
        </w:tc>
        <w:tc>
          <w:tcPr>
            <w:tcW w:w="0" w:type="auto"/>
            <w:shd w:val="clear" w:color="auto" w:fill="auto"/>
            <w:noWrap/>
            <w:vAlign w:val="center"/>
            <w:hideMark/>
          </w:tcPr>
          <w:p w14:paraId="2D4F5A89"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0.167</w:t>
            </w:r>
          </w:p>
        </w:tc>
        <w:tc>
          <w:tcPr>
            <w:tcW w:w="0" w:type="auto"/>
            <w:shd w:val="clear" w:color="auto" w:fill="auto"/>
            <w:noWrap/>
            <w:vAlign w:val="center"/>
            <w:hideMark/>
          </w:tcPr>
          <w:p w14:paraId="5850F7BC"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0.273</w:t>
            </w:r>
          </w:p>
        </w:tc>
        <w:tc>
          <w:tcPr>
            <w:tcW w:w="0" w:type="auto"/>
            <w:shd w:val="clear" w:color="auto" w:fill="auto"/>
            <w:noWrap/>
            <w:vAlign w:val="center"/>
            <w:hideMark/>
          </w:tcPr>
          <w:p w14:paraId="353CC974"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0.078</w:t>
            </w:r>
          </w:p>
        </w:tc>
        <w:tc>
          <w:tcPr>
            <w:tcW w:w="0" w:type="auto"/>
            <w:shd w:val="clear" w:color="auto" w:fill="auto"/>
            <w:noWrap/>
            <w:vAlign w:val="center"/>
            <w:hideMark/>
          </w:tcPr>
          <w:p w14:paraId="78093F07"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0.254</w:t>
            </w:r>
          </w:p>
        </w:tc>
        <w:tc>
          <w:tcPr>
            <w:tcW w:w="0" w:type="auto"/>
            <w:shd w:val="clear" w:color="auto" w:fill="auto"/>
            <w:noWrap/>
            <w:vAlign w:val="center"/>
            <w:hideMark/>
          </w:tcPr>
          <w:p w14:paraId="15C3F239"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0.236</w:t>
            </w:r>
          </w:p>
        </w:tc>
        <w:tc>
          <w:tcPr>
            <w:tcW w:w="0" w:type="auto"/>
            <w:shd w:val="clear" w:color="auto" w:fill="E7E6E6" w:themeFill="background2"/>
            <w:noWrap/>
            <w:vAlign w:val="center"/>
            <w:hideMark/>
          </w:tcPr>
          <w:p w14:paraId="19301FCB"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0.535</w:t>
            </w:r>
          </w:p>
        </w:tc>
        <w:tc>
          <w:tcPr>
            <w:tcW w:w="0" w:type="auto"/>
            <w:shd w:val="clear" w:color="auto" w:fill="auto"/>
            <w:noWrap/>
            <w:vAlign w:val="center"/>
            <w:hideMark/>
          </w:tcPr>
          <w:p w14:paraId="6640733B"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51917905"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54DCA5CF"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2FD1CCBE"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1EA866FF"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3D841389"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5EF03F5B" w14:textId="77777777" w:rsidTr="005F3932">
        <w:trPr>
          <w:trHeight w:val="340"/>
        </w:trPr>
        <w:tc>
          <w:tcPr>
            <w:tcW w:w="0" w:type="auto"/>
            <w:shd w:val="clear" w:color="auto" w:fill="auto"/>
            <w:noWrap/>
            <w:vAlign w:val="center"/>
            <w:hideMark/>
          </w:tcPr>
          <w:p w14:paraId="67EE28A0"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BFC</w:t>
            </w:r>
          </w:p>
        </w:tc>
        <w:tc>
          <w:tcPr>
            <w:tcW w:w="0" w:type="auto"/>
            <w:shd w:val="clear" w:color="auto" w:fill="auto"/>
            <w:noWrap/>
            <w:vAlign w:val="center"/>
            <w:hideMark/>
          </w:tcPr>
          <w:p w14:paraId="36996661"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0.394</w:t>
            </w:r>
          </w:p>
        </w:tc>
        <w:tc>
          <w:tcPr>
            <w:tcW w:w="0" w:type="auto"/>
            <w:shd w:val="clear" w:color="auto" w:fill="auto"/>
            <w:noWrap/>
            <w:vAlign w:val="center"/>
            <w:hideMark/>
          </w:tcPr>
          <w:p w14:paraId="35F9726D"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0.720</w:t>
            </w:r>
          </w:p>
        </w:tc>
        <w:tc>
          <w:tcPr>
            <w:tcW w:w="0" w:type="auto"/>
            <w:shd w:val="clear" w:color="auto" w:fill="auto"/>
            <w:noWrap/>
            <w:vAlign w:val="center"/>
            <w:hideMark/>
          </w:tcPr>
          <w:p w14:paraId="3DA79B9C"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0.065</w:t>
            </w:r>
          </w:p>
        </w:tc>
        <w:tc>
          <w:tcPr>
            <w:tcW w:w="0" w:type="auto"/>
            <w:shd w:val="clear" w:color="auto" w:fill="auto"/>
            <w:noWrap/>
            <w:vAlign w:val="center"/>
            <w:hideMark/>
          </w:tcPr>
          <w:p w14:paraId="62098B9B"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0.372</w:t>
            </w:r>
          </w:p>
        </w:tc>
        <w:tc>
          <w:tcPr>
            <w:tcW w:w="0" w:type="auto"/>
            <w:shd w:val="clear" w:color="auto" w:fill="auto"/>
            <w:noWrap/>
            <w:vAlign w:val="center"/>
            <w:hideMark/>
          </w:tcPr>
          <w:p w14:paraId="233DB4A5"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0.597</w:t>
            </w:r>
          </w:p>
        </w:tc>
        <w:tc>
          <w:tcPr>
            <w:tcW w:w="0" w:type="auto"/>
            <w:shd w:val="clear" w:color="auto" w:fill="auto"/>
            <w:noWrap/>
            <w:vAlign w:val="center"/>
            <w:hideMark/>
          </w:tcPr>
          <w:p w14:paraId="1147D0AC"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0.189</w:t>
            </w:r>
          </w:p>
        </w:tc>
        <w:tc>
          <w:tcPr>
            <w:tcW w:w="0" w:type="auto"/>
            <w:shd w:val="clear" w:color="auto" w:fill="E7E6E6" w:themeFill="background2"/>
            <w:noWrap/>
            <w:vAlign w:val="center"/>
            <w:hideMark/>
          </w:tcPr>
          <w:p w14:paraId="0B1D08D7"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0.670</w:t>
            </w:r>
          </w:p>
        </w:tc>
        <w:tc>
          <w:tcPr>
            <w:tcW w:w="0" w:type="auto"/>
            <w:shd w:val="clear" w:color="auto" w:fill="auto"/>
            <w:noWrap/>
            <w:vAlign w:val="center"/>
            <w:hideMark/>
          </w:tcPr>
          <w:p w14:paraId="73E8D5FA"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4665C8AA"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49CFEA83"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48648BBD"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5451BDEE"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22FBC1F3" w14:textId="77777777" w:rsidTr="005F3932">
        <w:trPr>
          <w:trHeight w:val="340"/>
        </w:trPr>
        <w:tc>
          <w:tcPr>
            <w:tcW w:w="0" w:type="auto"/>
            <w:shd w:val="clear" w:color="auto" w:fill="auto"/>
            <w:noWrap/>
            <w:vAlign w:val="center"/>
            <w:hideMark/>
          </w:tcPr>
          <w:p w14:paraId="41BB757A"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GDS</w:t>
            </w:r>
          </w:p>
        </w:tc>
        <w:tc>
          <w:tcPr>
            <w:tcW w:w="0" w:type="auto"/>
            <w:shd w:val="clear" w:color="auto" w:fill="auto"/>
            <w:noWrap/>
            <w:vAlign w:val="center"/>
            <w:hideMark/>
          </w:tcPr>
          <w:p w14:paraId="4F96A6FB"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0.458</w:t>
            </w:r>
          </w:p>
        </w:tc>
        <w:tc>
          <w:tcPr>
            <w:tcW w:w="0" w:type="auto"/>
            <w:shd w:val="clear" w:color="auto" w:fill="auto"/>
            <w:noWrap/>
            <w:vAlign w:val="center"/>
            <w:hideMark/>
          </w:tcPr>
          <w:p w14:paraId="6190C6F8"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0.336</w:t>
            </w:r>
          </w:p>
        </w:tc>
        <w:tc>
          <w:tcPr>
            <w:tcW w:w="0" w:type="auto"/>
            <w:shd w:val="clear" w:color="auto" w:fill="auto"/>
            <w:noWrap/>
            <w:vAlign w:val="center"/>
            <w:hideMark/>
          </w:tcPr>
          <w:p w14:paraId="0A2E057E"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0.050</w:t>
            </w:r>
          </w:p>
        </w:tc>
        <w:tc>
          <w:tcPr>
            <w:tcW w:w="0" w:type="auto"/>
            <w:shd w:val="clear" w:color="auto" w:fill="auto"/>
            <w:noWrap/>
            <w:vAlign w:val="center"/>
            <w:hideMark/>
          </w:tcPr>
          <w:p w14:paraId="22956DBE"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0.235</w:t>
            </w:r>
          </w:p>
        </w:tc>
        <w:tc>
          <w:tcPr>
            <w:tcW w:w="0" w:type="auto"/>
            <w:shd w:val="clear" w:color="auto" w:fill="auto"/>
            <w:noWrap/>
            <w:vAlign w:val="center"/>
            <w:hideMark/>
          </w:tcPr>
          <w:p w14:paraId="599FE9FD"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0.374</w:t>
            </w:r>
          </w:p>
        </w:tc>
        <w:tc>
          <w:tcPr>
            <w:tcW w:w="0" w:type="auto"/>
            <w:shd w:val="clear" w:color="auto" w:fill="auto"/>
            <w:noWrap/>
            <w:vAlign w:val="center"/>
            <w:hideMark/>
          </w:tcPr>
          <w:p w14:paraId="66E07230"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0.059</w:t>
            </w:r>
          </w:p>
        </w:tc>
        <w:tc>
          <w:tcPr>
            <w:tcW w:w="0" w:type="auto"/>
            <w:shd w:val="clear" w:color="auto" w:fill="auto"/>
            <w:noWrap/>
            <w:vAlign w:val="center"/>
            <w:hideMark/>
          </w:tcPr>
          <w:p w14:paraId="4B898F20"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0.280</w:t>
            </w:r>
          </w:p>
        </w:tc>
        <w:tc>
          <w:tcPr>
            <w:tcW w:w="0" w:type="auto"/>
            <w:shd w:val="clear" w:color="auto" w:fill="E7E6E6" w:themeFill="background2"/>
            <w:noWrap/>
            <w:vAlign w:val="center"/>
            <w:hideMark/>
          </w:tcPr>
          <w:p w14:paraId="7744A9D8"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0.640</w:t>
            </w:r>
          </w:p>
        </w:tc>
        <w:tc>
          <w:tcPr>
            <w:tcW w:w="0" w:type="auto"/>
            <w:shd w:val="clear" w:color="auto" w:fill="auto"/>
            <w:noWrap/>
            <w:vAlign w:val="center"/>
            <w:hideMark/>
          </w:tcPr>
          <w:p w14:paraId="2034C0E7"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22D91418"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7CE49CB4"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695CAA3C"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0B6051C4" w14:textId="77777777" w:rsidTr="005F3932">
        <w:trPr>
          <w:trHeight w:val="340"/>
        </w:trPr>
        <w:tc>
          <w:tcPr>
            <w:tcW w:w="0" w:type="auto"/>
            <w:shd w:val="clear" w:color="auto" w:fill="auto"/>
            <w:noWrap/>
            <w:vAlign w:val="center"/>
            <w:hideMark/>
          </w:tcPr>
          <w:p w14:paraId="2F4C4E50"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DTC</w:t>
            </w:r>
          </w:p>
        </w:tc>
        <w:tc>
          <w:tcPr>
            <w:tcW w:w="0" w:type="auto"/>
            <w:shd w:val="clear" w:color="auto" w:fill="auto"/>
            <w:noWrap/>
            <w:vAlign w:val="center"/>
            <w:hideMark/>
          </w:tcPr>
          <w:p w14:paraId="1D650E09"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0.574</w:t>
            </w:r>
          </w:p>
        </w:tc>
        <w:tc>
          <w:tcPr>
            <w:tcW w:w="0" w:type="auto"/>
            <w:shd w:val="clear" w:color="auto" w:fill="auto"/>
            <w:noWrap/>
            <w:vAlign w:val="center"/>
            <w:hideMark/>
          </w:tcPr>
          <w:p w14:paraId="48D820DF"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0.717</w:t>
            </w:r>
          </w:p>
        </w:tc>
        <w:tc>
          <w:tcPr>
            <w:tcW w:w="0" w:type="auto"/>
            <w:shd w:val="clear" w:color="auto" w:fill="auto"/>
            <w:noWrap/>
            <w:vAlign w:val="center"/>
            <w:hideMark/>
          </w:tcPr>
          <w:p w14:paraId="2671EE4B"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0.193</w:t>
            </w:r>
          </w:p>
        </w:tc>
        <w:tc>
          <w:tcPr>
            <w:tcW w:w="0" w:type="auto"/>
            <w:shd w:val="clear" w:color="auto" w:fill="auto"/>
            <w:noWrap/>
            <w:vAlign w:val="center"/>
            <w:hideMark/>
          </w:tcPr>
          <w:p w14:paraId="7BCF8092"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0.617</w:t>
            </w:r>
          </w:p>
        </w:tc>
        <w:tc>
          <w:tcPr>
            <w:tcW w:w="0" w:type="auto"/>
            <w:shd w:val="clear" w:color="auto" w:fill="auto"/>
            <w:noWrap/>
            <w:vAlign w:val="center"/>
            <w:hideMark/>
          </w:tcPr>
          <w:p w14:paraId="62844C42"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0.627</w:t>
            </w:r>
          </w:p>
        </w:tc>
        <w:tc>
          <w:tcPr>
            <w:tcW w:w="0" w:type="auto"/>
            <w:shd w:val="clear" w:color="auto" w:fill="auto"/>
            <w:noWrap/>
            <w:vAlign w:val="center"/>
            <w:hideMark/>
          </w:tcPr>
          <w:p w14:paraId="086E7D7C"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0.390</w:t>
            </w:r>
          </w:p>
        </w:tc>
        <w:tc>
          <w:tcPr>
            <w:tcW w:w="0" w:type="auto"/>
            <w:shd w:val="clear" w:color="auto" w:fill="auto"/>
            <w:noWrap/>
            <w:vAlign w:val="center"/>
            <w:hideMark/>
          </w:tcPr>
          <w:p w14:paraId="11D0BB0B"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0.565</w:t>
            </w:r>
          </w:p>
        </w:tc>
        <w:tc>
          <w:tcPr>
            <w:tcW w:w="0" w:type="auto"/>
            <w:shd w:val="clear" w:color="auto" w:fill="auto"/>
            <w:noWrap/>
            <w:vAlign w:val="center"/>
            <w:hideMark/>
          </w:tcPr>
          <w:p w14:paraId="0FA442EE"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0.298</w:t>
            </w:r>
          </w:p>
        </w:tc>
        <w:tc>
          <w:tcPr>
            <w:tcW w:w="0" w:type="auto"/>
            <w:shd w:val="clear" w:color="auto" w:fill="E7E6E6" w:themeFill="background2"/>
            <w:noWrap/>
            <w:vAlign w:val="center"/>
            <w:hideMark/>
          </w:tcPr>
          <w:p w14:paraId="2BA86533"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0.645</w:t>
            </w:r>
          </w:p>
        </w:tc>
        <w:tc>
          <w:tcPr>
            <w:tcW w:w="0" w:type="auto"/>
            <w:shd w:val="clear" w:color="auto" w:fill="auto"/>
            <w:noWrap/>
            <w:vAlign w:val="center"/>
            <w:hideMark/>
          </w:tcPr>
          <w:p w14:paraId="763F2CF7"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70ACFEF5"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37BDE754"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0D6683B6" w14:textId="77777777" w:rsidTr="005F3932">
        <w:trPr>
          <w:trHeight w:val="340"/>
        </w:trPr>
        <w:tc>
          <w:tcPr>
            <w:tcW w:w="0" w:type="auto"/>
            <w:shd w:val="clear" w:color="auto" w:fill="auto"/>
            <w:noWrap/>
            <w:vAlign w:val="center"/>
            <w:hideMark/>
          </w:tcPr>
          <w:p w14:paraId="092D944A"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BRM</w:t>
            </w:r>
          </w:p>
        </w:tc>
        <w:tc>
          <w:tcPr>
            <w:tcW w:w="0" w:type="auto"/>
            <w:shd w:val="clear" w:color="auto" w:fill="auto"/>
            <w:noWrap/>
            <w:vAlign w:val="center"/>
            <w:hideMark/>
          </w:tcPr>
          <w:p w14:paraId="349E8452"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0.064</w:t>
            </w:r>
          </w:p>
        </w:tc>
        <w:tc>
          <w:tcPr>
            <w:tcW w:w="0" w:type="auto"/>
            <w:shd w:val="clear" w:color="auto" w:fill="auto"/>
            <w:noWrap/>
            <w:vAlign w:val="center"/>
            <w:hideMark/>
          </w:tcPr>
          <w:p w14:paraId="4047026C"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0.009</w:t>
            </w:r>
          </w:p>
        </w:tc>
        <w:tc>
          <w:tcPr>
            <w:tcW w:w="0" w:type="auto"/>
            <w:shd w:val="clear" w:color="auto" w:fill="auto"/>
            <w:noWrap/>
            <w:vAlign w:val="center"/>
            <w:hideMark/>
          </w:tcPr>
          <w:p w14:paraId="7F34D1C1"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0.001</w:t>
            </w:r>
          </w:p>
        </w:tc>
        <w:tc>
          <w:tcPr>
            <w:tcW w:w="0" w:type="auto"/>
            <w:shd w:val="clear" w:color="auto" w:fill="auto"/>
            <w:noWrap/>
            <w:vAlign w:val="center"/>
            <w:hideMark/>
          </w:tcPr>
          <w:p w14:paraId="285FE83A"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0.014</w:t>
            </w:r>
          </w:p>
        </w:tc>
        <w:tc>
          <w:tcPr>
            <w:tcW w:w="0" w:type="auto"/>
            <w:shd w:val="clear" w:color="auto" w:fill="auto"/>
            <w:noWrap/>
            <w:vAlign w:val="center"/>
            <w:hideMark/>
          </w:tcPr>
          <w:p w14:paraId="025CD084"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0.047</w:t>
            </w:r>
          </w:p>
        </w:tc>
        <w:tc>
          <w:tcPr>
            <w:tcW w:w="0" w:type="auto"/>
            <w:shd w:val="clear" w:color="auto" w:fill="auto"/>
            <w:noWrap/>
            <w:vAlign w:val="center"/>
            <w:hideMark/>
          </w:tcPr>
          <w:p w14:paraId="3DB80A75"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0.000</w:t>
            </w:r>
          </w:p>
        </w:tc>
        <w:tc>
          <w:tcPr>
            <w:tcW w:w="0" w:type="auto"/>
            <w:shd w:val="clear" w:color="auto" w:fill="auto"/>
            <w:noWrap/>
            <w:vAlign w:val="center"/>
            <w:hideMark/>
          </w:tcPr>
          <w:p w14:paraId="5875EE51"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0.015</w:t>
            </w:r>
          </w:p>
        </w:tc>
        <w:tc>
          <w:tcPr>
            <w:tcW w:w="0" w:type="auto"/>
            <w:shd w:val="clear" w:color="auto" w:fill="auto"/>
            <w:noWrap/>
            <w:vAlign w:val="center"/>
            <w:hideMark/>
          </w:tcPr>
          <w:p w14:paraId="3F4472AA"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0.066</w:t>
            </w:r>
          </w:p>
        </w:tc>
        <w:tc>
          <w:tcPr>
            <w:tcW w:w="0" w:type="auto"/>
            <w:shd w:val="clear" w:color="auto" w:fill="auto"/>
            <w:noWrap/>
            <w:vAlign w:val="center"/>
            <w:hideMark/>
          </w:tcPr>
          <w:p w14:paraId="3FEFCA69"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0.002</w:t>
            </w:r>
          </w:p>
        </w:tc>
        <w:tc>
          <w:tcPr>
            <w:tcW w:w="0" w:type="auto"/>
            <w:shd w:val="clear" w:color="auto" w:fill="E7E6E6" w:themeFill="background2"/>
            <w:noWrap/>
            <w:vAlign w:val="center"/>
            <w:hideMark/>
          </w:tcPr>
          <w:p w14:paraId="6D34F223"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0.579</w:t>
            </w:r>
          </w:p>
        </w:tc>
        <w:tc>
          <w:tcPr>
            <w:tcW w:w="0" w:type="auto"/>
            <w:shd w:val="clear" w:color="auto" w:fill="auto"/>
            <w:noWrap/>
            <w:vAlign w:val="center"/>
            <w:hideMark/>
          </w:tcPr>
          <w:p w14:paraId="233A1A4F"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07100A44"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35A8943F" w14:textId="77777777" w:rsidTr="005F3932">
        <w:trPr>
          <w:trHeight w:val="340"/>
        </w:trPr>
        <w:tc>
          <w:tcPr>
            <w:tcW w:w="0" w:type="auto"/>
            <w:shd w:val="clear" w:color="auto" w:fill="auto"/>
            <w:noWrap/>
            <w:vAlign w:val="center"/>
            <w:hideMark/>
          </w:tcPr>
          <w:p w14:paraId="30D788A7"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BTP</w:t>
            </w:r>
          </w:p>
        </w:tc>
        <w:tc>
          <w:tcPr>
            <w:tcW w:w="0" w:type="auto"/>
            <w:shd w:val="clear" w:color="auto" w:fill="auto"/>
            <w:noWrap/>
            <w:vAlign w:val="center"/>
            <w:hideMark/>
          </w:tcPr>
          <w:p w14:paraId="57A23699"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0.381</w:t>
            </w:r>
          </w:p>
        </w:tc>
        <w:tc>
          <w:tcPr>
            <w:tcW w:w="0" w:type="auto"/>
            <w:shd w:val="clear" w:color="auto" w:fill="auto"/>
            <w:noWrap/>
            <w:vAlign w:val="center"/>
            <w:hideMark/>
          </w:tcPr>
          <w:p w14:paraId="051573D0"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0.511</w:t>
            </w:r>
          </w:p>
        </w:tc>
        <w:tc>
          <w:tcPr>
            <w:tcW w:w="0" w:type="auto"/>
            <w:shd w:val="clear" w:color="auto" w:fill="auto"/>
            <w:noWrap/>
            <w:vAlign w:val="center"/>
            <w:hideMark/>
          </w:tcPr>
          <w:p w14:paraId="23089914"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0.072</w:t>
            </w:r>
          </w:p>
        </w:tc>
        <w:tc>
          <w:tcPr>
            <w:tcW w:w="0" w:type="auto"/>
            <w:shd w:val="clear" w:color="auto" w:fill="auto"/>
            <w:noWrap/>
            <w:vAlign w:val="center"/>
            <w:hideMark/>
          </w:tcPr>
          <w:p w14:paraId="1BE555AE"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0.467</w:t>
            </w:r>
          </w:p>
        </w:tc>
        <w:tc>
          <w:tcPr>
            <w:tcW w:w="0" w:type="auto"/>
            <w:shd w:val="clear" w:color="auto" w:fill="auto"/>
            <w:noWrap/>
            <w:vAlign w:val="center"/>
            <w:hideMark/>
          </w:tcPr>
          <w:p w14:paraId="4814BDA4"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0.540</w:t>
            </w:r>
          </w:p>
        </w:tc>
        <w:tc>
          <w:tcPr>
            <w:tcW w:w="0" w:type="auto"/>
            <w:shd w:val="clear" w:color="auto" w:fill="auto"/>
            <w:noWrap/>
            <w:vAlign w:val="center"/>
            <w:hideMark/>
          </w:tcPr>
          <w:p w14:paraId="5EBC16B7"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0.272</w:t>
            </w:r>
          </w:p>
        </w:tc>
        <w:tc>
          <w:tcPr>
            <w:tcW w:w="0" w:type="auto"/>
            <w:shd w:val="clear" w:color="auto" w:fill="auto"/>
            <w:noWrap/>
            <w:vAlign w:val="center"/>
            <w:hideMark/>
          </w:tcPr>
          <w:p w14:paraId="70C05806"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0.373</w:t>
            </w:r>
          </w:p>
        </w:tc>
        <w:tc>
          <w:tcPr>
            <w:tcW w:w="0" w:type="auto"/>
            <w:shd w:val="clear" w:color="auto" w:fill="auto"/>
            <w:noWrap/>
            <w:vAlign w:val="center"/>
            <w:hideMark/>
          </w:tcPr>
          <w:p w14:paraId="1DFDCD73"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0.241</w:t>
            </w:r>
          </w:p>
        </w:tc>
        <w:tc>
          <w:tcPr>
            <w:tcW w:w="0" w:type="auto"/>
            <w:shd w:val="clear" w:color="auto" w:fill="auto"/>
            <w:noWrap/>
            <w:vAlign w:val="center"/>
            <w:hideMark/>
          </w:tcPr>
          <w:p w14:paraId="2CBF8494"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0.655</w:t>
            </w:r>
          </w:p>
        </w:tc>
        <w:tc>
          <w:tcPr>
            <w:tcW w:w="0" w:type="auto"/>
            <w:shd w:val="clear" w:color="auto" w:fill="auto"/>
            <w:noWrap/>
            <w:vAlign w:val="center"/>
            <w:hideMark/>
          </w:tcPr>
          <w:p w14:paraId="4A4DE666"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0.010</w:t>
            </w:r>
          </w:p>
        </w:tc>
        <w:tc>
          <w:tcPr>
            <w:tcW w:w="0" w:type="auto"/>
            <w:shd w:val="clear" w:color="auto" w:fill="E7E6E6" w:themeFill="background2"/>
            <w:noWrap/>
            <w:vAlign w:val="center"/>
            <w:hideMark/>
          </w:tcPr>
          <w:p w14:paraId="298CBF95"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0.565</w:t>
            </w:r>
          </w:p>
        </w:tc>
        <w:tc>
          <w:tcPr>
            <w:tcW w:w="0" w:type="auto"/>
            <w:shd w:val="clear" w:color="auto" w:fill="auto"/>
            <w:noWrap/>
            <w:vAlign w:val="center"/>
            <w:hideMark/>
          </w:tcPr>
          <w:p w14:paraId="179E7985"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3DCF2995" w14:textId="77777777" w:rsidTr="005F3932">
        <w:trPr>
          <w:trHeight w:val="340"/>
        </w:trPr>
        <w:tc>
          <w:tcPr>
            <w:tcW w:w="0" w:type="auto"/>
            <w:shd w:val="clear" w:color="auto" w:fill="auto"/>
            <w:noWrap/>
            <w:vAlign w:val="center"/>
            <w:hideMark/>
          </w:tcPr>
          <w:p w14:paraId="1F4BFFD1"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LDT</w:t>
            </w:r>
          </w:p>
        </w:tc>
        <w:tc>
          <w:tcPr>
            <w:tcW w:w="0" w:type="auto"/>
            <w:shd w:val="clear" w:color="auto" w:fill="auto"/>
            <w:noWrap/>
            <w:vAlign w:val="center"/>
            <w:hideMark/>
          </w:tcPr>
          <w:p w14:paraId="41A1C0FA"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0.185</w:t>
            </w:r>
          </w:p>
        </w:tc>
        <w:tc>
          <w:tcPr>
            <w:tcW w:w="0" w:type="auto"/>
            <w:shd w:val="clear" w:color="auto" w:fill="auto"/>
            <w:noWrap/>
            <w:vAlign w:val="center"/>
            <w:hideMark/>
          </w:tcPr>
          <w:p w14:paraId="75751EAB"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0.242</w:t>
            </w:r>
          </w:p>
        </w:tc>
        <w:tc>
          <w:tcPr>
            <w:tcW w:w="0" w:type="auto"/>
            <w:shd w:val="clear" w:color="auto" w:fill="auto"/>
            <w:noWrap/>
            <w:vAlign w:val="center"/>
            <w:hideMark/>
          </w:tcPr>
          <w:p w14:paraId="29267CE2"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0.070</w:t>
            </w:r>
          </w:p>
        </w:tc>
        <w:tc>
          <w:tcPr>
            <w:tcW w:w="0" w:type="auto"/>
            <w:shd w:val="clear" w:color="auto" w:fill="auto"/>
            <w:noWrap/>
            <w:vAlign w:val="center"/>
            <w:hideMark/>
          </w:tcPr>
          <w:p w14:paraId="4491C032"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0.190</w:t>
            </w:r>
          </w:p>
        </w:tc>
        <w:tc>
          <w:tcPr>
            <w:tcW w:w="0" w:type="auto"/>
            <w:shd w:val="clear" w:color="auto" w:fill="auto"/>
            <w:noWrap/>
            <w:vAlign w:val="center"/>
            <w:hideMark/>
          </w:tcPr>
          <w:p w14:paraId="26870CB1"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0.206</w:t>
            </w:r>
          </w:p>
        </w:tc>
        <w:tc>
          <w:tcPr>
            <w:tcW w:w="0" w:type="auto"/>
            <w:shd w:val="clear" w:color="auto" w:fill="auto"/>
            <w:noWrap/>
            <w:vAlign w:val="center"/>
            <w:hideMark/>
          </w:tcPr>
          <w:p w14:paraId="25FEA391"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0.147</w:t>
            </w:r>
          </w:p>
        </w:tc>
        <w:tc>
          <w:tcPr>
            <w:tcW w:w="0" w:type="auto"/>
            <w:shd w:val="clear" w:color="auto" w:fill="auto"/>
            <w:noWrap/>
            <w:vAlign w:val="center"/>
            <w:hideMark/>
          </w:tcPr>
          <w:p w14:paraId="34D5AD2B"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0.204</w:t>
            </w:r>
          </w:p>
        </w:tc>
        <w:tc>
          <w:tcPr>
            <w:tcW w:w="0" w:type="auto"/>
            <w:shd w:val="clear" w:color="auto" w:fill="auto"/>
            <w:noWrap/>
            <w:vAlign w:val="center"/>
            <w:hideMark/>
          </w:tcPr>
          <w:p w14:paraId="04612D02"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0.105</w:t>
            </w:r>
          </w:p>
        </w:tc>
        <w:tc>
          <w:tcPr>
            <w:tcW w:w="0" w:type="auto"/>
            <w:shd w:val="clear" w:color="auto" w:fill="auto"/>
            <w:noWrap/>
            <w:vAlign w:val="center"/>
            <w:hideMark/>
          </w:tcPr>
          <w:p w14:paraId="1F0845CC"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0.305</w:t>
            </w:r>
          </w:p>
        </w:tc>
        <w:tc>
          <w:tcPr>
            <w:tcW w:w="0" w:type="auto"/>
            <w:shd w:val="clear" w:color="auto" w:fill="auto"/>
            <w:noWrap/>
            <w:vAlign w:val="center"/>
            <w:hideMark/>
          </w:tcPr>
          <w:p w14:paraId="1B6A730F"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0.023</w:t>
            </w:r>
          </w:p>
        </w:tc>
        <w:tc>
          <w:tcPr>
            <w:tcW w:w="0" w:type="auto"/>
            <w:shd w:val="clear" w:color="auto" w:fill="auto"/>
            <w:noWrap/>
            <w:vAlign w:val="center"/>
            <w:hideMark/>
          </w:tcPr>
          <w:p w14:paraId="5DCCD905"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0.202</w:t>
            </w:r>
          </w:p>
        </w:tc>
        <w:tc>
          <w:tcPr>
            <w:tcW w:w="0" w:type="auto"/>
            <w:shd w:val="clear" w:color="auto" w:fill="E7E6E6" w:themeFill="background2"/>
            <w:noWrap/>
            <w:vAlign w:val="center"/>
            <w:hideMark/>
          </w:tcPr>
          <w:p w14:paraId="16AE751A"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0.730</w:t>
            </w:r>
          </w:p>
        </w:tc>
      </w:tr>
    </w:tbl>
    <w:p w14:paraId="4F7B0960" w14:textId="77777777" w:rsidR="00EF6E62" w:rsidRPr="003F6924" w:rsidRDefault="00EF6E62" w:rsidP="00794E60">
      <w:pPr>
        <w:spacing w:after="0" w:line="300" w:lineRule="auto"/>
        <w:jc w:val="both"/>
        <w:rPr>
          <w:rFonts w:ascii="Times New Roman" w:hAnsi="Times New Roman" w:cs="Times New Roman"/>
          <w:color w:val="000000" w:themeColor="text1"/>
          <w:sz w:val="26"/>
          <w:szCs w:val="26"/>
          <w:lang w:val="en-US"/>
        </w:rPr>
      </w:pPr>
    </w:p>
    <w:p w14:paraId="3E239652" w14:textId="77777777" w:rsidR="00EF6E62" w:rsidRPr="003F6924" w:rsidRDefault="00B543E4" w:rsidP="006E65F6">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Table </w:t>
      </w:r>
      <w:r w:rsidR="00071B69" w:rsidRPr="003F6924">
        <w:rPr>
          <w:rFonts w:ascii="Times New Roman" w:hAnsi="Times New Roman" w:cs="Times New Roman"/>
          <w:color w:val="000000" w:themeColor="text1"/>
          <w:sz w:val="26"/>
          <w:szCs w:val="26"/>
          <w:lang w:val="en-US"/>
        </w:rPr>
        <w:t>6</w:t>
      </w:r>
      <w:r w:rsidRPr="003F6924">
        <w:rPr>
          <w:rFonts w:ascii="Times New Roman" w:hAnsi="Times New Roman" w:cs="Times New Roman"/>
          <w:color w:val="000000" w:themeColor="text1"/>
          <w:sz w:val="26"/>
          <w:szCs w:val="26"/>
          <w:lang w:val="en-US"/>
        </w:rPr>
        <w:t xml:space="preserve"> presents the results of the Fornell-Larcker criterion for the study. The squared inter-construct correlations of DTD and BTC, LC and BCC, LC and DTC, BCC and BFC, BCC and DTC, and DTC and BTP were larger than their AVEs. </w:t>
      </w:r>
      <w:r w:rsidR="00EE482D" w:rsidRPr="003F6924">
        <w:rPr>
          <w:rFonts w:ascii="Times New Roman" w:hAnsi="Times New Roman" w:cs="Times New Roman"/>
          <w:color w:val="000000" w:themeColor="text1"/>
          <w:sz w:val="26"/>
          <w:szCs w:val="26"/>
          <w:lang w:val="en-US"/>
        </w:rPr>
        <w:t>However, recent studies have suggested that the Fornell–Larcker criterion alone may be insufficient for establishing discriminant validity</w:t>
      </w:r>
      <w:r w:rsidRPr="003F6924">
        <w:rPr>
          <w:rFonts w:ascii="Times New Roman" w:hAnsi="Times New Roman" w:cs="Times New Roman"/>
          <w:color w:val="000000" w:themeColor="text1"/>
          <w:sz w:val="26"/>
          <w:szCs w:val="26"/>
          <w:lang w:val="en-US"/>
        </w:rPr>
        <w:t xml:space="preserve">. The Fornell-Larcker criteria exhibit unsatisfactory performance, especially in cases when the indicator loadings on a construct exhibit </w:t>
      </w:r>
      <w:r w:rsidR="00EE482D" w:rsidRPr="003F6924">
        <w:rPr>
          <w:rFonts w:ascii="Times New Roman" w:hAnsi="Times New Roman" w:cs="Times New Roman"/>
          <w:color w:val="000000" w:themeColor="text1"/>
          <w:sz w:val="26"/>
          <w:szCs w:val="26"/>
          <w:lang w:val="en-US"/>
        </w:rPr>
        <w:t>slight</w:t>
      </w:r>
      <w:r w:rsidRPr="003F6924">
        <w:rPr>
          <w:rFonts w:ascii="Times New Roman" w:hAnsi="Times New Roman" w:cs="Times New Roman"/>
          <w:color w:val="000000" w:themeColor="text1"/>
          <w:sz w:val="26"/>
          <w:szCs w:val="26"/>
          <w:lang w:val="en-US"/>
        </w:rPr>
        <w:t xml:space="preserve"> variation (e.g., all indicator loadings fall within the range of 0.65 to 0.85)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{"citationID":"a1mcd9apqlt","properties":{"formattedCitation":"(Henseler, Ringle, {\\i{}et al.}, 2015; Voorhees {\\i{}et al.}, 2016)","plainCitation":"(Henseler, Ringle, et al., 2015; Voorhees et al., 2016)","dontUpdate":true,"noteIndex":0},"citationItems":[{"id":1049,"uris":["http://zotero.org/users/9020985/items/ZAGRTSEL"],"itemData":{"id":1049,"type":"article-journal","abstract":"Discriminant validity assessment has become a generally accepted prerequisite for analyzing relationships between latent variables. For variance-based structural equation modeling, such as partial least squares, the Fornell-Larcker criterion and the examination of cross-loadings are the dominant approaches for evaluating discriminant validity. By means of a simulation study, we show that these approaches do not reliably detect the lack of discriminant validity in common research situations. We therefore propose an alternative approach, based on the multitrait-multimethod matrix, to assess discriminant validity: the heterotrait-monotrait ratio of correlations. We demonstrate its superior performance by means of a Monte Carlo simulation study, in which we compare the new approach to the Fornell-Larcker criterion and the assessment of (partial) cross-loadings. Finally, we provide guidelines on how to handle discriminant validity issues in variance-based structural equation modeling.","container-title":"Journal of the Academy of Marketing Science","DOI":"10.1007/s11747-014-0403-8","ISSN":"1552-7824","issue":"1","journalAbbreviation":"J. of the Acad. Mark. Sci.","language":"en","page":"115-135","source":"Springer Link","title":"A new criterion for assessing discriminant validity in variance-based structural equation modeling","volume":"43","author":[{"family":"Henseler","given":"Jörg"},{"family":"Ringle","given":"Christian M."},{"family":"Sarstedt","given":"Marko"}],"issued":{"date-parts":[["2015",1,1]]}}},{"id":3486,"uris":["http://zotero.org/users/9020985/items/RBTHY6W5"],"itemData":{"id":3486,"type":"article-journal","abstract":"The results of this research suggest a new mandate for discriminant validity testing in marketing. Specifically, the authors demonstrate that the AVE-SV comparison (Fornell and Larcker 1981) and HTMT ratio (Henseler et al. 2015) with 0.85 cutoff provide the best assessment of discriminant validity and should be the standard for publication in marketing. These conclusions are based on a thorough assessment of the literature and the results of a Monte Carlo simulation. First, based on a content analysis of articles published in seven leading marketing journals from 1996 to 2012, the authors demonstrate that three tests—the constrained phi (Jöreskog 1971), AVE-SV (Fornell and Larcker 1981), and overlapping confidence intervals (Anderson and Gerbing 1988)—are by far most common. Further review reveals that (1) more than 20% of survey-based and over 80% of non-survey-based marketing studies fail to document tests for discriminant validity, (2) there is wide variance across journals and research streams in terms of whether discriminant validity tests are performed, (3) conclusions have already been drawn about the relative stringency of the three most common methods, and (4) the method that is generally perceived to be most generous is being consistently misapplied in a way that erodes its stringency. Second, a Monte Carlo simulation is conducted to assess the relative rigor of the three most common tests, as well as an emerging technique (HTMT). Results reveal that (1) on average, the four discriminant validity testing methods detect violations approximately 50% of the time, (2) the constrained phi and overlapping confidence interval approaches perform very poorly in detecting violations whereas the AVE-SV test and HTMT (with a ratio cutoff of 0.85) methods perform well, and (3) the HTMT.85 method offers the best balance between high detection and low arbitrary violation (i.e., false positive) rates.","container-title":"Journal of the Academy of Marketing Science","DOI":"10.1007/s11747-015-0455-4","ISSN":"1552-7824","issue":"1","journalAbbreviation":"J. of the Acad. Mark. Sci.","language":"en","page":"119-134","source":"Springer Link","title":"Discriminant validity testing in marketing: an analysis, causes for concern, and proposed remedies","title-short":"Discriminant validity testing in marketing","volume":"44","author":[{"family":"Voorhees","given":"Clay M."},{"family":"Brady","given":"Michael K."},{"family":"Calantone","given":"Roger"},{"family":"Ramirez","given":"Edward"}],"issued":{"date-parts":[["2016",1,1]]}}}],"schema":"https://github.com/citation-style-language/schema/raw/master/csl-citation.json"}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color w:val="000000" w:themeColor="text1"/>
          <w:sz w:val="26"/>
          <w:szCs w:val="26"/>
          <w:lang w:val="en-US"/>
        </w:rPr>
        <w:t xml:space="preserve">(Henseler </w:t>
      </w:r>
      <w:r w:rsidRPr="003F6924">
        <w:rPr>
          <w:rFonts w:ascii="Times New Roman" w:hAnsi="Times New Roman" w:cs="Times New Roman"/>
          <w:i/>
          <w:iCs/>
          <w:color w:val="000000" w:themeColor="text1"/>
          <w:sz w:val="26"/>
          <w:szCs w:val="26"/>
          <w:lang w:val="en-US"/>
        </w:rPr>
        <w:t>et al.</w:t>
      </w:r>
      <w:r w:rsidRPr="003F6924">
        <w:rPr>
          <w:rFonts w:ascii="Times New Roman" w:hAnsi="Times New Roman" w:cs="Times New Roman"/>
          <w:color w:val="000000" w:themeColor="text1"/>
          <w:sz w:val="26"/>
          <w:szCs w:val="26"/>
          <w:lang w:val="en-US"/>
        </w:rPr>
        <w:t xml:space="preserve">, 2015; Voorhees </w:t>
      </w:r>
      <w:r w:rsidRPr="003F6924">
        <w:rPr>
          <w:rFonts w:ascii="Times New Roman" w:hAnsi="Times New Roman" w:cs="Times New Roman"/>
          <w:i/>
          <w:iCs/>
          <w:color w:val="000000" w:themeColor="text1"/>
          <w:sz w:val="26"/>
          <w:szCs w:val="26"/>
          <w:lang w:val="en-US"/>
        </w:rPr>
        <w:t>et al.</w:t>
      </w:r>
      <w:r w:rsidRPr="003F6924">
        <w:rPr>
          <w:rFonts w:ascii="Times New Roman" w:hAnsi="Times New Roman" w:cs="Times New Roman"/>
          <w:color w:val="000000" w:themeColor="text1"/>
          <w:sz w:val="26"/>
          <w:szCs w:val="26"/>
          <w:lang w:val="en-US"/>
        </w:rPr>
        <w:t>, 2016)</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t>
      </w:r>
      <w:r w:rsidR="00EE482D" w:rsidRPr="003F6924">
        <w:rPr>
          <w:rFonts w:ascii="Times New Roman" w:hAnsi="Times New Roman" w:cs="Times New Roman"/>
          <w:color w:val="000000" w:themeColor="text1"/>
          <w:sz w:val="26"/>
          <w:szCs w:val="26"/>
          <w:lang w:val="en-US"/>
        </w:rPr>
        <w:t xml:space="preserve">Therefore, the study additionally evaluated discriminant validity using the HTMT ratio, as recommended by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{"citationID":"aevj3c81s4","properties":{"formattedCitation":"(Henseler, Ringle, {\\i{}et al.}, 2015)","plainCitation":"(Henseler, Ringle, et al., 2015)","dontUpdate":true,"noteIndex":0},"citationItems":[{"id":1049,"uris":["http://zotero.org/users/9020985/items/ZAGRTSEL"],"itemData":{"id":1049,"type":"article-journal","abstract":"Discriminant validity assessment has become a generally accepted prerequisite for analyzing relationships between latent variables. For variance-based structural equation modeling, such as partial least squares, the Fornell-Larcker criterion and the examination of cross-loadings are the dominant approaches for evaluating discriminant validity. By means of a simulation study, we show that these approaches do not reliably detect the lack of discriminant validity in common research situations. We therefore propose an alternative approach, based on the multitrait-multimethod matrix, to assess discriminant validity: the heterotrait-monotrait ratio of correlations. We demonstrate its superior performance by means of a Monte Carlo simulation study, in which we compare the new approach to the Fornell-Larcker criterion and the assessment of (partial) cross-loadings. Finally, we provide guidelines on how to handle discriminant validity issues in variance-based structural equation modeling.","container-title":"Journal of the Academy of Marketing Science","DOI":"10.1007/s11747-014-0403-8","ISSN":"1552-7824","issue":"1","journalAbbreviation":"J. of the Acad. Mark. Sci.","language":"en","page":"115-135","source":"Springer Link","title":"A new criterion for assessing discriminant validity in variance-based structural equation modeling","volume":"43","author":[{"family":"Henseler","given":"Jörg"},{"family":"Ringle","given":"Christian M."},{"family":"Sarstedt","given":"Marko"}],"issued":{"date-parts":[["2015",1,1]]}}}],"schema":"https://github.com/citation-style-language/schema/raw/master/csl-citation.json"}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color w:val="000000" w:themeColor="text1"/>
          <w:sz w:val="26"/>
          <w:szCs w:val="26"/>
          <w:lang w:val="en-US"/>
        </w:rPr>
        <w:t xml:space="preserve">Henseler </w:t>
      </w:r>
      <w:r w:rsidRPr="003F6924">
        <w:rPr>
          <w:rFonts w:ascii="Times New Roman" w:hAnsi="Times New Roman" w:cs="Times New Roman"/>
          <w:i/>
          <w:iCs/>
          <w:color w:val="000000" w:themeColor="text1"/>
          <w:sz w:val="26"/>
          <w:szCs w:val="26"/>
          <w:lang w:val="en-US"/>
        </w:rPr>
        <w:t>et al.</w:t>
      </w:r>
      <w:r w:rsidRPr="003F6924">
        <w:rPr>
          <w:rFonts w:ascii="Times New Roman" w:hAnsi="Times New Roman" w:cs="Times New Roman"/>
          <w:color w:val="000000" w:themeColor="text1"/>
          <w:sz w:val="26"/>
          <w:szCs w:val="26"/>
          <w:lang w:val="en-US"/>
        </w:rPr>
        <w:t xml:space="preserve"> </w:t>
      </w:r>
      <w:r w:rsidR="00EE482D" w:rsidRPr="003F6924">
        <w:rPr>
          <w:rFonts w:ascii="Times New Roman" w:hAnsi="Times New Roman" w:cs="Times New Roman"/>
          <w:color w:val="000000" w:themeColor="text1"/>
          <w:sz w:val="26"/>
          <w:szCs w:val="26"/>
          <w:lang w:val="en-US"/>
        </w:rPr>
        <w:t>(</w:t>
      </w:r>
      <w:r w:rsidRPr="003F6924">
        <w:rPr>
          <w:rFonts w:ascii="Times New Roman" w:hAnsi="Times New Roman" w:cs="Times New Roman"/>
          <w:color w:val="000000" w:themeColor="text1"/>
          <w:sz w:val="26"/>
          <w:szCs w:val="26"/>
          <w:lang w:val="en-US"/>
        </w:rPr>
        <w:t>2015)</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t>
      </w:r>
    </w:p>
    <w:p w14:paraId="764A9796" w14:textId="77777777" w:rsidR="000A240D" w:rsidRPr="003F6924" w:rsidRDefault="000A240D" w:rsidP="000A240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3FCD2096" w14:textId="77777777" w:rsidR="008E378C" w:rsidRDefault="008E378C">
      <w:pPr>
        <w:rPr>
          <w:rFonts w:ascii="Times New Roman" w:eastAsia="Times New Roman" w:hAnsi="Times New Roman" w:cs="Times New Roman"/>
          <w:b/>
          <w:bCs/>
          <w:i/>
          <w:iCs/>
          <w:color w:val="000000" w:themeColor="text1"/>
          <w:sz w:val="26"/>
          <w:szCs w:val="26"/>
          <w:lang w:val="en-US"/>
        </w:rPr>
      </w:pPr>
      <w:r>
        <w:rPr>
          <w:b/>
          <w:bCs/>
          <w:color w:val="000000" w:themeColor="text1"/>
          <w:sz w:val="26"/>
          <w:szCs w:val="26"/>
          <w:lang w:val="en-US"/>
        </w:rPr>
        <w:br w:type="page"/>
      </w:r>
    </w:p>
    <w:p w14:paraId="26A6407E" w14:textId="3F7C1A49" w:rsidR="00EF6E62" w:rsidRPr="003F6924" w:rsidRDefault="00B543E4" w:rsidP="00EF6E62">
      <w:pPr>
        <w:pStyle w:val="af8"/>
        <w:spacing w:after="120" w:line="360" w:lineRule="exact"/>
        <w:jc w:val="both"/>
        <w:rPr>
          <w:color w:val="000000" w:themeColor="text1"/>
          <w:sz w:val="26"/>
          <w:szCs w:val="26"/>
          <w:lang w:val="en-US"/>
        </w:rPr>
      </w:pPr>
      <w:r w:rsidRPr="008E378C">
        <w:rPr>
          <w:b/>
          <w:bCs/>
          <w:i w:val="0"/>
          <w:iCs w:val="0"/>
          <w:color w:val="000000" w:themeColor="text1"/>
          <w:sz w:val="26"/>
          <w:szCs w:val="26"/>
          <w:lang w:val="en-US"/>
        </w:rPr>
        <w:t xml:space="preserve">Table </w:t>
      </w:r>
      <w:r w:rsidRPr="008E378C">
        <w:rPr>
          <w:b/>
          <w:bCs/>
          <w:i w:val="0"/>
          <w:iCs w:val="0"/>
          <w:color w:val="000000" w:themeColor="text1"/>
          <w:sz w:val="26"/>
          <w:szCs w:val="26"/>
          <w:lang w:val="en-US"/>
        </w:rPr>
        <w:fldChar w:fldCharType="begin"/>
      </w:r>
      <w:r w:rsidRPr="008E378C">
        <w:rPr>
          <w:b/>
          <w:bCs/>
          <w:i w:val="0"/>
          <w:iCs w:val="0"/>
          <w:color w:val="000000" w:themeColor="text1"/>
          <w:sz w:val="26"/>
          <w:szCs w:val="26"/>
          <w:lang w:val="en-US"/>
        </w:rPr>
        <w:instrText xml:space="preserve"> SEQ Table \* ARABIC </w:instrText>
      </w:r>
      <w:r w:rsidRPr="008E378C">
        <w:rPr>
          <w:b/>
          <w:bCs/>
          <w:i w:val="0"/>
          <w:iCs w:val="0"/>
          <w:color w:val="000000" w:themeColor="text1"/>
          <w:sz w:val="26"/>
          <w:szCs w:val="26"/>
          <w:lang w:val="en-US"/>
        </w:rPr>
        <w:fldChar w:fldCharType="separate"/>
      </w:r>
      <w:r w:rsidR="0058062D">
        <w:rPr>
          <w:b/>
          <w:bCs/>
          <w:i w:val="0"/>
          <w:iCs w:val="0"/>
          <w:noProof/>
          <w:color w:val="000000" w:themeColor="text1"/>
          <w:sz w:val="26"/>
          <w:szCs w:val="26"/>
          <w:lang w:val="en-US"/>
        </w:rPr>
        <w:t>7</w:t>
      </w:r>
      <w:r w:rsidRPr="008E378C">
        <w:rPr>
          <w:b/>
          <w:bCs/>
          <w:i w:val="0"/>
          <w:iCs w:val="0"/>
          <w:noProof/>
          <w:color w:val="000000" w:themeColor="text1"/>
          <w:sz w:val="26"/>
          <w:szCs w:val="26"/>
          <w:lang w:val="en-US"/>
        </w:rPr>
        <w:fldChar w:fldCharType="end"/>
      </w:r>
      <w:r w:rsidRPr="003F6924">
        <w:rPr>
          <w:color w:val="000000" w:themeColor="text1"/>
          <w:sz w:val="26"/>
          <w:szCs w:val="26"/>
          <w:lang w:val="en-US"/>
        </w:rPr>
        <w:t xml:space="preserve"> Discriminant Validity: </w:t>
      </w:r>
      <w:proofErr w:type="spellStart"/>
      <w:r w:rsidRPr="003F6924">
        <w:rPr>
          <w:color w:val="000000" w:themeColor="text1"/>
          <w:sz w:val="26"/>
          <w:szCs w:val="26"/>
          <w:lang w:val="en-US"/>
        </w:rPr>
        <w:t>Heterotrait-Monotrait</w:t>
      </w:r>
      <w:proofErr w:type="spellEnd"/>
      <w:r w:rsidRPr="003F6924">
        <w:rPr>
          <w:color w:val="000000" w:themeColor="text1"/>
          <w:sz w:val="26"/>
          <w:szCs w:val="26"/>
          <w:lang w:val="en-US"/>
        </w:rPr>
        <w:t xml:space="preserve"> Ratio of Correlations (HTMT)</w:t>
      </w:r>
    </w:p>
    <w:tbl>
      <w:tblPr>
        <w:tblW w:w="0" w:type="auto"/>
        <w:tblBorders>
          <w:top w:val="single" w:sz="4" w:space="0" w:color="auto"/>
          <w:bottom w:val="single" w:sz="4" w:space="0" w:color="auto"/>
        </w:tblBorders>
        <w:tblLook w:val="04A0" w:firstRow="1" w:lastRow="0" w:firstColumn="1" w:lastColumn="0" w:noHBand="0" w:noVBand="1"/>
      </w:tblPr>
      <w:tblGrid>
        <w:gridCol w:w="1072"/>
        <w:gridCol w:w="666"/>
        <w:gridCol w:w="666"/>
        <w:gridCol w:w="666"/>
        <w:gridCol w:w="666"/>
        <w:gridCol w:w="666"/>
        <w:gridCol w:w="666"/>
        <w:gridCol w:w="666"/>
        <w:gridCol w:w="666"/>
        <w:gridCol w:w="666"/>
        <w:gridCol w:w="683"/>
        <w:gridCol w:w="666"/>
        <w:gridCol w:w="628"/>
      </w:tblGrid>
      <w:tr w:rsidR="0046229B" w:rsidRPr="003F6924" w14:paraId="5F195787" w14:textId="77777777" w:rsidTr="005F3932">
        <w:trPr>
          <w:trHeight w:val="340"/>
        </w:trPr>
        <w:tc>
          <w:tcPr>
            <w:tcW w:w="0" w:type="auto"/>
            <w:tcBorders>
              <w:top w:val="single" w:sz="4" w:space="0" w:color="auto"/>
              <w:bottom w:val="single" w:sz="4" w:space="0" w:color="auto"/>
            </w:tcBorders>
            <w:shd w:val="clear" w:color="auto" w:fill="auto"/>
            <w:noWrap/>
            <w:vAlign w:val="center"/>
            <w:hideMark/>
          </w:tcPr>
          <w:p w14:paraId="5304E3EF"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Construct</w:t>
            </w:r>
          </w:p>
        </w:tc>
        <w:tc>
          <w:tcPr>
            <w:tcW w:w="0" w:type="auto"/>
            <w:tcBorders>
              <w:top w:val="single" w:sz="4" w:space="0" w:color="auto"/>
              <w:bottom w:val="single" w:sz="4" w:space="0" w:color="auto"/>
            </w:tcBorders>
            <w:shd w:val="clear" w:color="auto" w:fill="auto"/>
            <w:noWrap/>
            <w:vAlign w:val="center"/>
            <w:hideMark/>
          </w:tcPr>
          <w:p w14:paraId="7DA93092"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DTD</w:t>
            </w:r>
          </w:p>
        </w:tc>
        <w:tc>
          <w:tcPr>
            <w:tcW w:w="0" w:type="auto"/>
            <w:tcBorders>
              <w:top w:val="single" w:sz="4" w:space="0" w:color="auto"/>
              <w:bottom w:val="single" w:sz="4" w:space="0" w:color="auto"/>
            </w:tcBorders>
            <w:shd w:val="clear" w:color="auto" w:fill="auto"/>
            <w:noWrap/>
            <w:vAlign w:val="center"/>
            <w:hideMark/>
          </w:tcPr>
          <w:p w14:paraId="5EB94EB1"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LC</w:t>
            </w:r>
          </w:p>
        </w:tc>
        <w:tc>
          <w:tcPr>
            <w:tcW w:w="0" w:type="auto"/>
            <w:tcBorders>
              <w:top w:val="single" w:sz="4" w:space="0" w:color="auto"/>
              <w:bottom w:val="single" w:sz="4" w:space="0" w:color="auto"/>
            </w:tcBorders>
            <w:shd w:val="clear" w:color="auto" w:fill="auto"/>
            <w:noWrap/>
            <w:vAlign w:val="center"/>
            <w:hideMark/>
          </w:tcPr>
          <w:p w14:paraId="060CCDAC"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DTS</w:t>
            </w:r>
          </w:p>
        </w:tc>
        <w:tc>
          <w:tcPr>
            <w:tcW w:w="0" w:type="auto"/>
            <w:tcBorders>
              <w:top w:val="single" w:sz="4" w:space="0" w:color="auto"/>
              <w:bottom w:val="single" w:sz="4" w:space="0" w:color="auto"/>
            </w:tcBorders>
            <w:shd w:val="clear" w:color="auto" w:fill="auto"/>
            <w:noWrap/>
            <w:vAlign w:val="center"/>
            <w:hideMark/>
          </w:tcPr>
          <w:p w14:paraId="343AEC25"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ECC</w:t>
            </w:r>
          </w:p>
        </w:tc>
        <w:tc>
          <w:tcPr>
            <w:tcW w:w="0" w:type="auto"/>
            <w:tcBorders>
              <w:top w:val="single" w:sz="4" w:space="0" w:color="auto"/>
              <w:bottom w:val="single" w:sz="4" w:space="0" w:color="auto"/>
            </w:tcBorders>
            <w:shd w:val="clear" w:color="auto" w:fill="auto"/>
            <w:noWrap/>
            <w:vAlign w:val="center"/>
            <w:hideMark/>
          </w:tcPr>
          <w:p w14:paraId="538204CF"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BCC</w:t>
            </w:r>
          </w:p>
        </w:tc>
        <w:tc>
          <w:tcPr>
            <w:tcW w:w="0" w:type="auto"/>
            <w:tcBorders>
              <w:top w:val="single" w:sz="4" w:space="0" w:color="auto"/>
              <w:bottom w:val="single" w:sz="4" w:space="0" w:color="auto"/>
            </w:tcBorders>
            <w:shd w:val="clear" w:color="auto" w:fill="auto"/>
            <w:noWrap/>
            <w:vAlign w:val="center"/>
            <w:hideMark/>
          </w:tcPr>
          <w:p w14:paraId="3DFF49F9"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DTP</w:t>
            </w:r>
          </w:p>
        </w:tc>
        <w:tc>
          <w:tcPr>
            <w:tcW w:w="0" w:type="auto"/>
            <w:tcBorders>
              <w:top w:val="single" w:sz="4" w:space="0" w:color="auto"/>
              <w:bottom w:val="single" w:sz="4" w:space="0" w:color="auto"/>
            </w:tcBorders>
            <w:shd w:val="clear" w:color="auto" w:fill="auto"/>
            <w:noWrap/>
            <w:vAlign w:val="center"/>
            <w:hideMark/>
          </w:tcPr>
          <w:p w14:paraId="05C5A7F5"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BFC</w:t>
            </w:r>
          </w:p>
        </w:tc>
        <w:tc>
          <w:tcPr>
            <w:tcW w:w="0" w:type="auto"/>
            <w:tcBorders>
              <w:top w:val="single" w:sz="4" w:space="0" w:color="auto"/>
              <w:bottom w:val="single" w:sz="4" w:space="0" w:color="auto"/>
            </w:tcBorders>
            <w:shd w:val="clear" w:color="auto" w:fill="auto"/>
            <w:noWrap/>
            <w:vAlign w:val="center"/>
            <w:hideMark/>
          </w:tcPr>
          <w:p w14:paraId="0AC914F5"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GDS</w:t>
            </w:r>
          </w:p>
        </w:tc>
        <w:tc>
          <w:tcPr>
            <w:tcW w:w="0" w:type="auto"/>
            <w:tcBorders>
              <w:top w:val="single" w:sz="4" w:space="0" w:color="auto"/>
              <w:bottom w:val="single" w:sz="4" w:space="0" w:color="auto"/>
            </w:tcBorders>
            <w:shd w:val="clear" w:color="auto" w:fill="auto"/>
            <w:noWrap/>
            <w:vAlign w:val="center"/>
            <w:hideMark/>
          </w:tcPr>
          <w:p w14:paraId="5F35C242"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DTC</w:t>
            </w:r>
          </w:p>
        </w:tc>
        <w:tc>
          <w:tcPr>
            <w:tcW w:w="0" w:type="auto"/>
            <w:tcBorders>
              <w:top w:val="single" w:sz="4" w:space="0" w:color="auto"/>
              <w:bottom w:val="single" w:sz="4" w:space="0" w:color="auto"/>
            </w:tcBorders>
            <w:shd w:val="clear" w:color="auto" w:fill="auto"/>
            <w:noWrap/>
            <w:vAlign w:val="center"/>
            <w:hideMark/>
          </w:tcPr>
          <w:p w14:paraId="2C6A5437"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BRM</w:t>
            </w:r>
          </w:p>
        </w:tc>
        <w:tc>
          <w:tcPr>
            <w:tcW w:w="0" w:type="auto"/>
            <w:tcBorders>
              <w:top w:val="single" w:sz="4" w:space="0" w:color="auto"/>
              <w:bottom w:val="single" w:sz="4" w:space="0" w:color="auto"/>
            </w:tcBorders>
            <w:shd w:val="clear" w:color="auto" w:fill="auto"/>
            <w:noWrap/>
            <w:vAlign w:val="center"/>
            <w:hideMark/>
          </w:tcPr>
          <w:p w14:paraId="062D8D96"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BTP</w:t>
            </w:r>
          </w:p>
        </w:tc>
        <w:tc>
          <w:tcPr>
            <w:tcW w:w="242" w:type="dxa"/>
            <w:tcBorders>
              <w:top w:val="single" w:sz="4" w:space="0" w:color="auto"/>
              <w:bottom w:val="single" w:sz="4" w:space="0" w:color="auto"/>
            </w:tcBorders>
            <w:shd w:val="clear" w:color="auto" w:fill="auto"/>
            <w:noWrap/>
            <w:vAlign w:val="center"/>
            <w:hideMark/>
          </w:tcPr>
          <w:p w14:paraId="1C9D7189"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LDT</w:t>
            </w:r>
          </w:p>
        </w:tc>
      </w:tr>
      <w:tr w:rsidR="0046229B" w:rsidRPr="003F6924" w14:paraId="20AD86DC" w14:textId="77777777" w:rsidTr="005F3932">
        <w:trPr>
          <w:trHeight w:val="340"/>
        </w:trPr>
        <w:tc>
          <w:tcPr>
            <w:tcW w:w="0" w:type="auto"/>
            <w:tcBorders>
              <w:top w:val="single" w:sz="4" w:space="0" w:color="auto"/>
            </w:tcBorders>
            <w:shd w:val="clear" w:color="auto" w:fill="auto"/>
            <w:noWrap/>
            <w:vAlign w:val="center"/>
            <w:hideMark/>
          </w:tcPr>
          <w:p w14:paraId="6A3FD02D"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DTD</w:t>
            </w:r>
          </w:p>
        </w:tc>
        <w:tc>
          <w:tcPr>
            <w:tcW w:w="0" w:type="auto"/>
            <w:tcBorders>
              <w:top w:val="single" w:sz="4" w:space="0" w:color="auto"/>
            </w:tcBorders>
            <w:shd w:val="clear" w:color="auto" w:fill="auto"/>
            <w:noWrap/>
            <w:vAlign w:val="center"/>
            <w:hideMark/>
          </w:tcPr>
          <w:p w14:paraId="2D222B09" w14:textId="77777777" w:rsidR="00EF6E62" w:rsidRPr="003F6924" w:rsidRDefault="00EF6E62" w:rsidP="005F3932">
            <w:pPr>
              <w:spacing w:after="0" w:line="240" w:lineRule="auto"/>
              <w:jc w:val="center"/>
              <w:rPr>
                <w:rFonts w:ascii="Times New Roman" w:hAnsi="Times New Roman" w:cs="Times New Roman"/>
                <w:b/>
                <w:bCs/>
                <w:color w:val="000000" w:themeColor="text1"/>
                <w:sz w:val="20"/>
                <w:szCs w:val="20"/>
                <w:lang w:val="en-US"/>
              </w:rPr>
            </w:pPr>
          </w:p>
        </w:tc>
        <w:tc>
          <w:tcPr>
            <w:tcW w:w="0" w:type="auto"/>
            <w:tcBorders>
              <w:top w:val="single" w:sz="4" w:space="0" w:color="auto"/>
            </w:tcBorders>
            <w:shd w:val="clear" w:color="auto" w:fill="auto"/>
            <w:noWrap/>
            <w:vAlign w:val="center"/>
            <w:hideMark/>
          </w:tcPr>
          <w:p w14:paraId="12D9C633"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47954268"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44216C3E"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514265E8"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7B4C57E2"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3AD47ACE"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0477F480"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08EB86CE"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4E9F3812"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tcBorders>
              <w:top w:val="single" w:sz="4" w:space="0" w:color="auto"/>
            </w:tcBorders>
            <w:shd w:val="clear" w:color="auto" w:fill="auto"/>
            <w:noWrap/>
            <w:vAlign w:val="center"/>
            <w:hideMark/>
          </w:tcPr>
          <w:p w14:paraId="4D36DCF6"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242" w:type="dxa"/>
            <w:tcBorders>
              <w:top w:val="single" w:sz="4" w:space="0" w:color="auto"/>
            </w:tcBorders>
            <w:shd w:val="clear" w:color="auto" w:fill="auto"/>
            <w:noWrap/>
            <w:vAlign w:val="center"/>
            <w:hideMark/>
          </w:tcPr>
          <w:p w14:paraId="4CC79BB7"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2B87C5A7" w14:textId="77777777" w:rsidTr="005F3932">
        <w:trPr>
          <w:trHeight w:val="340"/>
        </w:trPr>
        <w:tc>
          <w:tcPr>
            <w:tcW w:w="0" w:type="auto"/>
            <w:shd w:val="clear" w:color="auto" w:fill="auto"/>
            <w:noWrap/>
            <w:vAlign w:val="center"/>
            <w:hideMark/>
          </w:tcPr>
          <w:p w14:paraId="3C1B756C"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LC</w:t>
            </w:r>
          </w:p>
        </w:tc>
        <w:tc>
          <w:tcPr>
            <w:tcW w:w="0" w:type="auto"/>
            <w:shd w:val="clear" w:color="auto" w:fill="auto"/>
            <w:noWrap/>
            <w:vAlign w:val="center"/>
            <w:hideMark/>
          </w:tcPr>
          <w:p w14:paraId="04747F5D"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0.692</w:t>
            </w:r>
          </w:p>
        </w:tc>
        <w:tc>
          <w:tcPr>
            <w:tcW w:w="0" w:type="auto"/>
            <w:shd w:val="clear" w:color="auto" w:fill="auto"/>
            <w:noWrap/>
            <w:vAlign w:val="center"/>
            <w:hideMark/>
          </w:tcPr>
          <w:p w14:paraId="0446BF12"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291CD66E"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525AF8FA"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070E5F72"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4D705CF9"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6AAB9E03"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54D9C5F6"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418C4549"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3D4ACFF8"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7A193DBF"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242" w:type="dxa"/>
            <w:shd w:val="clear" w:color="auto" w:fill="auto"/>
            <w:noWrap/>
            <w:vAlign w:val="center"/>
            <w:hideMark/>
          </w:tcPr>
          <w:p w14:paraId="3562D4BA"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5A02F8B8" w14:textId="77777777" w:rsidTr="005F3932">
        <w:trPr>
          <w:trHeight w:val="340"/>
        </w:trPr>
        <w:tc>
          <w:tcPr>
            <w:tcW w:w="0" w:type="auto"/>
            <w:shd w:val="clear" w:color="auto" w:fill="auto"/>
            <w:noWrap/>
            <w:vAlign w:val="center"/>
            <w:hideMark/>
          </w:tcPr>
          <w:p w14:paraId="12B66898"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DTS</w:t>
            </w:r>
          </w:p>
        </w:tc>
        <w:tc>
          <w:tcPr>
            <w:tcW w:w="0" w:type="auto"/>
            <w:shd w:val="clear" w:color="auto" w:fill="auto"/>
            <w:noWrap/>
            <w:vAlign w:val="center"/>
            <w:hideMark/>
          </w:tcPr>
          <w:p w14:paraId="7AD74949"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0.238</w:t>
            </w:r>
          </w:p>
        </w:tc>
        <w:tc>
          <w:tcPr>
            <w:tcW w:w="0" w:type="auto"/>
            <w:shd w:val="clear" w:color="auto" w:fill="auto"/>
            <w:noWrap/>
            <w:vAlign w:val="center"/>
            <w:hideMark/>
          </w:tcPr>
          <w:p w14:paraId="30236CF5"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0.309</w:t>
            </w:r>
          </w:p>
        </w:tc>
        <w:tc>
          <w:tcPr>
            <w:tcW w:w="0" w:type="auto"/>
            <w:shd w:val="clear" w:color="auto" w:fill="auto"/>
            <w:noWrap/>
            <w:vAlign w:val="center"/>
            <w:hideMark/>
          </w:tcPr>
          <w:p w14:paraId="5A17BB29"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5B73EAA9"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08FE3C46"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1C5B0BF8"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6BE6E7F5"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145D8B0E"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63AC6509"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67ACF903"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71D9D3C2"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242" w:type="dxa"/>
            <w:shd w:val="clear" w:color="auto" w:fill="auto"/>
            <w:noWrap/>
            <w:vAlign w:val="center"/>
            <w:hideMark/>
          </w:tcPr>
          <w:p w14:paraId="4C9DBA5A"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4E5A7D53" w14:textId="77777777" w:rsidTr="005F3932">
        <w:trPr>
          <w:trHeight w:val="340"/>
        </w:trPr>
        <w:tc>
          <w:tcPr>
            <w:tcW w:w="0" w:type="auto"/>
            <w:shd w:val="clear" w:color="auto" w:fill="auto"/>
            <w:noWrap/>
            <w:vAlign w:val="center"/>
            <w:hideMark/>
          </w:tcPr>
          <w:p w14:paraId="3F0C8582"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ECC</w:t>
            </w:r>
          </w:p>
        </w:tc>
        <w:tc>
          <w:tcPr>
            <w:tcW w:w="0" w:type="auto"/>
            <w:shd w:val="clear" w:color="auto" w:fill="auto"/>
            <w:noWrap/>
            <w:vAlign w:val="center"/>
            <w:hideMark/>
          </w:tcPr>
          <w:p w14:paraId="5E6A9DD2"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0.717</w:t>
            </w:r>
          </w:p>
        </w:tc>
        <w:tc>
          <w:tcPr>
            <w:tcW w:w="0" w:type="auto"/>
            <w:shd w:val="clear" w:color="auto" w:fill="auto"/>
            <w:noWrap/>
            <w:vAlign w:val="center"/>
            <w:hideMark/>
          </w:tcPr>
          <w:p w14:paraId="3B357A13"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0.708</w:t>
            </w:r>
          </w:p>
        </w:tc>
        <w:tc>
          <w:tcPr>
            <w:tcW w:w="0" w:type="auto"/>
            <w:shd w:val="clear" w:color="auto" w:fill="auto"/>
            <w:noWrap/>
            <w:vAlign w:val="center"/>
            <w:hideMark/>
          </w:tcPr>
          <w:p w14:paraId="0D98FD40"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0.320</w:t>
            </w:r>
          </w:p>
        </w:tc>
        <w:tc>
          <w:tcPr>
            <w:tcW w:w="0" w:type="auto"/>
            <w:shd w:val="clear" w:color="auto" w:fill="auto"/>
            <w:noWrap/>
            <w:vAlign w:val="center"/>
            <w:hideMark/>
          </w:tcPr>
          <w:p w14:paraId="41384BA1"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27BA2EFD"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2CA96F09"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7B157EEA"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02B2BE43"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1E39CF82"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2ADA666D"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179836EC"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242" w:type="dxa"/>
            <w:shd w:val="clear" w:color="auto" w:fill="auto"/>
            <w:noWrap/>
            <w:vAlign w:val="center"/>
            <w:hideMark/>
          </w:tcPr>
          <w:p w14:paraId="457FAE9C"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3DDF90D3" w14:textId="77777777" w:rsidTr="005F3932">
        <w:trPr>
          <w:trHeight w:val="340"/>
        </w:trPr>
        <w:tc>
          <w:tcPr>
            <w:tcW w:w="0" w:type="auto"/>
            <w:shd w:val="clear" w:color="auto" w:fill="auto"/>
            <w:noWrap/>
            <w:vAlign w:val="center"/>
            <w:hideMark/>
          </w:tcPr>
          <w:p w14:paraId="0086AD27"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BCC</w:t>
            </w:r>
          </w:p>
        </w:tc>
        <w:tc>
          <w:tcPr>
            <w:tcW w:w="0" w:type="auto"/>
            <w:shd w:val="clear" w:color="auto" w:fill="auto"/>
            <w:noWrap/>
            <w:vAlign w:val="center"/>
            <w:hideMark/>
          </w:tcPr>
          <w:p w14:paraId="49AD5608"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0.761</w:t>
            </w:r>
          </w:p>
        </w:tc>
        <w:tc>
          <w:tcPr>
            <w:tcW w:w="0" w:type="auto"/>
            <w:shd w:val="clear" w:color="auto" w:fill="auto"/>
            <w:noWrap/>
            <w:vAlign w:val="center"/>
            <w:hideMark/>
          </w:tcPr>
          <w:p w14:paraId="19CA58D6"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0.772</w:t>
            </w:r>
          </w:p>
        </w:tc>
        <w:tc>
          <w:tcPr>
            <w:tcW w:w="0" w:type="auto"/>
            <w:shd w:val="clear" w:color="auto" w:fill="auto"/>
            <w:noWrap/>
            <w:vAlign w:val="center"/>
            <w:hideMark/>
          </w:tcPr>
          <w:p w14:paraId="02BEC637"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0.313</w:t>
            </w:r>
          </w:p>
        </w:tc>
        <w:tc>
          <w:tcPr>
            <w:tcW w:w="0" w:type="auto"/>
            <w:shd w:val="clear" w:color="auto" w:fill="auto"/>
            <w:noWrap/>
            <w:vAlign w:val="center"/>
            <w:hideMark/>
          </w:tcPr>
          <w:p w14:paraId="6BC6CF7E"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0.723</w:t>
            </w:r>
          </w:p>
        </w:tc>
        <w:tc>
          <w:tcPr>
            <w:tcW w:w="0" w:type="auto"/>
            <w:shd w:val="clear" w:color="auto" w:fill="auto"/>
            <w:noWrap/>
            <w:vAlign w:val="center"/>
            <w:hideMark/>
          </w:tcPr>
          <w:p w14:paraId="451318B9"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08A85D08"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3E05BDFE"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7D569B0D"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7E87437F"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2635500E"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664CF8BC"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242" w:type="dxa"/>
            <w:shd w:val="clear" w:color="auto" w:fill="auto"/>
            <w:noWrap/>
            <w:vAlign w:val="center"/>
            <w:hideMark/>
          </w:tcPr>
          <w:p w14:paraId="31EF215C"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1BCAE5A9" w14:textId="77777777" w:rsidTr="005F3932">
        <w:trPr>
          <w:trHeight w:val="340"/>
        </w:trPr>
        <w:tc>
          <w:tcPr>
            <w:tcW w:w="0" w:type="auto"/>
            <w:shd w:val="clear" w:color="auto" w:fill="auto"/>
            <w:noWrap/>
            <w:vAlign w:val="center"/>
            <w:hideMark/>
          </w:tcPr>
          <w:p w14:paraId="44C3D6A7"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DTP</w:t>
            </w:r>
          </w:p>
        </w:tc>
        <w:tc>
          <w:tcPr>
            <w:tcW w:w="0" w:type="auto"/>
            <w:shd w:val="clear" w:color="auto" w:fill="auto"/>
            <w:noWrap/>
            <w:vAlign w:val="center"/>
            <w:hideMark/>
          </w:tcPr>
          <w:p w14:paraId="280EA301"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0.406</w:t>
            </w:r>
          </w:p>
        </w:tc>
        <w:tc>
          <w:tcPr>
            <w:tcW w:w="0" w:type="auto"/>
            <w:shd w:val="clear" w:color="auto" w:fill="auto"/>
            <w:noWrap/>
            <w:vAlign w:val="center"/>
            <w:hideMark/>
          </w:tcPr>
          <w:p w14:paraId="54902B23"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0.520</w:t>
            </w:r>
          </w:p>
        </w:tc>
        <w:tc>
          <w:tcPr>
            <w:tcW w:w="0" w:type="auto"/>
            <w:shd w:val="clear" w:color="auto" w:fill="auto"/>
            <w:noWrap/>
            <w:vAlign w:val="center"/>
            <w:hideMark/>
          </w:tcPr>
          <w:p w14:paraId="39D3CC62"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0.273</w:t>
            </w:r>
          </w:p>
        </w:tc>
        <w:tc>
          <w:tcPr>
            <w:tcW w:w="0" w:type="auto"/>
            <w:shd w:val="clear" w:color="auto" w:fill="auto"/>
            <w:noWrap/>
            <w:vAlign w:val="center"/>
            <w:hideMark/>
          </w:tcPr>
          <w:p w14:paraId="0D54B04F"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0.505</w:t>
            </w:r>
          </w:p>
        </w:tc>
        <w:tc>
          <w:tcPr>
            <w:tcW w:w="0" w:type="auto"/>
            <w:shd w:val="clear" w:color="auto" w:fill="auto"/>
            <w:noWrap/>
            <w:vAlign w:val="center"/>
            <w:hideMark/>
          </w:tcPr>
          <w:p w14:paraId="04FC7EF9"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0.483</w:t>
            </w:r>
          </w:p>
        </w:tc>
        <w:tc>
          <w:tcPr>
            <w:tcW w:w="0" w:type="auto"/>
            <w:shd w:val="clear" w:color="auto" w:fill="auto"/>
            <w:noWrap/>
            <w:vAlign w:val="center"/>
            <w:hideMark/>
          </w:tcPr>
          <w:p w14:paraId="659FD9BE"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40712C35"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50B9D375"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03F2000E"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75F8D6AD"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66509086"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242" w:type="dxa"/>
            <w:shd w:val="clear" w:color="auto" w:fill="auto"/>
            <w:noWrap/>
            <w:vAlign w:val="center"/>
            <w:hideMark/>
          </w:tcPr>
          <w:p w14:paraId="3BC55140"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75B1C3DE" w14:textId="77777777" w:rsidTr="005F3932">
        <w:trPr>
          <w:trHeight w:val="340"/>
        </w:trPr>
        <w:tc>
          <w:tcPr>
            <w:tcW w:w="0" w:type="auto"/>
            <w:shd w:val="clear" w:color="auto" w:fill="auto"/>
            <w:noWrap/>
            <w:vAlign w:val="center"/>
            <w:hideMark/>
          </w:tcPr>
          <w:p w14:paraId="51D93CF7"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BFC</w:t>
            </w:r>
          </w:p>
        </w:tc>
        <w:tc>
          <w:tcPr>
            <w:tcW w:w="0" w:type="auto"/>
            <w:shd w:val="clear" w:color="auto" w:fill="auto"/>
            <w:noWrap/>
            <w:vAlign w:val="center"/>
            <w:hideMark/>
          </w:tcPr>
          <w:p w14:paraId="1604AEE4"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0.625</w:t>
            </w:r>
          </w:p>
        </w:tc>
        <w:tc>
          <w:tcPr>
            <w:tcW w:w="0" w:type="auto"/>
            <w:shd w:val="clear" w:color="auto" w:fill="auto"/>
            <w:noWrap/>
            <w:vAlign w:val="center"/>
            <w:hideMark/>
          </w:tcPr>
          <w:p w14:paraId="4CB62E87"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0.845</w:t>
            </w:r>
          </w:p>
        </w:tc>
        <w:tc>
          <w:tcPr>
            <w:tcW w:w="0" w:type="auto"/>
            <w:shd w:val="clear" w:color="auto" w:fill="auto"/>
            <w:noWrap/>
            <w:vAlign w:val="center"/>
            <w:hideMark/>
          </w:tcPr>
          <w:p w14:paraId="0423D8BF"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0.255</w:t>
            </w:r>
          </w:p>
        </w:tc>
        <w:tc>
          <w:tcPr>
            <w:tcW w:w="0" w:type="auto"/>
            <w:shd w:val="clear" w:color="auto" w:fill="auto"/>
            <w:noWrap/>
            <w:vAlign w:val="center"/>
            <w:hideMark/>
          </w:tcPr>
          <w:p w14:paraId="6E3ED9D8"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0.619</w:t>
            </w:r>
          </w:p>
        </w:tc>
        <w:tc>
          <w:tcPr>
            <w:tcW w:w="0" w:type="auto"/>
            <w:shd w:val="clear" w:color="auto" w:fill="auto"/>
            <w:noWrap/>
            <w:vAlign w:val="center"/>
            <w:hideMark/>
          </w:tcPr>
          <w:p w14:paraId="7C383817"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0.772</w:t>
            </w:r>
          </w:p>
        </w:tc>
        <w:tc>
          <w:tcPr>
            <w:tcW w:w="0" w:type="auto"/>
            <w:shd w:val="clear" w:color="auto" w:fill="auto"/>
            <w:noWrap/>
            <w:vAlign w:val="center"/>
            <w:hideMark/>
          </w:tcPr>
          <w:p w14:paraId="13CCB7AE"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0.433</w:t>
            </w:r>
          </w:p>
        </w:tc>
        <w:tc>
          <w:tcPr>
            <w:tcW w:w="0" w:type="auto"/>
            <w:shd w:val="clear" w:color="auto" w:fill="auto"/>
            <w:noWrap/>
            <w:vAlign w:val="center"/>
            <w:hideMark/>
          </w:tcPr>
          <w:p w14:paraId="2FAF424A"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718ECD92"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0E715F31"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2E5D85BC"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54E05A35"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242" w:type="dxa"/>
            <w:shd w:val="clear" w:color="auto" w:fill="auto"/>
            <w:noWrap/>
            <w:vAlign w:val="center"/>
            <w:hideMark/>
          </w:tcPr>
          <w:p w14:paraId="3DF18616"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78C6FB98" w14:textId="77777777" w:rsidTr="005F3932">
        <w:trPr>
          <w:trHeight w:val="340"/>
        </w:trPr>
        <w:tc>
          <w:tcPr>
            <w:tcW w:w="0" w:type="auto"/>
            <w:shd w:val="clear" w:color="auto" w:fill="auto"/>
            <w:noWrap/>
            <w:vAlign w:val="center"/>
            <w:hideMark/>
          </w:tcPr>
          <w:p w14:paraId="3FB41F99"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GDS</w:t>
            </w:r>
          </w:p>
        </w:tc>
        <w:tc>
          <w:tcPr>
            <w:tcW w:w="0" w:type="auto"/>
            <w:shd w:val="clear" w:color="auto" w:fill="auto"/>
            <w:noWrap/>
            <w:vAlign w:val="center"/>
            <w:hideMark/>
          </w:tcPr>
          <w:p w14:paraId="7C2D0579"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0.677</w:t>
            </w:r>
          </w:p>
        </w:tc>
        <w:tc>
          <w:tcPr>
            <w:tcW w:w="0" w:type="auto"/>
            <w:shd w:val="clear" w:color="auto" w:fill="auto"/>
            <w:noWrap/>
            <w:vAlign w:val="center"/>
            <w:hideMark/>
          </w:tcPr>
          <w:p w14:paraId="6637EB71"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0.577</w:t>
            </w:r>
          </w:p>
        </w:tc>
        <w:tc>
          <w:tcPr>
            <w:tcW w:w="0" w:type="auto"/>
            <w:shd w:val="clear" w:color="auto" w:fill="auto"/>
            <w:noWrap/>
            <w:vAlign w:val="center"/>
            <w:hideMark/>
          </w:tcPr>
          <w:p w14:paraId="0A502AE4"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0.221</w:t>
            </w:r>
          </w:p>
        </w:tc>
        <w:tc>
          <w:tcPr>
            <w:tcW w:w="0" w:type="auto"/>
            <w:shd w:val="clear" w:color="auto" w:fill="auto"/>
            <w:noWrap/>
            <w:vAlign w:val="center"/>
            <w:hideMark/>
          </w:tcPr>
          <w:p w14:paraId="408A2254"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0.495</w:t>
            </w:r>
          </w:p>
        </w:tc>
        <w:tc>
          <w:tcPr>
            <w:tcW w:w="0" w:type="auto"/>
            <w:shd w:val="clear" w:color="auto" w:fill="auto"/>
            <w:noWrap/>
            <w:vAlign w:val="center"/>
            <w:hideMark/>
          </w:tcPr>
          <w:p w14:paraId="0E53BE85"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0.613</w:t>
            </w:r>
          </w:p>
        </w:tc>
        <w:tc>
          <w:tcPr>
            <w:tcW w:w="0" w:type="auto"/>
            <w:shd w:val="clear" w:color="auto" w:fill="auto"/>
            <w:noWrap/>
            <w:vAlign w:val="center"/>
            <w:hideMark/>
          </w:tcPr>
          <w:p w14:paraId="3DC0AB2A"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0.242</w:t>
            </w:r>
          </w:p>
        </w:tc>
        <w:tc>
          <w:tcPr>
            <w:tcW w:w="0" w:type="auto"/>
            <w:shd w:val="clear" w:color="auto" w:fill="auto"/>
            <w:noWrap/>
            <w:vAlign w:val="center"/>
            <w:hideMark/>
          </w:tcPr>
          <w:p w14:paraId="2373429A"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0.529</w:t>
            </w:r>
          </w:p>
        </w:tc>
        <w:tc>
          <w:tcPr>
            <w:tcW w:w="0" w:type="auto"/>
            <w:shd w:val="clear" w:color="auto" w:fill="auto"/>
            <w:noWrap/>
            <w:vAlign w:val="center"/>
            <w:hideMark/>
          </w:tcPr>
          <w:p w14:paraId="17CEC758"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72C233B0"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1F45D409"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54E422BA"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242" w:type="dxa"/>
            <w:shd w:val="clear" w:color="auto" w:fill="auto"/>
            <w:noWrap/>
            <w:vAlign w:val="center"/>
            <w:hideMark/>
          </w:tcPr>
          <w:p w14:paraId="4F152205"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65CD667E" w14:textId="77777777" w:rsidTr="005F3932">
        <w:trPr>
          <w:trHeight w:val="340"/>
        </w:trPr>
        <w:tc>
          <w:tcPr>
            <w:tcW w:w="0" w:type="auto"/>
            <w:shd w:val="clear" w:color="auto" w:fill="auto"/>
            <w:noWrap/>
            <w:vAlign w:val="center"/>
            <w:hideMark/>
          </w:tcPr>
          <w:p w14:paraId="04AEF800"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DTC</w:t>
            </w:r>
          </w:p>
        </w:tc>
        <w:tc>
          <w:tcPr>
            <w:tcW w:w="0" w:type="auto"/>
            <w:shd w:val="clear" w:color="auto" w:fill="auto"/>
            <w:noWrap/>
            <w:vAlign w:val="center"/>
            <w:hideMark/>
          </w:tcPr>
          <w:p w14:paraId="476CBC31"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0.758</w:t>
            </w:r>
          </w:p>
        </w:tc>
        <w:tc>
          <w:tcPr>
            <w:tcW w:w="0" w:type="auto"/>
            <w:shd w:val="clear" w:color="auto" w:fill="auto"/>
            <w:noWrap/>
            <w:vAlign w:val="center"/>
            <w:hideMark/>
          </w:tcPr>
          <w:p w14:paraId="317C7360"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0.846</w:t>
            </w:r>
          </w:p>
        </w:tc>
        <w:tc>
          <w:tcPr>
            <w:tcW w:w="0" w:type="auto"/>
            <w:shd w:val="clear" w:color="auto" w:fill="auto"/>
            <w:noWrap/>
            <w:vAlign w:val="center"/>
            <w:hideMark/>
          </w:tcPr>
          <w:p w14:paraId="0E62FFF9"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0.439</w:t>
            </w:r>
          </w:p>
        </w:tc>
        <w:tc>
          <w:tcPr>
            <w:tcW w:w="0" w:type="auto"/>
            <w:shd w:val="clear" w:color="auto" w:fill="auto"/>
            <w:noWrap/>
            <w:vAlign w:val="center"/>
            <w:hideMark/>
          </w:tcPr>
          <w:p w14:paraId="07029B9F"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0.790</w:t>
            </w:r>
          </w:p>
        </w:tc>
        <w:tc>
          <w:tcPr>
            <w:tcW w:w="0" w:type="auto"/>
            <w:shd w:val="clear" w:color="auto" w:fill="auto"/>
            <w:noWrap/>
            <w:vAlign w:val="center"/>
            <w:hideMark/>
          </w:tcPr>
          <w:p w14:paraId="0A18E407"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0.787</w:t>
            </w:r>
          </w:p>
        </w:tc>
        <w:tc>
          <w:tcPr>
            <w:tcW w:w="0" w:type="auto"/>
            <w:shd w:val="clear" w:color="auto" w:fill="auto"/>
            <w:noWrap/>
            <w:vAlign w:val="center"/>
            <w:hideMark/>
          </w:tcPr>
          <w:p w14:paraId="77F09C08"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0.619</w:t>
            </w:r>
          </w:p>
        </w:tc>
        <w:tc>
          <w:tcPr>
            <w:tcW w:w="0" w:type="auto"/>
            <w:shd w:val="clear" w:color="auto" w:fill="auto"/>
            <w:noWrap/>
            <w:vAlign w:val="center"/>
            <w:hideMark/>
          </w:tcPr>
          <w:p w14:paraId="649EE7A6"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0.750</w:t>
            </w:r>
          </w:p>
        </w:tc>
        <w:tc>
          <w:tcPr>
            <w:tcW w:w="0" w:type="auto"/>
            <w:shd w:val="clear" w:color="auto" w:fill="auto"/>
            <w:noWrap/>
            <w:vAlign w:val="center"/>
            <w:hideMark/>
          </w:tcPr>
          <w:p w14:paraId="3F29B82D"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0.546</w:t>
            </w:r>
          </w:p>
        </w:tc>
        <w:tc>
          <w:tcPr>
            <w:tcW w:w="0" w:type="auto"/>
            <w:shd w:val="clear" w:color="auto" w:fill="auto"/>
            <w:noWrap/>
            <w:vAlign w:val="center"/>
            <w:hideMark/>
          </w:tcPr>
          <w:p w14:paraId="3E8B6D44"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05EB9828"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3A38F0D3"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242" w:type="dxa"/>
            <w:shd w:val="clear" w:color="auto" w:fill="auto"/>
            <w:noWrap/>
            <w:vAlign w:val="center"/>
            <w:hideMark/>
          </w:tcPr>
          <w:p w14:paraId="357BB4A1"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314AC291" w14:textId="77777777" w:rsidTr="005F3932">
        <w:trPr>
          <w:trHeight w:val="340"/>
        </w:trPr>
        <w:tc>
          <w:tcPr>
            <w:tcW w:w="0" w:type="auto"/>
            <w:shd w:val="clear" w:color="auto" w:fill="auto"/>
            <w:noWrap/>
            <w:vAlign w:val="center"/>
            <w:hideMark/>
          </w:tcPr>
          <w:p w14:paraId="13E1E018"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BRM</w:t>
            </w:r>
          </w:p>
        </w:tc>
        <w:tc>
          <w:tcPr>
            <w:tcW w:w="0" w:type="auto"/>
            <w:shd w:val="clear" w:color="auto" w:fill="auto"/>
            <w:noWrap/>
            <w:vAlign w:val="center"/>
            <w:hideMark/>
          </w:tcPr>
          <w:p w14:paraId="5B5EB6E8"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0.253</w:t>
            </w:r>
          </w:p>
        </w:tc>
        <w:tc>
          <w:tcPr>
            <w:tcW w:w="0" w:type="auto"/>
            <w:shd w:val="clear" w:color="auto" w:fill="auto"/>
            <w:noWrap/>
            <w:vAlign w:val="center"/>
            <w:hideMark/>
          </w:tcPr>
          <w:p w14:paraId="5B9BD957"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0.091</w:t>
            </w:r>
          </w:p>
        </w:tc>
        <w:tc>
          <w:tcPr>
            <w:tcW w:w="0" w:type="auto"/>
            <w:shd w:val="clear" w:color="auto" w:fill="auto"/>
            <w:noWrap/>
            <w:vAlign w:val="center"/>
            <w:hideMark/>
          </w:tcPr>
          <w:p w14:paraId="04EDD080"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0.033</w:t>
            </w:r>
          </w:p>
        </w:tc>
        <w:tc>
          <w:tcPr>
            <w:tcW w:w="0" w:type="auto"/>
            <w:shd w:val="clear" w:color="auto" w:fill="auto"/>
            <w:noWrap/>
            <w:vAlign w:val="center"/>
            <w:hideMark/>
          </w:tcPr>
          <w:p w14:paraId="32647593"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0.123</w:t>
            </w:r>
          </w:p>
        </w:tc>
        <w:tc>
          <w:tcPr>
            <w:tcW w:w="0" w:type="auto"/>
            <w:shd w:val="clear" w:color="auto" w:fill="auto"/>
            <w:noWrap/>
            <w:vAlign w:val="center"/>
            <w:hideMark/>
          </w:tcPr>
          <w:p w14:paraId="52FF4F49"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0.223</w:t>
            </w:r>
          </w:p>
        </w:tc>
        <w:tc>
          <w:tcPr>
            <w:tcW w:w="0" w:type="auto"/>
            <w:shd w:val="clear" w:color="auto" w:fill="auto"/>
            <w:noWrap/>
            <w:vAlign w:val="center"/>
            <w:hideMark/>
          </w:tcPr>
          <w:p w14:paraId="279176EB"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0.009</w:t>
            </w:r>
          </w:p>
        </w:tc>
        <w:tc>
          <w:tcPr>
            <w:tcW w:w="0" w:type="auto"/>
            <w:shd w:val="clear" w:color="auto" w:fill="auto"/>
            <w:noWrap/>
            <w:vAlign w:val="center"/>
            <w:hideMark/>
          </w:tcPr>
          <w:p w14:paraId="128BCF38"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0.121</w:t>
            </w:r>
          </w:p>
        </w:tc>
        <w:tc>
          <w:tcPr>
            <w:tcW w:w="0" w:type="auto"/>
            <w:shd w:val="clear" w:color="auto" w:fill="auto"/>
            <w:noWrap/>
            <w:vAlign w:val="center"/>
            <w:hideMark/>
          </w:tcPr>
          <w:p w14:paraId="18995384"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0.256</w:t>
            </w:r>
          </w:p>
        </w:tc>
        <w:tc>
          <w:tcPr>
            <w:tcW w:w="0" w:type="auto"/>
            <w:shd w:val="clear" w:color="auto" w:fill="auto"/>
            <w:noWrap/>
            <w:vAlign w:val="center"/>
            <w:hideMark/>
          </w:tcPr>
          <w:p w14:paraId="4D259CF5"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0.049</w:t>
            </w:r>
          </w:p>
        </w:tc>
        <w:tc>
          <w:tcPr>
            <w:tcW w:w="0" w:type="auto"/>
            <w:shd w:val="clear" w:color="auto" w:fill="auto"/>
            <w:noWrap/>
            <w:vAlign w:val="center"/>
            <w:hideMark/>
          </w:tcPr>
          <w:p w14:paraId="37035113"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0" w:type="auto"/>
            <w:shd w:val="clear" w:color="auto" w:fill="auto"/>
            <w:noWrap/>
            <w:vAlign w:val="center"/>
            <w:hideMark/>
          </w:tcPr>
          <w:p w14:paraId="154A193A"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242" w:type="dxa"/>
            <w:shd w:val="clear" w:color="auto" w:fill="auto"/>
            <w:noWrap/>
            <w:vAlign w:val="center"/>
            <w:hideMark/>
          </w:tcPr>
          <w:p w14:paraId="56B678F2"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1DF37169" w14:textId="77777777" w:rsidTr="005F3932">
        <w:trPr>
          <w:trHeight w:val="340"/>
        </w:trPr>
        <w:tc>
          <w:tcPr>
            <w:tcW w:w="0" w:type="auto"/>
            <w:shd w:val="clear" w:color="auto" w:fill="auto"/>
            <w:noWrap/>
            <w:vAlign w:val="center"/>
            <w:hideMark/>
          </w:tcPr>
          <w:p w14:paraId="1C1708AC"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BTP</w:t>
            </w:r>
          </w:p>
        </w:tc>
        <w:tc>
          <w:tcPr>
            <w:tcW w:w="0" w:type="auto"/>
            <w:shd w:val="clear" w:color="auto" w:fill="auto"/>
            <w:noWrap/>
            <w:vAlign w:val="center"/>
            <w:hideMark/>
          </w:tcPr>
          <w:p w14:paraId="3AB479B7"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0.617</w:t>
            </w:r>
          </w:p>
        </w:tc>
        <w:tc>
          <w:tcPr>
            <w:tcW w:w="0" w:type="auto"/>
            <w:shd w:val="clear" w:color="auto" w:fill="auto"/>
            <w:noWrap/>
            <w:vAlign w:val="center"/>
            <w:hideMark/>
          </w:tcPr>
          <w:p w14:paraId="38AE230B"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0.714</w:t>
            </w:r>
          </w:p>
        </w:tc>
        <w:tc>
          <w:tcPr>
            <w:tcW w:w="0" w:type="auto"/>
            <w:shd w:val="clear" w:color="auto" w:fill="auto"/>
            <w:noWrap/>
            <w:vAlign w:val="center"/>
            <w:hideMark/>
          </w:tcPr>
          <w:p w14:paraId="0B83345E"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0.267</w:t>
            </w:r>
          </w:p>
        </w:tc>
        <w:tc>
          <w:tcPr>
            <w:tcW w:w="0" w:type="auto"/>
            <w:shd w:val="clear" w:color="auto" w:fill="auto"/>
            <w:noWrap/>
            <w:vAlign w:val="center"/>
            <w:hideMark/>
          </w:tcPr>
          <w:p w14:paraId="437CA5AF"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0.685</w:t>
            </w:r>
          </w:p>
        </w:tc>
        <w:tc>
          <w:tcPr>
            <w:tcW w:w="0" w:type="auto"/>
            <w:shd w:val="clear" w:color="auto" w:fill="auto"/>
            <w:noWrap/>
            <w:vAlign w:val="center"/>
            <w:hideMark/>
          </w:tcPr>
          <w:p w14:paraId="1FECF282"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0.736</w:t>
            </w:r>
          </w:p>
        </w:tc>
        <w:tc>
          <w:tcPr>
            <w:tcW w:w="0" w:type="auto"/>
            <w:shd w:val="clear" w:color="auto" w:fill="auto"/>
            <w:noWrap/>
            <w:vAlign w:val="center"/>
            <w:hideMark/>
          </w:tcPr>
          <w:p w14:paraId="60202716"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0.516</w:t>
            </w:r>
          </w:p>
        </w:tc>
        <w:tc>
          <w:tcPr>
            <w:tcW w:w="0" w:type="auto"/>
            <w:shd w:val="clear" w:color="auto" w:fill="auto"/>
            <w:noWrap/>
            <w:vAlign w:val="center"/>
            <w:hideMark/>
          </w:tcPr>
          <w:p w14:paraId="4C886A3B"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0.611</w:t>
            </w:r>
          </w:p>
        </w:tc>
        <w:tc>
          <w:tcPr>
            <w:tcW w:w="0" w:type="auto"/>
            <w:shd w:val="clear" w:color="auto" w:fill="auto"/>
            <w:noWrap/>
            <w:vAlign w:val="center"/>
            <w:hideMark/>
          </w:tcPr>
          <w:p w14:paraId="28604136"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0.492</w:t>
            </w:r>
          </w:p>
        </w:tc>
        <w:tc>
          <w:tcPr>
            <w:tcW w:w="0" w:type="auto"/>
            <w:shd w:val="clear" w:color="auto" w:fill="auto"/>
            <w:noWrap/>
            <w:vAlign w:val="center"/>
            <w:hideMark/>
          </w:tcPr>
          <w:p w14:paraId="0FB27E0D"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0.808</w:t>
            </w:r>
          </w:p>
        </w:tc>
        <w:tc>
          <w:tcPr>
            <w:tcW w:w="0" w:type="auto"/>
            <w:shd w:val="clear" w:color="auto" w:fill="auto"/>
            <w:noWrap/>
            <w:vAlign w:val="center"/>
            <w:hideMark/>
          </w:tcPr>
          <w:p w14:paraId="4D9A6C7F"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0.102</w:t>
            </w:r>
          </w:p>
        </w:tc>
        <w:tc>
          <w:tcPr>
            <w:tcW w:w="0" w:type="auto"/>
            <w:shd w:val="clear" w:color="auto" w:fill="auto"/>
            <w:noWrap/>
            <w:vAlign w:val="center"/>
            <w:hideMark/>
          </w:tcPr>
          <w:p w14:paraId="384131AF"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c>
          <w:tcPr>
            <w:tcW w:w="242" w:type="dxa"/>
            <w:shd w:val="clear" w:color="auto" w:fill="auto"/>
            <w:noWrap/>
            <w:vAlign w:val="center"/>
            <w:hideMark/>
          </w:tcPr>
          <w:p w14:paraId="381BCF7B"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r w:rsidR="0046229B" w:rsidRPr="003F6924" w14:paraId="47E8D258" w14:textId="77777777" w:rsidTr="005F3932">
        <w:trPr>
          <w:trHeight w:val="340"/>
        </w:trPr>
        <w:tc>
          <w:tcPr>
            <w:tcW w:w="0" w:type="auto"/>
            <w:shd w:val="clear" w:color="auto" w:fill="auto"/>
            <w:noWrap/>
            <w:vAlign w:val="center"/>
            <w:hideMark/>
          </w:tcPr>
          <w:p w14:paraId="1F5286D0" w14:textId="77777777" w:rsidR="00EF6E62" w:rsidRPr="003F6924" w:rsidRDefault="00B543E4" w:rsidP="005F3932">
            <w:pPr>
              <w:spacing w:after="0" w:line="240" w:lineRule="auto"/>
              <w:jc w:val="center"/>
              <w:rPr>
                <w:rFonts w:ascii="Times New Roman" w:hAnsi="Times New Roman" w:cs="Times New Roman"/>
                <w:b/>
                <w:bCs/>
                <w:color w:val="000000" w:themeColor="text1"/>
                <w:sz w:val="20"/>
                <w:szCs w:val="20"/>
                <w:lang w:val="en-US"/>
              </w:rPr>
            </w:pPr>
            <w:r w:rsidRPr="003F6924">
              <w:rPr>
                <w:rFonts w:ascii="Times New Roman" w:hAnsi="Times New Roman" w:cs="Times New Roman"/>
                <w:b/>
                <w:bCs/>
                <w:color w:val="000000" w:themeColor="text1"/>
                <w:sz w:val="20"/>
                <w:szCs w:val="20"/>
                <w:lang w:val="en-US"/>
              </w:rPr>
              <w:t>LDT</w:t>
            </w:r>
          </w:p>
        </w:tc>
        <w:tc>
          <w:tcPr>
            <w:tcW w:w="0" w:type="auto"/>
            <w:shd w:val="clear" w:color="auto" w:fill="auto"/>
            <w:noWrap/>
            <w:vAlign w:val="center"/>
            <w:hideMark/>
          </w:tcPr>
          <w:p w14:paraId="3C0A9FD9"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0.430</w:t>
            </w:r>
          </w:p>
        </w:tc>
        <w:tc>
          <w:tcPr>
            <w:tcW w:w="0" w:type="auto"/>
            <w:shd w:val="clear" w:color="auto" w:fill="auto"/>
            <w:noWrap/>
            <w:vAlign w:val="center"/>
            <w:hideMark/>
          </w:tcPr>
          <w:p w14:paraId="7EA309D7"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0.493</w:t>
            </w:r>
          </w:p>
        </w:tc>
        <w:tc>
          <w:tcPr>
            <w:tcW w:w="0" w:type="auto"/>
            <w:shd w:val="clear" w:color="auto" w:fill="auto"/>
            <w:noWrap/>
            <w:vAlign w:val="center"/>
            <w:hideMark/>
          </w:tcPr>
          <w:p w14:paraId="4FBD7E48"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0.263</w:t>
            </w:r>
          </w:p>
        </w:tc>
        <w:tc>
          <w:tcPr>
            <w:tcW w:w="0" w:type="auto"/>
            <w:shd w:val="clear" w:color="auto" w:fill="auto"/>
            <w:noWrap/>
            <w:vAlign w:val="center"/>
            <w:hideMark/>
          </w:tcPr>
          <w:p w14:paraId="33A26FB1"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0.441</w:t>
            </w:r>
          </w:p>
        </w:tc>
        <w:tc>
          <w:tcPr>
            <w:tcW w:w="0" w:type="auto"/>
            <w:shd w:val="clear" w:color="auto" w:fill="auto"/>
            <w:noWrap/>
            <w:vAlign w:val="center"/>
            <w:hideMark/>
          </w:tcPr>
          <w:p w14:paraId="79A3A37A"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0.458</w:t>
            </w:r>
          </w:p>
        </w:tc>
        <w:tc>
          <w:tcPr>
            <w:tcW w:w="0" w:type="auto"/>
            <w:shd w:val="clear" w:color="auto" w:fill="auto"/>
            <w:noWrap/>
            <w:vAlign w:val="center"/>
            <w:hideMark/>
          </w:tcPr>
          <w:p w14:paraId="15C378C8"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0.381</w:t>
            </w:r>
          </w:p>
        </w:tc>
        <w:tc>
          <w:tcPr>
            <w:tcW w:w="0" w:type="auto"/>
            <w:shd w:val="clear" w:color="auto" w:fill="auto"/>
            <w:noWrap/>
            <w:vAlign w:val="center"/>
            <w:hideMark/>
          </w:tcPr>
          <w:p w14:paraId="06FD5512"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0.452</w:t>
            </w:r>
          </w:p>
        </w:tc>
        <w:tc>
          <w:tcPr>
            <w:tcW w:w="0" w:type="auto"/>
            <w:shd w:val="clear" w:color="auto" w:fill="auto"/>
            <w:noWrap/>
            <w:vAlign w:val="center"/>
            <w:hideMark/>
          </w:tcPr>
          <w:p w14:paraId="3FB540CC"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0.324</w:t>
            </w:r>
          </w:p>
        </w:tc>
        <w:tc>
          <w:tcPr>
            <w:tcW w:w="0" w:type="auto"/>
            <w:shd w:val="clear" w:color="auto" w:fill="auto"/>
            <w:noWrap/>
            <w:vAlign w:val="center"/>
            <w:hideMark/>
          </w:tcPr>
          <w:p w14:paraId="2783A0DC"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0.552</w:t>
            </w:r>
          </w:p>
        </w:tc>
        <w:tc>
          <w:tcPr>
            <w:tcW w:w="0" w:type="auto"/>
            <w:shd w:val="clear" w:color="auto" w:fill="auto"/>
            <w:noWrap/>
            <w:vAlign w:val="center"/>
            <w:hideMark/>
          </w:tcPr>
          <w:p w14:paraId="7FBEEE16"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0.150</w:t>
            </w:r>
          </w:p>
        </w:tc>
        <w:tc>
          <w:tcPr>
            <w:tcW w:w="0" w:type="auto"/>
            <w:shd w:val="clear" w:color="auto" w:fill="auto"/>
            <w:noWrap/>
            <w:vAlign w:val="center"/>
            <w:hideMark/>
          </w:tcPr>
          <w:p w14:paraId="5AC0BDD9" w14:textId="77777777" w:rsidR="00EF6E62" w:rsidRPr="003F6924" w:rsidRDefault="00B543E4" w:rsidP="005F3932">
            <w:pPr>
              <w:spacing w:after="0" w:line="240" w:lineRule="auto"/>
              <w:jc w:val="center"/>
              <w:rPr>
                <w:rFonts w:ascii="Times New Roman" w:hAnsi="Times New Roman" w:cs="Times New Roman"/>
                <w:color w:val="000000" w:themeColor="text1"/>
                <w:sz w:val="20"/>
                <w:szCs w:val="20"/>
                <w:lang w:val="en-US"/>
              </w:rPr>
            </w:pPr>
            <w:r w:rsidRPr="003F6924">
              <w:rPr>
                <w:rFonts w:ascii="Times New Roman" w:hAnsi="Times New Roman" w:cs="Times New Roman"/>
                <w:color w:val="000000" w:themeColor="text1"/>
                <w:sz w:val="20"/>
                <w:szCs w:val="20"/>
                <w:lang w:val="en-US"/>
              </w:rPr>
              <w:t>0.450</w:t>
            </w:r>
          </w:p>
        </w:tc>
        <w:tc>
          <w:tcPr>
            <w:tcW w:w="242" w:type="dxa"/>
            <w:shd w:val="clear" w:color="auto" w:fill="auto"/>
            <w:noWrap/>
            <w:vAlign w:val="center"/>
            <w:hideMark/>
          </w:tcPr>
          <w:p w14:paraId="2F40116A" w14:textId="77777777" w:rsidR="00EF6E62" w:rsidRPr="003F6924" w:rsidRDefault="00EF6E62" w:rsidP="005F3932">
            <w:pPr>
              <w:spacing w:after="0" w:line="240" w:lineRule="auto"/>
              <w:jc w:val="center"/>
              <w:rPr>
                <w:rFonts w:ascii="Times New Roman" w:hAnsi="Times New Roman" w:cs="Times New Roman"/>
                <w:color w:val="000000" w:themeColor="text1"/>
                <w:sz w:val="20"/>
                <w:szCs w:val="20"/>
                <w:lang w:val="en-US"/>
              </w:rPr>
            </w:pPr>
          </w:p>
        </w:tc>
      </w:tr>
    </w:tbl>
    <w:p w14:paraId="6D85CC91" w14:textId="77777777" w:rsidR="00794E60" w:rsidRPr="003F6924" w:rsidRDefault="00794E60" w:rsidP="000A240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49DA54B5" w14:textId="328AAE04" w:rsidR="00EF6E62" w:rsidRPr="003F6924" w:rsidRDefault="00B543E4" w:rsidP="000A240D">
      <w:pPr>
        <w:adjustRightInd w:val="0"/>
        <w:snapToGrid w:val="0"/>
        <w:spacing w:after="0" w:line="300" w:lineRule="auto"/>
        <w:ind w:firstLineChars="200" w:firstLine="520"/>
        <w:jc w:val="both"/>
        <w:rPr>
          <w:rFonts w:ascii="Times New Roman" w:hAnsi="Times New Roman" w:cs="Times New Roman"/>
          <w:color w:val="000000" w:themeColor="text1"/>
          <w:sz w:val="26"/>
          <w:lang w:val="en-US"/>
        </w:rPr>
      </w:pPr>
      <w:r w:rsidRPr="003F6924">
        <w:rPr>
          <w:rFonts w:ascii="Times New Roman" w:hAnsi="Times New Roman" w:cs="Times New Roman"/>
          <w:color w:val="000000" w:themeColor="text1"/>
          <w:sz w:val="26"/>
          <w:szCs w:val="26"/>
          <w:lang w:val="en-US"/>
        </w:rPr>
        <w:t xml:space="preserve">Table </w:t>
      </w:r>
      <w:r w:rsidR="00071B69" w:rsidRPr="003F6924">
        <w:rPr>
          <w:rFonts w:ascii="Times New Roman" w:hAnsi="Times New Roman" w:cs="Times New Roman"/>
          <w:color w:val="000000" w:themeColor="text1"/>
          <w:sz w:val="26"/>
          <w:szCs w:val="26"/>
          <w:lang w:val="en-US"/>
        </w:rPr>
        <w:t>7</w:t>
      </w:r>
      <w:r w:rsidRPr="003F6924">
        <w:rPr>
          <w:rFonts w:ascii="Times New Roman" w:hAnsi="Times New Roman" w:cs="Times New Roman"/>
          <w:color w:val="000000" w:themeColor="text1"/>
          <w:sz w:val="26"/>
          <w:szCs w:val="26"/>
          <w:lang w:val="en-US"/>
        </w:rPr>
        <w:t xml:space="preserve"> presents the HTMT results. </w:t>
      </w:r>
      <w:r w:rsidR="00EE482D" w:rsidRPr="003F6924">
        <w:rPr>
          <w:rFonts w:ascii="Times New Roman" w:hAnsi="Times New Roman" w:cs="Times New Roman"/>
          <w:color w:val="000000" w:themeColor="text1"/>
          <w:sz w:val="26"/>
          <w:szCs w:val="26"/>
          <w:lang w:val="en-US"/>
        </w:rPr>
        <w:t>Accordingly, all values were below the 0.85 threshold and statistically less than 1, based on 95th-percentile bootstrap confidence intervals, confirming the absence of multicollinearity.</w:t>
      </w:r>
      <w:r w:rsidRPr="003F6924">
        <w:rPr>
          <w:rFonts w:ascii="Times New Roman" w:hAnsi="Times New Roman" w:cs="Times New Roman"/>
          <w:color w:val="000000" w:themeColor="text1"/>
          <w:sz w:val="26"/>
          <w:szCs w:val="26"/>
          <w:lang w:val="en-US"/>
        </w:rPr>
        <w:t xml:space="preserve"> Therefore, the results conclude that discriminant validity is ensured. </w:t>
      </w:r>
    </w:p>
    <w:p w14:paraId="57F07C51" w14:textId="77777777" w:rsidR="00743FD5" w:rsidRPr="003F6924" w:rsidRDefault="00743FD5" w:rsidP="000A240D">
      <w:pPr>
        <w:adjustRightInd w:val="0"/>
        <w:snapToGrid w:val="0"/>
        <w:spacing w:after="0" w:line="300" w:lineRule="auto"/>
        <w:ind w:firstLineChars="200" w:firstLine="520"/>
        <w:jc w:val="both"/>
        <w:rPr>
          <w:rFonts w:ascii="Times New Roman" w:hAnsi="Times New Roman" w:cs="Times New Roman"/>
          <w:color w:val="000000" w:themeColor="text1"/>
          <w:sz w:val="26"/>
          <w:szCs w:val="26"/>
          <w:shd w:val="clear" w:color="auto" w:fill="FFFFFF"/>
          <w:lang w:val="en-US"/>
        </w:rPr>
      </w:pPr>
    </w:p>
    <w:p w14:paraId="3FDE2417" w14:textId="7133E9F1" w:rsidR="00EF6E62" w:rsidRPr="003F6924" w:rsidRDefault="00B543E4" w:rsidP="00EF6E62">
      <w:pPr>
        <w:spacing w:after="120" w:line="360" w:lineRule="exact"/>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Structural </w:t>
      </w:r>
      <w:r w:rsidR="006E65F6" w:rsidRPr="003F6924">
        <w:rPr>
          <w:rFonts w:ascii="Times New Roman" w:hAnsi="Times New Roman" w:cs="Times New Roman"/>
          <w:b/>
          <w:bCs/>
          <w:color w:val="000000" w:themeColor="text1"/>
          <w:sz w:val="26"/>
          <w:szCs w:val="26"/>
          <w:lang w:val="en-US"/>
        </w:rPr>
        <w:t>Model Analysis</w:t>
      </w:r>
      <w:r w:rsidRPr="003F6924">
        <w:rPr>
          <w:rFonts w:ascii="Times New Roman" w:hAnsi="Times New Roman" w:cs="Times New Roman"/>
          <w:b/>
          <w:bCs/>
          <w:color w:val="000000" w:themeColor="text1"/>
          <w:sz w:val="26"/>
          <w:szCs w:val="26"/>
          <w:lang w:val="en-US"/>
        </w:rPr>
        <w:t xml:space="preserve"> </w:t>
      </w:r>
    </w:p>
    <w:p w14:paraId="481B5913" w14:textId="37868914" w:rsidR="00EF6E62" w:rsidRPr="003F6924" w:rsidRDefault="00B543E4" w:rsidP="000A240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The structural model assesses the relationships between different constructs. In doing so, the study applies the bootstrap resampling method of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{"citationID":"a2068ksfrvu","properties":{"formattedCitation":"\\uldash{(Cotterman and Senn, 1992)}","plainCitation":"(Cotterman and Senn, 1992)","dontUpdate":true,"noteIndex":0},"citationItems":[{"id":1148,"uris":["http://zotero.org/users/9020985/items/KTULG5QU"],"itemData":{"id":1148,"type":"book","abstract":"Based on a conference held by the Information Technology Management Center (INTEC) at Georgia State University to assess the current level of development in the practice of systems analysis and design; to evaluate the state of research in this area; to identify recent research issues in the creation of information systems; and to discuss research strategies which could influence future investigations. Features papers presented in general sessions and workshops from leading academicians and practitioners.","ISBN":"978-0-471-93175-1","language":"en","note":"Google-Books-ID: gT4ZAQAAIAAJ","number-of-pages":"506","publisher":"Wiley","source":"Google Books","title":"Challenges and Strategies for Research in Systems Development","author":[{"family":"Cotterman","given":"William W."},{"family":"Senn","given":"James A."}],"issued":{"date-parts":[["1992",8,11]]}}}],"schema":"https://github.com/citation-style-language/schema/raw/master/csl-citation.json"}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color w:val="000000" w:themeColor="text1"/>
          <w:sz w:val="26"/>
          <w:szCs w:val="26"/>
          <w:lang w:val="en-US"/>
        </w:rPr>
        <w:t>Cotterman and Senn (1992)</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to test the significance of the paths. </w:t>
      </w:r>
    </w:p>
    <w:p w14:paraId="5C351C1F" w14:textId="77777777" w:rsidR="00EF6E62" w:rsidRPr="003F6924" w:rsidRDefault="00B543E4" w:rsidP="000A240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Table </w:t>
      </w:r>
      <w:r w:rsidR="00071B69" w:rsidRPr="003F6924">
        <w:rPr>
          <w:rFonts w:ascii="Times New Roman" w:hAnsi="Times New Roman" w:cs="Times New Roman"/>
          <w:color w:val="000000" w:themeColor="text1"/>
          <w:sz w:val="26"/>
          <w:szCs w:val="26"/>
          <w:lang w:val="en-US"/>
        </w:rPr>
        <w:t>8</w:t>
      </w:r>
      <w:r w:rsidRPr="003F6924">
        <w:rPr>
          <w:rFonts w:ascii="Times New Roman" w:hAnsi="Times New Roman" w:cs="Times New Roman"/>
          <w:color w:val="000000" w:themeColor="text1"/>
          <w:sz w:val="26"/>
          <w:szCs w:val="26"/>
          <w:lang w:val="en-US"/>
        </w:rPr>
        <w:t xml:space="preserve"> presents the R-squared of the study. R</w:t>
      </w:r>
      <w:r w:rsidRPr="003F6924">
        <w:rPr>
          <w:rFonts w:ascii="Times New Roman" w:hAnsi="Times New Roman" w:cs="Times New Roman"/>
          <w:color w:val="000000" w:themeColor="text1"/>
          <w:sz w:val="26"/>
          <w:szCs w:val="26"/>
          <w:vertAlign w:val="superscript"/>
          <w:lang w:val="en-US"/>
        </w:rPr>
        <w:t>2</w:t>
      </w:r>
      <w:r w:rsidRPr="003F6924">
        <w:rPr>
          <w:rFonts w:ascii="Times New Roman" w:hAnsi="Times New Roman" w:cs="Times New Roman"/>
          <w:color w:val="000000" w:themeColor="text1"/>
          <w:sz w:val="26"/>
          <w:szCs w:val="26"/>
          <w:lang w:val="en-US"/>
        </w:rPr>
        <w:t xml:space="preserve"> refers to in-sample explanatory power. Accordingly, R</w:t>
      </w:r>
      <w:r w:rsidRPr="003F6924">
        <w:rPr>
          <w:rFonts w:ascii="Times New Roman" w:hAnsi="Times New Roman" w:cs="Times New Roman"/>
          <w:color w:val="000000" w:themeColor="text1"/>
          <w:sz w:val="26"/>
          <w:szCs w:val="26"/>
          <w:vertAlign w:val="superscript"/>
          <w:lang w:val="en-US"/>
        </w:rPr>
        <w:t>2</w:t>
      </w:r>
      <w:r w:rsidRPr="003F6924">
        <w:rPr>
          <w:rFonts w:ascii="Times New Roman" w:hAnsi="Times New Roman" w:cs="Times New Roman"/>
          <w:color w:val="000000" w:themeColor="text1"/>
          <w:sz w:val="26"/>
          <w:szCs w:val="26"/>
          <w:lang w:val="en-US"/>
        </w:rPr>
        <w:t xml:space="preserve"> ranges from 0 to 1, with higher values indicating a greater explanatory power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{"citationID":"a2oqp8t92u0","properties":{"formattedCitation":"(Hair et al., 2019)","plainCitation":"(Hair et al., 2019)","noteIndex":0},"citationItems":[{"id":3485,"uris":["http://zotero.org/users/9020985/items/WCSMWENM"],"itemData":{"id":3485,"type":"article-journal","abstract":"Purpose\n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robustness.\n            \n            \n              Design/methodology/approach\n              This paper provides an overview of previously and recently proposed metrics as well as rules of thumb for evaluating the research results based on the application of PLS-SEM.\n            \n            \n              Findings\n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analyses.\n            \n            \n              Research limitations/implications\n              Methodological developments associated with PLS-SEM are rapidly emerging. The metrics reported in this paper are useful for current applications, but must always be up to date with the latest developments in the PLS-SEM method.\n            \n            \n              Originality/value\n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solutions.","container-title":"European Business Review","DOI":"10.1108/EBR-11-2018-0203","ISSN":"0955-534X","issue":"1","journalAbbreviation":"EBR","language":"en","page":"2-24","source":"DOI.org (Crossref)","title":"When to use and how to report the results of PLS-SEM","volume":"31","author":[{"family":"Hair","given":"Joseph F."},{"family":"Risher","given":"Jeffrey J."},{"family":"Sarstedt","given":"Marko"},{"family":"Ringle","given":"Christian M."}],"issued":{"date-parts":[["2019",1,14]]}}}],"schema":"https://github.com/citation-style-language/schema/raw/master/csl-citation.json"}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color w:val="000000" w:themeColor="text1"/>
          <w:sz w:val="26"/>
          <w:szCs w:val="26"/>
          <w:lang w:val="en-US"/>
        </w:rPr>
        <w:t>(Hair et al., 2019)</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t>
      </w:r>
      <w:r w:rsidR="00FE111A" w:rsidRPr="003F6924">
        <w:rPr>
          <w:rFonts w:ascii="Times New Roman" w:hAnsi="Times New Roman" w:cs="Times New Roman"/>
          <w:color w:val="000000" w:themeColor="text1"/>
          <w:sz w:val="26"/>
          <w:szCs w:val="26"/>
          <w:lang w:val="en-US"/>
        </w:rPr>
        <w:t>The R² values of 0.8874 and 0.3046 are regarded as high within behavioral science, indicating a strong explanatory capacity of the model</w:t>
      </w:r>
      <w:r w:rsidRPr="003F6924">
        <w:rPr>
          <w:rFonts w:ascii="Times New Roman" w:hAnsi="Times New Roman" w:cs="Times New Roman"/>
          <w:color w:val="000000" w:themeColor="text1"/>
          <w:sz w:val="26"/>
          <w:szCs w:val="26"/>
          <w:lang w:val="en-US"/>
        </w:rPr>
        <w:t xml:space="preserve">. </w:t>
      </w:r>
      <w:r w:rsidR="00FE111A" w:rsidRPr="003F6924">
        <w:rPr>
          <w:rFonts w:ascii="Times New Roman" w:hAnsi="Times New Roman" w:cs="Times New Roman"/>
          <w:color w:val="000000" w:themeColor="text1"/>
          <w:sz w:val="26"/>
          <w:szCs w:val="26"/>
          <w:lang w:val="en-US"/>
        </w:rPr>
        <w:t xml:space="preserve">Additionally, the study evaluates the explanatory power of endogenous variables using the Adjusted R², which offers a more accurate estimate of the relationship between dependent and independent variables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{"citationID":"RekCS9LM","properties":{"formattedCitation":"(Long &amp; Freese, 2001)","plainCitation":"(Long &amp; Freese, 2001)","noteIndex":0},"citationItems":[{"id":2718,"uris":["http://zotero.org/users/9020985/items/R7K4L24Q"],"itemData":{"id":2718,"type":"book","call-number":"QA278.2 .L66 2001","event-place":"College Station, Tex","ISBN":"978-1-881228-62-2","language":"en","note":"OCLC: ocm48631887","number-of-pages":"341","publisher":"Stata Press","publisher-place":"College Station, Tex","source":"Library of Congress ISBN","title":"Regression models for categorical dependent variables using Stata","author":[{"family":"Long","given":"J. Scott"},{"family":"Freese","given":"Jeremy"}],"issued":{"date-parts":[["2001"]]}}}],"schema":"https://github.com/citation-style-language/schema/raw/master/csl-citation.json"}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 xml:space="preserve">(Long </w:t>
      </w:r>
      <w:r w:rsidR="00F377A7" w:rsidRPr="003F6924">
        <w:rPr>
          <w:rFonts w:ascii="Times New Roman" w:hAnsi="Times New Roman" w:cs="Times New Roman"/>
          <w:noProof/>
          <w:color w:val="000000" w:themeColor="text1"/>
          <w:sz w:val="26"/>
          <w:szCs w:val="26"/>
          <w:lang w:val="vi-VN"/>
        </w:rPr>
        <w:t>&amp;</w:t>
      </w:r>
      <w:r w:rsidRPr="003F6924">
        <w:rPr>
          <w:rFonts w:ascii="Times New Roman" w:hAnsi="Times New Roman" w:cs="Times New Roman"/>
          <w:noProof/>
          <w:color w:val="000000" w:themeColor="text1"/>
          <w:sz w:val="26"/>
          <w:szCs w:val="26"/>
          <w:lang w:val="en-US"/>
        </w:rPr>
        <w:t xml:space="preserve"> Freese, 2001)</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t>
      </w:r>
      <w:r w:rsidR="00FE111A" w:rsidRPr="003F6924">
        <w:rPr>
          <w:rFonts w:ascii="Times New Roman" w:hAnsi="Times New Roman" w:cs="Times New Roman"/>
          <w:color w:val="000000" w:themeColor="text1"/>
          <w:sz w:val="26"/>
          <w:szCs w:val="26"/>
          <w:lang w:val="en-US"/>
        </w:rPr>
        <w:t>The Adjusted R² values for the two endogenous constructs, digital transformation capability (DTC) and level of digital transformation (LDT), are 0.8848 and 0.303, respectively, indicating explanatory powers of 88.48% and 30.3%</w:t>
      </w:r>
      <w:r w:rsidRPr="003F6924">
        <w:rPr>
          <w:rFonts w:ascii="Times New Roman" w:hAnsi="Times New Roman" w:cs="Times New Roman"/>
          <w:color w:val="000000" w:themeColor="text1"/>
          <w:sz w:val="26"/>
          <w:szCs w:val="26"/>
          <w:lang w:val="en-US"/>
        </w:rPr>
        <w:t xml:space="preserve">. Figure 2 presents the research model. </w:t>
      </w:r>
    </w:p>
    <w:p w14:paraId="7C84B284" w14:textId="77777777" w:rsidR="000A240D" w:rsidRPr="003F6924" w:rsidRDefault="000A240D" w:rsidP="000A240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10A54245" w14:textId="77777777" w:rsidR="003D5415" w:rsidRDefault="003D5415">
      <w:pPr>
        <w:rPr>
          <w:rFonts w:ascii="Times New Roman" w:eastAsia="Times New Roman" w:hAnsi="Times New Roman" w:cs="Times New Roman"/>
          <w:b/>
          <w:bCs/>
          <w:i/>
          <w:iCs/>
          <w:color w:val="000000" w:themeColor="text1"/>
          <w:sz w:val="26"/>
          <w:szCs w:val="26"/>
          <w:lang w:val="en-US"/>
        </w:rPr>
      </w:pPr>
      <w:r>
        <w:rPr>
          <w:b/>
          <w:bCs/>
          <w:color w:val="000000" w:themeColor="text1"/>
          <w:sz w:val="26"/>
          <w:szCs w:val="26"/>
          <w:lang w:val="en-US"/>
        </w:rPr>
        <w:br w:type="page"/>
      </w:r>
    </w:p>
    <w:p w14:paraId="09C16951" w14:textId="429B6D03" w:rsidR="00EF6E62" w:rsidRPr="003F6924" w:rsidRDefault="00B543E4" w:rsidP="00EF6E62">
      <w:pPr>
        <w:pStyle w:val="af8"/>
        <w:spacing w:after="120" w:line="360" w:lineRule="exact"/>
        <w:jc w:val="both"/>
        <w:rPr>
          <w:color w:val="000000" w:themeColor="text1"/>
          <w:sz w:val="26"/>
          <w:szCs w:val="26"/>
          <w:lang w:val="en-US"/>
        </w:rPr>
      </w:pPr>
      <w:r w:rsidRPr="008E378C">
        <w:rPr>
          <w:b/>
          <w:bCs/>
          <w:i w:val="0"/>
          <w:iCs w:val="0"/>
          <w:color w:val="000000" w:themeColor="text1"/>
          <w:sz w:val="26"/>
          <w:szCs w:val="26"/>
          <w:lang w:val="en-US"/>
        </w:rPr>
        <w:t xml:space="preserve">Table </w:t>
      </w:r>
      <w:r w:rsidRPr="008E378C">
        <w:rPr>
          <w:b/>
          <w:bCs/>
          <w:i w:val="0"/>
          <w:iCs w:val="0"/>
          <w:color w:val="000000" w:themeColor="text1"/>
          <w:sz w:val="26"/>
          <w:szCs w:val="26"/>
          <w:lang w:val="en-US"/>
        </w:rPr>
        <w:fldChar w:fldCharType="begin"/>
      </w:r>
      <w:r w:rsidRPr="008E378C">
        <w:rPr>
          <w:b/>
          <w:bCs/>
          <w:i w:val="0"/>
          <w:iCs w:val="0"/>
          <w:color w:val="000000" w:themeColor="text1"/>
          <w:sz w:val="26"/>
          <w:szCs w:val="26"/>
          <w:lang w:val="en-US"/>
        </w:rPr>
        <w:instrText xml:space="preserve"> SEQ Table \* ARABIC </w:instrText>
      </w:r>
      <w:r w:rsidRPr="008E378C">
        <w:rPr>
          <w:b/>
          <w:bCs/>
          <w:i w:val="0"/>
          <w:iCs w:val="0"/>
          <w:color w:val="000000" w:themeColor="text1"/>
          <w:sz w:val="26"/>
          <w:szCs w:val="26"/>
          <w:lang w:val="en-US"/>
        </w:rPr>
        <w:fldChar w:fldCharType="separate"/>
      </w:r>
      <w:r w:rsidR="0058062D">
        <w:rPr>
          <w:b/>
          <w:bCs/>
          <w:i w:val="0"/>
          <w:iCs w:val="0"/>
          <w:noProof/>
          <w:color w:val="000000" w:themeColor="text1"/>
          <w:sz w:val="26"/>
          <w:szCs w:val="26"/>
          <w:lang w:val="en-US"/>
        </w:rPr>
        <w:t>8</w:t>
      </w:r>
      <w:r w:rsidRPr="008E378C">
        <w:rPr>
          <w:b/>
          <w:bCs/>
          <w:i w:val="0"/>
          <w:iCs w:val="0"/>
          <w:noProof/>
          <w:color w:val="000000" w:themeColor="text1"/>
          <w:sz w:val="26"/>
          <w:szCs w:val="26"/>
          <w:lang w:val="en-US"/>
        </w:rPr>
        <w:fldChar w:fldCharType="end"/>
      </w:r>
      <w:r w:rsidRPr="003F6924">
        <w:rPr>
          <w:color w:val="000000" w:themeColor="text1"/>
          <w:sz w:val="26"/>
          <w:szCs w:val="26"/>
          <w:lang w:val="en-US"/>
        </w:rPr>
        <w:t xml:space="preserve"> R-Squared</w:t>
      </w:r>
    </w:p>
    <w:tbl>
      <w:tblPr>
        <w:tblW w:w="5000" w:type="pct"/>
        <w:tblBorders>
          <w:top w:val="single" w:sz="4" w:space="0" w:color="auto"/>
          <w:bottom w:val="single" w:sz="4" w:space="0" w:color="auto"/>
        </w:tblBorders>
        <w:tblLook w:val="04A0" w:firstRow="1" w:lastRow="0" w:firstColumn="1" w:lastColumn="0" w:noHBand="0" w:noVBand="1"/>
      </w:tblPr>
      <w:tblGrid>
        <w:gridCol w:w="3765"/>
        <w:gridCol w:w="3861"/>
        <w:gridCol w:w="1566"/>
      </w:tblGrid>
      <w:tr w:rsidR="0046229B" w:rsidRPr="003F6924" w14:paraId="7A59A416" w14:textId="77777777" w:rsidTr="00EF6E62">
        <w:trPr>
          <w:trHeight w:val="283"/>
        </w:trPr>
        <w:tc>
          <w:tcPr>
            <w:tcW w:w="2234" w:type="pct"/>
            <w:tcBorders>
              <w:top w:val="single" w:sz="4" w:space="0" w:color="auto"/>
              <w:bottom w:val="single" w:sz="4" w:space="0" w:color="auto"/>
            </w:tcBorders>
            <w:shd w:val="clear" w:color="auto" w:fill="auto"/>
            <w:noWrap/>
            <w:vAlign w:val="center"/>
            <w:hideMark/>
          </w:tcPr>
          <w:p w14:paraId="5BF20989" w14:textId="77777777" w:rsidR="00EF6E62" w:rsidRPr="003F6924" w:rsidRDefault="00B543E4" w:rsidP="00D55894">
            <w:pPr>
              <w:spacing w:after="0" w:line="360" w:lineRule="exact"/>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Construct</w:t>
            </w:r>
          </w:p>
        </w:tc>
        <w:tc>
          <w:tcPr>
            <w:tcW w:w="1778" w:type="pct"/>
            <w:tcBorders>
              <w:top w:val="single" w:sz="4" w:space="0" w:color="auto"/>
              <w:bottom w:val="single" w:sz="4" w:space="0" w:color="auto"/>
            </w:tcBorders>
            <w:shd w:val="clear" w:color="auto" w:fill="auto"/>
            <w:noWrap/>
            <w:vAlign w:val="center"/>
            <w:hideMark/>
          </w:tcPr>
          <w:p w14:paraId="6F64C70D" w14:textId="77777777" w:rsidR="00EF6E62" w:rsidRPr="003F6924" w:rsidRDefault="00B543E4" w:rsidP="00D55894">
            <w:pPr>
              <w:spacing w:after="0" w:line="360" w:lineRule="exact"/>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Coefficient of determination (R</w:t>
            </w:r>
            <w:r w:rsidRPr="003F6924">
              <w:rPr>
                <w:rFonts w:ascii="Times New Roman" w:hAnsi="Times New Roman" w:cs="Times New Roman"/>
                <w:b/>
                <w:bCs/>
                <w:color w:val="000000" w:themeColor="text1"/>
                <w:sz w:val="26"/>
                <w:szCs w:val="26"/>
                <w:vertAlign w:val="superscript"/>
                <w:lang w:val="en-US"/>
              </w:rPr>
              <w:t>2</w:t>
            </w:r>
            <w:r w:rsidRPr="003F6924">
              <w:rPr>
                <w:rFonts w:ascii="Times New Roman" w:hAnsi="Times New Roman" w:cs="Times New Roman"/>
                <w:b/>
                <w:bCs/>
                <w:color w:val="000000" w:themeColor="text1"/>
                <w:sz w:val="26"/>
                <w:szCs w:val="26"/>
                <w:lang w:val="en-US"/>
              </w:rPr>
              <w:t>)</w:t>
            </w:r>
          </w:p>
        </w:tc>
        <w:tc>
          <w:tcPr>
            <w:tcW w:w="988" w:type="pct"/>
            <w:tcBorders>
              <w:top w:val="single" w:sz="4" w:space="0" w:color="auto"/>
              <w:bottom w:val="single" w:sz="4" w:space="0" w:color="auto"/>
            </w:tcBorders>
            <w:shd w:val="clear" w:color="auto" w:fill="auto"/>
            <w:noWrap/>
            <w:vAlign w:val="center"/>
            <w:hideMark/>
          </w:tcPr>
          <w:p w14:paraId="08352859" w14:textId="77777777" w:rsidR="00EF6E62" w:rsidRPr="003F6924" w:rsidRDefault="00B543E4" w:rsidP="00D55894">
            <w:pPr>
              <w:spacing w:after="0" w:line="360" w:lineRule="exact"/>
              <w:jc w:val="both"/>
              <w:rPr>
                <w:rFonts w:ascii="Times New Roman" w:hAnsi="Times New Roman" w:cs="Times New Roman"/>
                <w:b/>
                <w:bCs/>
                <w:color w:val="000000" w:themeColor="text1"/>
                <w:sz w:val="26"/>
                <w:szCs w:val="26"/>
                <w:vertAlign w:val="superscript"/>
                <w:lang w:val="en-US"/>
              </w:rPr>
            </w:pPr>
            <w:r w:rsidRPr="003F6924">
              <w:rPr>
                <w:rFonts w:ascii="Times New Roman" w:hAnsi="Times New Roman" w:cs="Times New Roman"/>
                <w:b/>
                <w:bCs/>
                <w:color w:val="000000" w:themeColor="text1"/>
                <w:sz w:val="26"/>
                <w:szCs w:val="26"/>
                <w:lang w:val="en-US"/>
              </w:rPr>
              <w:t>Adjusted R</w:t>
            </w:r>
            <w:r w:rsidRPr="003F6924">
              <w:rPr>
                <w:rFonts w:ascii="Times New Roman" w:hAnsi="Times New Roman" w:cs="Times New Roman"/>
                <w:b/>
                <w:bCs/>
                <w:color w:val="000000" w:themeColor="text1"/>
                <w:sz w:val="26"/>
                <w:szCs w:val="26"/>
                <w:vertAlign w:val="superscript"/>
                <w:lang w:val="en-US"/>
              </w:rPr>
              <w:t>2</w:t>
            </w:r>
          </w:p>
        </w:tc>
      </w:tr>
      <w:tr w:rsidR="0046229B" w:rsidRPr="003F6924" w14:paraId="4458BBA9" w14:textId="77777777" w:rsidTr="00EF6E62">
        <w:trPr>
          <w:trHeight w:val="283"/>
        </w:trPr>
        <w:tc>
          <w:tcPr>
            <w:tcW w:w="2234" w:type="pct"/>
            <w:tcBorders>
              <w:top w:val="single" w:sz="4" w:space="0" w:color="auto"/>
            </w:tcBorders>
            <w:shd w:val="clear" w:color="auto" w:fill="auto"/>
            <w:noWrap/>
            <w:vAlign w:val="center"/>
            <w:hideMark/>
          </w:tcPr>
          <w:p w14:paraId="5BF8E450" w14:textId="77777777" w:rsidR="00EF6E62" w:rsidRPr="003F6924" w:rsidRDefault="00B543E4" w:rsidP="00D55894">
            <w:pPr>
              <w:spacing w:after="0" w:line="360" w:lineRule="exact"/>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DTC</w:t>
            </w:r>
          </w:p>
        </w:tc>
        <w:tc>
          <w:tcPr>
            <w:tcW w:w="1778" w:type="pct"/>
            <w:tcBorders>
              <w:top w:val="single" w:sz="4" w:space="0" w:color="auto"/>
            </w:tcBorders>
            <w:shd w:val="clear" w:color="auto" w:fill="auto"/>
            <w:noWrap/>
            <w:vAlign w:val="center"/>
            <w:hideMark/>
          </w:tcPr>
          <w:p w14:paraId="765BC8DF" w14:textId="77777777" w:rsidR="00EF6E62" w:rsidRPr="003F6924" w:rsidRDefault="00B543E4" w:rsidP="00D55894">
            <w:pPr>
              <w:spacing w:after="0" w:line="360" w:lineRule="exact"/>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0.8874</w:t>
            </w:r>
          </w:p>
        </w:tc>
        <w:tc>
          <w:tcPr>
            <w:tcW w:w="988" w:type="pct"/>
            <w:tcBorders>
              <w:top w:val="single" w:sz="4" w:space="0" w:color="auto"/>
            </w:tcBorders>
            <w:shd w:val="clear" w:color="auto" w:fill="auto"/>
            <w:noWrap/>
            <w:vAlign w:val="center"/>
            <w:hideMark/>
          </w:tcPr>
          <w:p w14:paraId="3A35FDDC" w14:textId="77777777" w:rsidR="00EF6E62" w:rsidRPr="003F6924" w:rsidRDefault="00B543E4" w:rsidP="00D55894">
            <w:pPr>
              <w:spacing w:after="0" w:line="360" w:lineRule="exact"/>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0.8848</w:t>
            </w:r>
          </w:p>
        </w:tc>
      </w:tr>
      <w:tr w:rsidR="0046229B" w:rsidRPr="003F6924" w14:paraId="71535553" w14:textId="77777777" w:rsidTr="00EF6E62">
        <w:trPr>
          <w:trHeight w:val="283"/>
        </w:trPr>
        <w:tc>
          <w:tcPr>
            <w:tcW w:w="2234" w:type="pct"/>
            <w:shd w:val="clear" w:color="auto" w:fill="auto"/>
            <w:noWrap/>
            <w:vAlign w:val="center"/>
            <w:hideMark/>
          </w:tcPr>
          <w:p w14:paraId="1B241AF6" w14:textId="77777777" w:rsidR="00EF6E62" w:rsidRPr="003F6924" w:rsidRDefault="00B543E4" w:rsidP="00D55894">
            <w:pPr>
              <w:spacing w:after="0" w:line="360" w:lineRule="exact"/>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LDT</w:t>
            </w:r>
          </w:p>
        </w:tc>
        <w:tc>
          <w:tcPr>
            <w:tcW w:w="1778" w:type="pct"/>
            <w:shd w:val="clear" w:color="auto" w:fill="auto"/>
            <w:noWrap/>
            <w:vAlign w:val="center"/>
            <w:hideMark/>
          </w:tcPr>
          <w:p w14:paraId="532B1DAB" w14:textId="77777777" w:rsidR="00EF6E62" w:rsidRPr="003F6924" w:rsidRDefault="00B543E4" w:rsidP="00D55894">
            <w:pPr>
              <w:spacing w:after="0" w:line="360" w:lineRule="exact"/>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0.3046</w:t>
            </w:r>
          </w:p>
        </w:tc>
        <w:tc>
          <w:tcPr>
            <w:tcW w:w="988" w:type="pct"/>
            <w:shd w:val="clear" w:color="auto" w:fill="auto"/>
            <w:noWrap/>
            <w:vAlign w:val="center"/>
            <w:hideMark/>
          </w:tcPr>
          <w:p w14:paraId="381DFBD8" w14:textId="77777777" w:rsidR="00EF6E62" w:rsidRPr="003F6924" w:rsidRDefault="00B543E4" w:rsidP="00D55894">
            <w:pPr>
              <w:spacing w:after="0" w:line="360" w:lineRule="exact"/>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0.303</w:t>
            </w:r>
          </w:p>
        </w:tc>
      </w:tr>
    </w:tbl>
    <w:p w14:paraId="24FD3269" w14:textId="77777777" w:rsidR="00EF6E62" w:rsidRPr="003F6924" w:rsidRDefault="00EF6E62" w:rsidP="00EF6E62">
      <w:pPr>
        <w:spacing w:after="120" w:line="360" w:lineRule="exact"/>
        <w:jc w:val="both"/>
        <w:rPr>
          <w:rFonts w:ascii="Times New Roman" w:hAnsi="Times New Roman" w:cs="Times New Roman"/>
          <w:color w:val="000000" w:themeColor="text1"/>
          <w:sz w:val="26"/>
          <w:szCs w:val="26"/>
          <w:lang w:val="en-US"/>
        </w:rPr>
      </w:pPr>
    </w:p>
    <w:p w14:paraId="781B8738" w14:textId="74BFF3B7" w:rsidR="00EF6E62" w:rsidRPr="003F6924" w:rsidRDefault="003D5415" w:rsidP="000A240D">
      <w:pPr>
        <w:pStyle w:val="af8"/>
        <w:snapToGrid w:val="0"/>
        <w:spacing w:after="0" w:line="300" w:lineRule="auto"/>
        <w:jc w:val="both"/>
        <w:rPr>
          <w:color w:val="000000" w:themeColor="text1"/>
          <w:sz w:val="26"/>
          <w:szCs w:val="26"/>
          <w:lang w:val="en-US"/>
        </w:rPr>
      </w:pPr>
      <w:r w:rsidRPr="008E378C">
        <w:rPr>
          <w:i w:val="0"/>
          <w:iCs w:val="0"/>
          <w:noProof/>
          <w:color w:val="000000" w:themeColor="text1"/>
          <w:sz w:val="24"/>
          <w:szCs w:val="24"/>
          <w:lang w:val="en-US"/>
        </w:rPr>
        <w:drawing>
          <wp:anchor distT="0" distB="0" distL="114300" distR="114300" simplePos="0" relativeHeight="251659264" behindDoc="0" locked="0" layoutInCell="1" allowOverlap="0" wp14:anchorId="0146C5D5" wp14:editId="4DC3E749">
            <wp:simplePos x="0" y="0"/>
            <wp:positionH relativeFrom="margin">
              <wp:align>left</wp:align>
            </wp:positionH>
            <wp:positionV relativeFrom="paragraph">
              <wp:posOffset>341630</wp:posOffset>
            </wp:positionV>
            <wp:extent cx="5374640" cy="4031615"/>
            <wp:effectExtent l="0" t="0" r="0" b="6985"/>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374640" cy="4031615"/>
                    </a:xfrm>
                    <a:prstGeom prst="rect">
                      <a:avLst/>
                    </a:prstGeom>
                    <a:noFill/>
                    <a:ln>
                      <a:noFill/>
                    </a:ln>
                  </pic:spPr>
                </pic:pic>
              </a:graphicData>
            </a:graphic>
            <wp14:sizeRelH relativeFrom="page">
              <wp14:pctWidth>0</wp14:pctWidth>
            </wp14:sizeRelH>
            <wp14:sizeRelV relativeFrom="page">
              <wp14:pctHeight>0</wp14:pctHeight>
            </wp14:sizeRelV>
          </wp:anchor>
        </w:drawing>
      </w:r>
      <w:r w:rsidR="00B543E4" w:rsidRPr="008E378C">
        <w:rPr>
          <w:b/>
          <w:bCs/>
          <w:i w:val="0"/>
          <w:iCs w:val="0"/>
          <w:color w:val="000000" w:themeColor="text1"/>
          <w:sz w:val="26"/>
          <w:szCs w:val="26"/>
          <w:lang w:val="en-US"/>
        </w:rPr>
        <w:t xml:space="preserve">Figure </w:t>
      </w:r>
      <w:r w:rsidR="00B543E4" w:rsidRPr="008E378C">
        <w:rPr>
          <w:b/>
          <w:bCs/>
          <w:i w:val="0"/>
          <w:iCs w:val="0"/>
          <w:color w:val="000000" w:themeColor="text1"/>
          <w:sz w:val="26"/>
          <w:szCs w:val="26"/>
          <w:lang w:val="en-US"/>
        </w:rPr>
        <w:fldChar w:fldCharType="begin"/>
      </w:r>
      <w:r w:rsidR="00B543E4" w:rsidRPr="008E378C">
        <w:rPr>
          <w:b/>
          <w:bCs/>
          <w:i w:val="0"/>
          <w:iCs w:val="0"/>
          <w:color w:val="000000" w:themeColor="text1"/>
          <w:sz w:val="26"/>
          <w:szCs w:val="26"/>
          <w:lang w:val="en-US"/>
        </w:rPr>
        <w:instrText xml:space="preserve"> SEQ Figure \* ARABIC </w:instrText>
      </w:r>
      <w:r w:rsidR="00B543E4" w:rsidRPr="008E378C">
        <w:rPr>
          <w:b/>
          <w:bCs/>
          <w:i w:val="0"/>
          <w:iCs w:val="0"/>
          <w:color w:val="000000" w:themeColor="text1"/>
          <w:sz w:val="26"/>
          <w:szCs w:val="26"/>
          <w:lang w:val="en-US"/>
        </w:rPr>
        <w:fldChar w:fldCharType="separate"/>
      </w:r>
      <w:r w:rsidR="0058062D">
        <w:rPr>
          <w:b/>
          <w:bCs/>
          <w:i w:val="0"/>
          <w:iCs w:val="0"/>
          <w:noProof/>
          <w:color w:val="000000" w:themeColor="text1"/>
          <w:sz w:val="26"/>
          <w:szCs w:val="26"/>
          <w:lang w:val="en-US"/>
        </w:rPr>
        <w:t>2</w:t>
      </w:r>
      <w:r w:rsidR="00B543E4" w:rsidRPr="008E378C">
        <w:rPr>
          <w:b/>
          <w:bCs/>
          <w:i w:val="0"/>
          <w:iCs w:val="0"/>
          <w:noProof/>
          <w:color w:val="000000" w:themeColor="text1"/>
          <w:sz w:val="26"/>
          <w:szCs w:val="26"/>
          <w:lang w:val="en-US"/>
        </w:rPr>
        <w:fldChar w:fldCharType="end"/>
      </w:r>
      <w:r w:rsidR="00B543E4" w:rsidRPr="003F6924">
        <w:rPr>
          <w:color w:val="000000" w:themeColor="text1"/>
          <w:sz w:val="26"/>
          <w:szCs w:val="26"/>
          <w:lang w:val="en-US"/>
        </w:rPr>
        <w:t xml:space="preserve"> Graphical </w:t>
      </w:r>
      <w:r w:rsidRPr="003F6924">
        <w:rPr>
          <w:color w:val="000000" w:themeColor="text1"/>
          <w:sz w:val="26"/>
          <w:szCs w:val="26"/>
          <w:lang w:val="en-US"/>
        </w:rPr>
        <w:t>Representation</w:t>
      </w:r>
      <w:r w:rsidR="00B543E4" w:rsidRPr="003F6924">
        <w:rPr>
          <w:color w:val="000000" w:themeColor="text1"/>
          <w:sz w:val="26"/>
          <w:szCs w:val="26"/>
          <w:lang w:val="en-US"/>
        </w:rPr>
        <w:t xml:space="preserve"> of the </w:t>
      </w:r>
      <w:r w:rsidRPr="003F6924">
        <w:rPr>
          <w:color w:val="000000" w:themeColor="text1"/>
          <w:sz w:val="26"/>
          <w:szCs w:val="26"/>
          <w:lang w:val="en-US"/>
        </w:rPr>
        <w:t>Research Model</w:t>
      </w:r>
      <w:r w:rsidR="00B543E4" w:rsidRPr="003F6924">
        <w:rPr>
          <w:color w:val="000000" w:themeColor="text1"/>
          <w:sz w:val="26"/>
          <w:szCs w:val="26"/>
          <w:lang w:val="en-US"/>
        </w:rPr>
        <w:t xml:space="preserve">. </w:t>
      </w:r>
    </w:p>
    <w:p w14:paraId="531F5A6A" w14:textId="61322527" w:rsidR="000A240D" w:rsidRPr="003D5415" w:rsidRDefault="003D5415" w:rsidP="003D5415">
      <w:pPr>
        <w:snapToGrid w:val="0"/>
        <w:spacing w:after="0" w:line="300" w:lineRule="auto"/>
        <w:jc w:val="both"/>
        <w:rPr>
          <w:rFonts w:ascii="Times New Roman" w:hAnsi="Times New Roman" w:cs="Times New Roman"/>
          <w:color w:val="000000" w:themeColor="text1"/>
          <w:sz w:val="24"/>
          <w:szCs w:val="24"/>
          <w:lang w:val="en-US"/>
        </w:rPr>
      </w:pPr>
      <w:r w:rsidRPr="003D5415">
        <w:rPr>
          <w:rFonts w:ascii="Times New Roman" w:hAnsi="Times New Roman" w:cs="Times New Roman"/>
          <w:i/>
          <w:iCs/>
          <w:color w:val="000000" w:themeColor="text1"/>
          <w:sz w:val="24"/>
          <w:szCs w:val="24"/>
          <w:lang w:val="en-US"/>
        </w:rPr>
        <w:t>Source.</w:t>
      </w:r>
      <w:r w:rsidRPr="003D5415">
        <w:rPr>
          <w:rFonts w:ascii="Times New Roman" w:hAnsi="Times New Roman" w:cs="Times New Roman"/>
          <w:color w:val="000000" w:themeColor="text1"/>
          <w:sz w:val="24"/>
          <w:szCs w:val="24"/>
          <w:lang w:val="en-US"/>
        </w:rPr>
        <w:t xml:space="preserve"> Author’s contribution</w:t>
      </w:r>
    </w:p>
    <w:p w14:paraId="36CB0FD7" w14:textId="77777777" w:rsidR="003D5415" w:rsidRDefault="003D5415"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74DC8413" w14:textId="7CA09041"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Additionally, the path coefficient estimates should be significant based on the percentile bootstrap confidence interval, and their sign should be consistent with the associated hypotheses. Regarding significant path coefficients, an effect size (f</w:t>
      </w:r>
      <w:r w:rsidRPr="003F6924">
        <w:rPr>
          <w:rFonts w:ascii="Times New Roman" w:hAnsi="Times New Roman" w:cs="Times New Roman"/>
          <w:color w:val="000000" w:themeColor="text1"/>
          <w:sz w:val="26"/>
          <w:szCs w:val="26"/>
          <w:vertAlign w:val="superscript"/>
          <w:lang w:val="en-US"/>
        </w:rPr>
        <w:t>2</w:t>
      </w:r>
      <w:r w:rsidRPr="003F6924">
        <w:rPr>
          <w:rFonts w:ascii="Times New Roman" w:hAnsi="Times New Roman" w:cs="Times New Roman"/>
          <w:color w:val="000000" w:themeColor="text1"/>
          <w:sz w:val="26"/>
          <w:szCs w:val="26"/>
          <w:lang w:val="en-US"/>
        </w:rPr>
        <w:t xml:space="preserve">) above 0.02, 0.15, and 0.35 indicates a small, medium, and large effect size, respectively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{"citationID":"uNH1Mv5R","properties":{"formattedCitation":"(Cohen, 1988)","plainCitation":"(Cohen, 1988)","noteIndex":0},"citationItems":[{"id":1046,"uris":["http://zotero.org/users/9020985/items/XULKEH5P"],"itemData":{"id":1046,"type":"book","call-number":"HA29 .C66 1988","edition":"2nd ed","event-place":"Hillsdale, N.J","ISBN":"978-0-8058-0283-2","language":"en","number-of-pages":"567","publisher":"L. Erlbaum Associates","publisher-place":"Hillsdale, N.J","source":"Library of Congress ISBN","title":"Statistical power analysis for the behavioral sciences","author":[{"family":"Cohen","given":"Jacob"}],"issued":{"date-parts":[["1988"]]}}}],"schema":"https://github.com/citation-style-language/schema/raw/master/csl-citation.json"}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(Cohen, 1988)</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t>
      </w:r>
    </w:p>
    <w:p w14:paraId="4AC3B880" w14:textId="77777777"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The results presented in Table 9 indicate that both internal and external factors exert significant influences on banks’ digital transformation capability and their overall level of digital transformation. The model supports hypotheses H1, H2, H3, H4, H5, H8, and H11. Among these, the bank technology platform has the strongest impact on digital transformation capability (β = 0.274, p &lt; 0.01), emphasizing the importance of a strong and adaptable technological infrastructure. Leadership capability (β = 0.240, p &lt; 0.05) and digital transformation development (β = 0.237, p &lt; 0.05) also make significant contributions, while a clear digital transformation strategy (β = 0.144, p &lt; 0.01) provides moderate influence. Employee competency and comprehension (β = 0.129, p &lt; 0.05) and digital transformation pressure (β = 0.126, p &lt; 0.05) show smaller but meaningful effects.</w:t>
      </w:r>
    </w:p>
    <w:p w14:paraId="5189DA0B" w14:textId="77777777" w:rsidR="00EF6E62" w:rsidRPr="003F6924" w:rsidRDefault="00B543E4" w:rsidP="00794E60">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The most influential relationship is between digital transformation capability and the overall level of digital transformation (β = 0.552, p &lt; 0.01), highlighting that the ability to manage and apply digital technologies is the </w:t>
      </w:r>
      <w:r w:rsidR="00FE111A" w:rsidRPr="003F6924">
        <w:rPr>
          <w:rFonts w:ascii="Times New Roman" w:hAnsi="Times New Roman" w:cs="Times New Roman"/>
          <w:color w:val="000000" w:themeColor="text1"/>
          <w:sz w:val="26"/>
          <w:szCs w:val="26"/>
          <w:lang w:val="en-US"/>
        </w:rPr>
        <w:t>primary</w:t>
      </w:r>
      <w:r w:rsidRPr="003F6924">
        <w:rPr>
          <w:rFonts w:ascii="Times New Roman" w:hAnsi="Times New Roman" w:cs="Times New Roman"/>
          <w:color w:val="000000" w:themeColor="text1"/>
          <w:sz w:val="26"/>
          <w:szCs w:val="26"/>
          <w:lang w:val="en-US"/>
        </w:rPr>
        <w:t xml:space="preserve"> driver of transformation success.</w:t>
      </w:r>
    </w:p>
    <w:p w14:paraId="307EC624" w14:textId="77777777" w:rsidR="00EF6E62" w:rsidRPr="003F6924" w:rsidRDefault="00B543E4" w:rsidP="00794E60">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Further analysis indicates that digital transformation capability acts as a partial mediator in the relationships between key factors, such as technology platform, transformation development, leadership, strategy, employee competency, and transformation pressure</w:t>
      </w:r>
      <w:r w:rsidR="00FE111A"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and the overall level of digital transformation. This finding confirms that these factors enhance transformation outcomes mainly by strengthening internal capabilities.</w:t>
      </w:r>
    </w:p>
    <w:p w14:paraId="0A842D5F" w14:textId="77777777"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In contrast, bank risk management shows a negative relationship with digital transformation capability (β = -0.070, p &lt; 0.05), suggesting that overly rigid risk control practices may hinder innovation. Additionally, bank corporate culture, financial capability, and government support do not show significant effects, implying that cultural, financial, and policy factors currently play limited roles in driving digital transformation in Vietnamese banks.</w:t>
      </w:r>
    </w:p>
    <w:p w14:paraId="0BCD4445" w14:textId="77777777" w:rsidR="00EF6E62" w:rsidRPr="003F6924" w:rsidRDefault="00B543E4" w:rsidP="00794E60">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Overall, the findings emphasize that digital transformation success depends </w:t>
      </w:r>
      <w:r w:rsidR="00FE111A" w:rsidRPr="003F6924">
        <w:rPr>
          <w:rFonts w:ascii="Times New Roman" w:hAnsi="Times New Roman" w:cs="Times New Roman"/>
          <w:color w:val="000000" w:themeColor="text1"/>
          <w:sz w:val="26"/>
          <w:szCs w:val="26"/>
          <w:lang w:val="en-US"/>
        </w:rPr>
        <w:t>mainly</w:t>
      </w:r>
      <w:r w:rsidRPr="003F6924">
        <w:rPr>
          <w:rFonts w:ascii="Times New Roman" w:hAnsi="Times New Roman" w:cs="Times New Roman"/>
          <w:color w:val="000000" w:themeColor="text1"/>
          <w:sz w:val="26"/>
          <w:szCs w:val="26"/>
          <w:lang w:val="en-US"/>
        </w:rPr>
        <w:t xml:space="preserve"> on internal readiness—particularly technology infrastructure, leadership, strategy, and workforce capability—rather than external conditions or resources.</w:t>
      </w:r>
    </w:p>
    <w:p w14:paraId="5CC0CBBA" w14:textId="77777777" w:rsidR="00743FD5" w:rsidRPr="003F6924" w:rsidRDefault="00743FD5" w:rsidP="00A06602">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15A45A59" w14:textId="77777777" w:rsidR="008E378C" w:rsidRDefault="008E378C">
      <w:pPr>
        <w:rPr>
          <w:rFonts w:ascii="Times New Roman" w:eastAsia="Times New Roman" w:hAnsi="Times New Roman" w:cs="Times New Roman"/>
          <w:b/>
          <w:bCs/>
          <w:color w:val="000000" w:themeColor="text1"/>
          <w:sz w:val="26"/>
          <w:szCs w:val="26"/>
          <w:lang w:val="en-US"/>
        </w:rPr>
      </w:pPr>
      <w:r>
        <w:rPr>
          <w:b/>
          <w:bCs/>
          <w:i/>
          <w:iCs/>
          <w:color w:val="000000" w:themeColor="text1"/>
          <w:sz w:val="26"/>
          <w:szCs w:val="26"/>
          <w:lang w:val="en-US"/>
        </w:rPr>
        <w:br w:type="page"/>
      </w:r>
    </w:p>
    <w:p w14:paraId="6B549567" w14:textId="3498A920" w:rsidR="00EF6E62" w:rsidRPr="003F6924" w:rsidRDefault="00B543E4" w:rsidP="000A240D">
      <w:pPr>
        <w:pStyle w:val="af8"/>
        <w:snapToGrid w:val="0"/>
        <w:spacing w:after="0" w:line="300" w:lineRule="auto"/>
        <w:jc w:val="both"/>
        <w:rPr>
          <w:color w:val="000000" w:themeColor="text1"/>
          <w:sz w:val="26"/>
          <w:szCs w:val="26"/>
          <w:lang w:val="en-US"/>
        </w:rPr>
      </w:pPr>
      <w:r w:rsidRPr="008E378C">
        <w:rPr>
          <w:b/>
          <w:bCs/>
          <w:i w:val="0"/>
          <w:iCs w:val="0"/>
          <w:color w:val="000000" w:themeColor="text1"/>
          <w:sz w:val="26"/>
          <w:szCs w:val="26"/>
          <w:lang w:val="en-US"/>
        </w:rPr>
        <w:t xml:space="preserve">Table </w:t>
      </w:r>
      <w:r w:rsidRPr="008E378C">
        <w:rPr>
          <w:b/>
          <w:bCs/>
          <w:i w:val="0"/>
          <w:iCs w:val="0"/>
          <w:color w:val="000000" w:themeColor="text1"/>
          <w:sz w:val="26"/>
          <w:szCs w:val="26"/>
          <w:lang w:val="en-US"/>
        </w:rPr>
        <w:fldChar w:fldCharType="begin"/>
      </w:r>
      <w:r w:rsidRPr="008E378C">
        <w:rPr>
          <w:b/>
          <w:bCs/>
          <w:i w:val="0"/>
          <w:iCs w:val="0"/>
          <w:color w:val="000000" w:themeColor="text1"/>
          <w:sz w:val="26"/>
          <w:szCs w:val="26"/>
          <w:lang w:val="en-US"/>
        </w:rPr>
        <w:instrText xml:space="preserve"> SEQ Table \* ARABIC </w:instrText>
      </w:r>
      <w:r w:rsidRPr="008E378C">
        <w:rPr>
          <w:b/>
          <w:bCs/>
          <w:i w:val="0"/>
          <w:iCs w:val="0"/>
          <w:color w:val="000000" w:themeColor="text1"/>
          <w:sz w:val="26"/>
          <w:szCs w:val="26"/>
          <w:lang w:val="en-US"/>
        </w:rPr>
        <w:fldChar w:fldCharType="separate"/>
      </w:r>
      <w:r w:rsidR="0058062D">
        <w:rPr>
          <w:b/>
          <w:bCs/>
          <w:i w:val="0"/>
          <w:iCs w:val="0"/>
          <w:noProof/>
          <w:color w:val="000000" w:themeColor="text1"/>
          <w:sz w:val="26"/>
          <w:szCs w:val="26"/>
          <w:lang w:val="en-US"/>
        </w:rPr>
        <w:t>9</w:t>
      </w:r>
      <w:r w:rsidRPr="008E378C">
        <w:rPr>
          <w:b/>
          <w:bCs/>
          <w:i w:val="0"/>
          <w:iCs w:val="0"/>
          <w:noProof/>
          <w:color w:val="000000" w:themeColor="text1"/>
          <w:sz w:val="26"/>
          <w:szCs w:val="26"/>
          <w:lang w:val="en-US"/>
        </w:rPr>
        <w:fldChar w:fldCharType="end"/>
      </w:r>
      <w:r w:rsidRPr="003F6924">
        <w:rPr>
          <w:color w:val="000000" w:themeColor="text1"/>
          <w:sz w:val="26"/>
          <w:szCs w:val="26"/>
          <w:lang w:val="en-US"/>
        </w:rPr>
        <w:t xml:space="preserve"> Results of the </w:t>
      </w:r>
      <w:r w:rsidR="00794E60" w:rsidRPr="003F6924">
        <w:rPr>
          <w:color w:val="000000" w:themeColor="text1"/>
          <w:sz w:val="26"/>
          <w:szCs w:val="26"/>
          <w:lang w:val="en-US"/>
        </w:rPr>
        <w:t>Structural Model</w:t>
      </w:r>
    </w:p>
    <w:tbl>
      <w:tblPr>
        <w:tblW w:w="5000" w:type="pct"/>
        <w:jc w:val="center"/>
        <w:tblLook w:val="04A0" w:firstRow="1" w:lastRow="0" w:firstColumn="1" w:lastColumn="0" w:noHBand="0" w:noVBand="1"/>
      </w:tblPr>
      <w:tblGrid>
        <w:gridCol w:w="699"/>
        <w:gridCol w:w="2038"/>
        <w:gridCol w:w="1149"/>
        <w:gridCol w:w="929"/>
        <w:gridCol w:w="819"/>
        <w:gridCol w:w="1697"/>
        <w:gridCol w:w="819"/>
        <w:gridCol w:w="1042"/>
      </w:tblGrid>
      <w:tr w:rsidR="0046229B" w:rsidRPr="003F6924" w14:paraId="1A7440EE" w14:textId="77777777" w:rsidTr="006E65F6">
        <w:trPr>
          <w:trHeight w:val="340"/>
          <w:tblHeader/>
          <w:jc w:val="center"/>
        </w:trPr>
        <w:tc>
          <w:tcPr>
            <w:tcW w:w="340" w:type="pct"/>
            <w:tcBorders>
              <w:top w:val="single" w:sz="4" w:space="0" w:color="auto"/>
              <w:left w:val="nil"/>
              <w:bottom w:val="single" w:sz="4" w:space="0" w:color="auto"/>
              <w:right w:val="nil"/>
            </w:tcBorders>
            <w:shd w:val="clear" w:color="auto" w:fill="auto"/>
            <w:noWrap/>
            <w:vAlign w:val="center"/>
            <w:hideMark/>
          </w:tcPr>
          <w:p w14:paraId="26F493C5" w14:textId="77777777" w:rsidR="00EF6E62" w:rsidRPr="003F6924" w:rsidRDefault="00EF6E62" w:rsidP="006E65F6">
            <w:pPr>
              <w:spacing w:after="0" w:line="240" w:lineRule="auto"/>
              <w:jc w:val="center"/>
              <w:rPr>
                <w:rFonts w:ascii="Times New Roman" w:hAnsi="Times New Roman" w:cs="Times New Roman"/>
                <w:color w:val="000000" w:themeColor="text1"/>
                <w:lang w:val="en-US"/>
              </w:rPr>
            </w:pPr>
          </w:p>
        </w:tc>
        <w:tc>
          <w:tcPr>
            <w:tcW w:w="1188" w:type="pct"/>
            <w:tcBorders>
              <w:top w:val="single" w:sz="4" w:space="0" w:color="auto"/>
              <w:left w:val="nil"/>
              <w:bottom w:val="single" w:sz="4" w:space="0" w:color="auto"/>
              <w:right w:val="nil"/>
            </w:tcBorders>
            <w:shd w:val="clear" w:color="auto" w:fill="auto"/>
            <w:vAlign w:val="center"/>
            <w:hideMark/>
          </w:tcPr>
          <w:p w14:paraId="0FD5B014"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Hypothesis</w:t>
            </w:r>
          </w:p>
        </w:tc>
        <w:tc>
          <w:tcPr>
            <w:tcW w:w="625" w:type="pct"/>
            <w:tcBorders>
              <w:top w:val="single" w:sz="4" w:space="0" w:color="auto"/>
              <w:left w:val="nil"/>
              <w:bottom w:val="single" w:sz="4" w:space="0" w:color="auto"/>
              <w:right w:val="nil"/>
            </w:tcBorders>
            <w:shd w:val="clear" w:color="auto" w:fill="auto"/>
            <w:vAlign w:val="center"/>
            <w:hideMark/>
          </w:tcPr>
          <w:p w14:paraId="13D0BBFF"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Direct/Indirect Effect</w:t>
            </w:r>
          </w:p>
        </w:tc>
        <w:tc>
          <w:tcPr>
            <w:tcW w:w="486" w:type="pct"/>
            <w:tcBorders>
              <w:top w:val="single" w:sz="4" w:space="0" w:color="auto"/>
              <w:left w:val="nil"/>
              <w:bottom w:val="single" w:sz="4" w:space="0" w:color="auto"/>
              <w:right w:val="nil"/>
            </w:tcBorders>
            <w:shd w:val="clear" w:color="auto" w:fill="auto"/>
            <w:vAlign w:val="center"/>
            <w:hideMark/>
          </w:tcPr>
          <w:p w14:paraId="49C8D91D"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T-value</w:t>
            </w:r>
          </w:p>
        </w:tc>
        <w:tc>
          <w:tcPr>
            <w:tcW w:w="416" w:type="pct"/>
            <w:tcBorders>
              <w:top w:val="single" w:sz="4" w:space="0" w:color="auto"/>
              <w:left w:val="nil"/>
              <w:bottom w:val="single" w:sz="4" w:space="0" w:color="auto"/>
              <w:right w:val="nil"/>
            </w:tcBorders>
            <w:shd w:val="clear" w:color="auto" w:fill="auto"/>
            <w:vAlign w:val="center"/>
            <w:hideMark/>
          </w:tcPr>
          <w:p w14:paraId="393DFF35"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P-value</w:t>
            </w:r>
          </w:p>
        </w:tc>
        <w:tc>
          <w:tcPr>
            <w:tcW w:w="972" w:type="pct"/>
            <w:tcBorders>
              <w:top w:val="single" w:sz="4" w:space="0" w:color="auto"/>
              <w:left w:val="nil"/>
              <w:bottom w:val="single" w:sz="4" w:space="0" w:color="auto"/>
              <w:right w:val="nil"/>
            </w:tcBorders>
            <w:shd w:val="clear" w:color="auto" w:fill="auto"/>
            <w:vAlign w:val="center"/>
            <w:hideMark/>
          </w:tcPr>
          <w:p w14:paraId="1A746DA5"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95% Confidence Interval (Percentile Bootstrap)</w:t>
            </w:r>
          </w:p>
        </w:tc>
        <w:tc>
          <w:tcPr>
            <w:tcW w:w="416" w:type="pct"/>
            <w:tcBorders>
              <w:top w:val="single" w:sz="4" w:space="0" w:color="auto"/>
              <w:left w:val="nil"/>
              <w:bottom w:val="single" w:sz="4" w:space="0" w:color="auto"/>
              <w:right w:val="nil"/>
            </w:tcBorders>
            <w:shd w:val="clear" w:color="auto" w:fill="auto"/>
            <w:vAlign w:val="center"/>
            <w:hideMark/>
          </w:tcPr>
          <w:p w14:paraId="7F9F212A"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Effect size (f</w:t>
            </w:r>
            <w:r w:rsidRPr="003F6924">
              <w:rPr>
                <w:rFonts w:ascii="Times New Roman" w:hAnsi="Times New Roman" w:cs="Times New Roman"/>
                <w:color w:val="000000" w:themeColor="text1"/>
                <w:vertAlign w:val="superscript"/>
                <w:lang w:val="en-US"/>
              </w:rPr>
              <w:t>2</w:t>
            </w:r>
            <w:r w:rsidRPr="003F6924">
              <w:rPr>
                <w:rFonts w:ascii="Times New Roman" w:hAnsi="Times New Roman" w:cs="Times New Roman"/>
                <w:color w:val="000000" w:themeColor="text1"/>
                <w:lang w:val="en-US"/>
              </w:rPr>
              <w:t>)</w:t>
            </w:r>
          </w:p>
        </w:tc>
        <w:tc>
          <w:tcPr>
            <w:tcW w:w="556" w:type="pct"/>
            <w:tcBorders>
              <w:top w:val="single" w:sz="4" w:space="0" w:color="auto"/>
              <w:left w:val="nil"/>
              <w:bottom w:val="single" w:sz="4" w:space="0" w:color="auto"/>
              <w:right w:val="nil"/>
            </w:tcBorders>
            <w:shd w:val="clear" w:color="auto" w:fill="auto"/>
            <w:vAlign w:val="center"/>
            <w:hideMark/>
          </w:tcPr>
          <w:p w14:paraId="16C83A60"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Support</w:t>
            </w:r>
          </w:p>
        </w:tc>
      </w:tr>
      <w:tr w:rsidR="0046229B" w:rsidRPr="003F6924" w14:paraId="06DC34B7"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78EBABF2"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H1</w:t>
            </w:r>
          </w:p>
        </w:tc>
        <w:tc>
          <w:tcPr>
            <w:tcW w:w="1188" w:type="pct"/>
            <w:tcBorders>
              <w:top w:val="nil"/>
              <w:left w:val="nil"/>
              <w:bottom w:val="nil"/>
              <w:right w:val="nil"/>
            </w:tcBorders>
            <w:shd w:val="clear" w:color="auto" w:fill="auto"/>
            <w:noWrap/>
            <w:vAlign w:val="center"/>
            <w:hideMark/>
          </w:tcPr>
          <w:p w14:paraId="043059AE"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BTP -&gt; DTC</w:t>
            </w:r>
          </w:p>
        </w:tc>
        <w:tc>
          <w:tcPr>
            <w:tcW w:w="625" w:type="pct"/>
            <w:tcBorders>
              <w:top w:val="nil"/>
              <w:left w:val="nil"/>
              <w:bottom w:val="nil"/>
              <w:right w:val="nil"/>
            </w:tcBorders>
            <w:shd w:val="clear" w:color="auto" w:fill="auto"/>
            <w:noWrap/>
            <w:vAlign w:val="center"/>
            <w:hideMark/>
          </w:tcPr>
          <w:p w14:paraId="4DED17F1"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0.274</w:t>
            </w:r>
          </w:p>
        </w:tc>
        <w:tc>
          <w:tcPr>
            <w:tcW w:w="486" w:type="pct"/>
            <w:tcBorders>
              <w:top w:val="nil"/>
              <w:left w:val="nil"/>
              <w:bottom w:val="nil"/>
              <w:right w:val="nil"/>
            </w:tcBorders>
            <w:shd w:val="clear" w:color="auto" w:fill="auto"/>
            <w:noWrap/>
            <w:vAlign w:val="center"/>
            <w:hideMark/>
          </w:tcPr>
          <w:p w14:paraId="1BBC4714"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3.937</w:t>
            </w:r>
          </w:p>
        </w:tc>
        <w:tc>
          <w:tcPr>
            <w:tcW w:w="416" w:type="pct"/>
            <w:tcBorders>
              <w:top w:val="nil"/>
              <w:left w:val="nil"/>
              <w:bottom w:val="nil"/>
              <w:right w:val="nil"/>
            </w:tcBorders>
            <w:shd w:val="clear" w:color="auto" w:fill="auto"/>
            <w:noWrap/>
            <w:vAlign w:val="center"/>
            <w:hideMark/>
          </w:tcPr>
          <w:p w14:paraId="20FF8B88"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0.000</w:t>
            </w:r>
          </w:p>
        </w:tc>
        <w:tc>
          <w:tcPr>
            <w:tcW w:w="972" w:type="pct"/>
            <w:tcBorders>
              <w:top w:val="nil"/>
              <w:left w:val="nil"/>
              <w:bottom w:val="nil"/>
              <w:right w:val="nil"/>
            </w:tcBorders>
            <w:shd w:val="clear" w:color="auto" w:fill="auto"/>
            <w:noWrap/>
            <w:vAlign w:val="center"/>
            <w:hideMark/>
          </w:tcPr>
          <w:p w14:paraId="06989BE7"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[0.0742; 0.467]</w:t>
            </w:r>
          </w:p>
        </w:tc>
        <w:tc>
          <w:tcPr>
            <w:tcW w:w="416" w:type="pct"/>
            <w:tcBorders>
              <w:top w:val="nil"/>
              <w:left w:val="nil"/>
              <w:bottom w:val="nil"/>
              <w:right w:val="nil"/>
            </w:tcBorders>
            <w:shd w:val="clear" w:color="auto" w:fill="auto"/>
            <w:noWrap/>
            <w:vAlign w:val="center"/>
            <w:hideMark/>
          </w:tcPr>
          <w:p w14:paraId="27A1A8F0"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0.242</w:t>
            </w:r>
          </w:p>
        </w:tc>
        <w:tc>
          <w:tcPr>
            <w:tcW w:w="556" w:type="pct"/>
            <w:tcBorders>
              <w:top w:val="nil"/>
              <w:left w:val="nil"/>
              <w:bottom w:val="nil"/>
              <w:right w:val="nil"/>
            </w:tcBorders>
            <w:shd w:val="clear" w:color="auto" w:fill="auto"/>
            <w:noWrap/>
            <w:vAlign w:val="center"/>
            <w:hideMark/>
          </w:tcPr>
          <w:p w14:paraId="7FDAC59E"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Yes</w:t>
            </w:r>
          </w:p>
        </w:tc>
      </w:tr>
      <w:tr w:rsidR="0046229B" w:rsidRPr="003F6924" w14:paraId="59461D1E"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48DEFCC3"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H2</w:t>
            </w:r>
          </w:p>
        </w:tc>
        <w:tc>
          <w:tcPr>
            <w:tcW w:w="1188" w:type="pct"/>
            <w:tcBorders>
              <w:top w:val="nil"/>
              <w:left w:val="nil"/>
              <w:bottom w:val="nil"/>
              <w:right w:val="nil"/>
            </w:tcBorders>
            <w:shd w:val="clear" w:color="auto" w:fill="auto"/>
            <w:noWrap/>
            <w:vAlign w:val="center"/>
            <w:hideMark/>
          </w:tcPr>
          <w:p w14:paraId="2D93AC18"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DTD -&gt; DTC</w:t>
            </w:r>
          </w:p>
        </w:tc>
        <w:tc>
          <w:tcPr>
            <w:tcW w:w="625" w:type="pct"/>
            <w:tcBorders>
              <w:top w:val="nil"/>
              <w:left w:val="nil"/>
              <w:bottom w:val="nil"/>
              <w:right w:val="nil"/>
            </w:tcBorders>
            <w:shd w:val="clear" w:color="auto" w:fill="auto"/>
            <w:noWrap/>
            <w:vAlign w:val="center"/>
            <w:hideMark/>
          </w:tcPr>
          <w:p w14:paraId="153DD3BD"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0.237</w:t>
            </w:r>
          </w:p>
        </w:tc>
        <w:tc>
          <w:tcPr>
            <w:tcW w:w="486" w:type="pct"/>
            <w:tcBorders>
              <w:top w:val="nil"/>
              <w:left w:val="nil"/>
              <w:bottom w:val="nil"/>
              <w:right w:val="nil"/>
            </w:tcBorders>
            <w:shd w:val="clear" w:color="auto" w:fill="auto"/>
            <w:noWrap/>
            <w:vAlign w:val="center"/>
            <w:hideMark/>
          </w:tcPr>
          <w:p w14:paraId="7FF0A3EB"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3.284</w:t>
            </w:r>
          </w:p>
        </w:tc>
        <w:tc>
          <w:tcPr>
            <w:tcW w:w="416" w:type="pct"/>
            <w:tcBorders>
              <w:top w:val="nil"/>
              <w:left w:val="nil"/>
              <w:bottom w:val="nil"/>
              <w:right w:val="nil"/>
            </w:tcBorders>
            <w:shd w:val="clear" w:color="auto" w:fill="auto"/>
            <w:noWrap/>
            <w:vAlign w:val="center"/>
            <w:hideMark/>
          </w:tcPr>
          <w:p w14:paraId="4DCD594B"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0.001</w:t>
            </w:r>
          </w:p>
        </w:tc>
        <w:tc>
          <w:tcPr>
            <w:tcW w:w="972" w:type="pct"/>
            <w:tcBorders>
              <w:top w:val="nil"/>
              <w:left w:val="nil"/>
              <w:bottom w:val="nil"/>
              <w:right w:val="nil"/>
            </w:tcBorders>
            <w:shd w:val="clear" w:color="auto" w:fill="auto"/>
            <w:noWrap/>
            <w:vAlign w:val="center"/>
            <w:hideMark/>
          </w:tcPr>
          <w:p w14:paraId="59E773E0"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[0.0718; 0.449]</w:t>
            </w:r>
          </w:p>
        </w:tc>
        <w:tc>
          <w:tcPr>
            <w:tcW w:w="416" w:type="pct"/>
            <w:tcBorders>
              <w:top w:val="nil"/>
              <w:left w:val="nil"/>
              <w:bottom w:val="nil"/>
              <w:right w:val="nil"/>
            </w:tcBorders>
            <w:shd w:val="clear" w:color="auto" w:fill="auto"/>
            <w:noWrap/>
            <w:vAlign w:val="center"/>
            <w:hideMark/>
          </w:tcPr>
          <w:p w14:paraId="1F554C37"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0.146</w:t>
            </w:r>
          </w:p>
        </w:tc>
        <w:tc>
          <w:tcPr>
            <w:tcW w:w="556" w:type="pct"/>
            <w:tcBorders>
              <w:top w:val="nil"/>
              <w:left w:val="nil"/>
              <w:bottom w:val="nil"/>
              <w:right w:val="nil"/>
            </w:tcBorders>
            <w:shd w:val="clear" w:color="auto" w:fill="auto"/>
            <w:noWrap/>
            <w:vAlign w:val="center"/>
            <w:hideMark/>
          </w:tcPr>
          <w:p w14:paraId="2659ACC7"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Yes</w:t>
            </w:r>
          </w:p>
        </w:tc>
      </w:tr>
      <w:tr w:rsidR="0046229B" w:rsidRPr="003F6924" w14:paraId="23FF79FC"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71D7E508"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H3</w:t>
            </w:r>
          </w:p>
        </w:tc>
        <w:tc>
          <w:tcPr>
            <w:tcW w:w="1188" w:type="pct"/>
            <w:tcBorders>
              <w:top w:val="nil"/>
              <w:left w:val="nil"/>
              <w:bottom w:val="nil"/>
              <w:right w:val="nil"/>
            </w:tcBorders>
            <w:shd w:val="clear" w:color="auto" w:fill="auto"/>
            <w:noWrap/>
            <w:vAlign w:val="center"/>
            <w:hideMark/>
          </w:tcPr>
          <w:p w14:paraId="027A5BA5"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LC -&gt; DTC</w:t>
            </w:r>
          </w:p>
        </w:tc>
        <w:tc>
          <w:tcPr>
            <w:tcW w:w="625" w:type="pct"/>
            <w:tcBorders>
              <w:top w:val="nil"/>
              <w:left w:val="nil"/>
              <w:bottom w:val="nil"/>
              <w:right w:val="nil"/>
            </w:tcBorders>
            <w:shd w:val="clear" w:color="auto" w:fill="auto"/>
            <w:noWrap/>
            <w:vAlign w:val="center"/>
            <w:hideMark/>
          </w:tcPr>
          <w:p w14:paraId="2B1A869C"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0.240</w:t>
            </w:r>
          </w:p>
        </w:tc>
        <w:tc>
          <w:tcPr>
            <w:tcW w:w="486" w:type="pct"/>
            <w:tcBorders>
              <w:top w:val="nil"/>
              <w:left w:val="nil"/>
              <w:bottom w:val="nil"/>
              <w:right w:val="nil"/>
            </w:tcBorders>
            <w:shd w:val="clear" w:color="auto" w:fill="auto"/>
            <w:noWrap/>
            <w:vAlign w:val="center"/>
            <w:hideMark/>
          </w:tcPr>
          <w:p w14:paraId="33AAD4F5"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1.675</w:t>
            </w:r>
          </w:p>
        </w:tc>
        <w:tc>
          <w:tcPr>
            <w:tcW w:w="416" w:type="pct"/>
            <w:tcBorders>
              <w:top w:val="nil"/>
              <w:left w:val="nil"/>
              <w:bottom w:val="nil"/>
              <w:right w:val="nil"/>
            </w:tcBorders>
            <w:shd w:val="clear" w:color="auto" w:fill="auto"/>
            <w:noWrap/>
            <w:vAlign w:val="center"/>
            <w:hideMark/>
          </w:tcPr>
          <w:p w14:paraId="3BB89405"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0.047</w:t>
            </w:r>
          </w:p>
        </w:tc>
        <w:tc>
          <w:tcPr>
            <w:tcW w:w="972" w:type="pct"/>
            <w:tcBorders>
              <w:top w:val="nil"/>
              <w:left w:val="nil"/>
              <w:bottom w:val="nil"/>
              <w:right w:val="nil"/>
            </w:tcBorders>
            <w:shd w:val="clear" w:color="auto" w:fill="auto"/>
            <w:noWrap/>
            <w:vAlign w:val="center"/>
            <w:hideMark/>
          </w:tcPr>
          <w:p w14:paraId="33135590"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[-0.0859; 0.995]</w:t>
            </w:r>
          </w:p>
        </w:tc>
        <w:tc>
          <w:tcPr>
            <w:tcW w:w="416" w:type="pct"/>
            <w:tcBorders>
              <w:top w:val="nil"/>
              <w:left w:val="nil"/>
              <w:bottom w:val="nil"/>
              <w:right w:val="nil"/>
            </w:tcBorders>
            <w:shd w:val="clear" w:color="auto" w:fill="auto"/>
            <w:noWrap/>
            <w:vAlign w:val="center"/>
            <w:hideMark/>
          </w:tcPr>
          <w:p w14:paraId="07C655AD"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0.096</w:t>
            </w:r>
          </w:p>
        </w:tc>
        <w:tc>
          <w:tcPr>
            <w:tcW w:w="556" w:type="pct"/>
            <w:tcBorders>
              <w:top w:val="nil"/>
              <w:left w:val="nil"/>
              <w:bottom w:val="nil"/>
              <w:right w:val="nil"/>
            </w:tcBorders>
            <w:shd w:val="clear" w:color="auto" w:fill="auto"/>
            <w:noWrap/>
            <w:vAlign w:val="center"/>
            <w:hideMark/>
          </w:tcPr>
          <w:p w14:paraId="5ED17196"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Yes</w:t>
            </w:r>
          </w:p>
        </w:tc>
      </w:tr>
      <w:tr w:rsidR="0046229B" w:rsidRPr="003F6924" w14:paraId="6CE5E66F"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1AF78101"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H4</w:t>
            </w:r>
          </w:p>
        </w:tc>
        <w:tc>
          <w:tcPr>
            <w:tcW w:w="1188" w:type="pct"/>
            <w:tcBorders>
              <w:top w:val="nil"/>
              <w:left w:val="nil"/>
              <w:bottom w:val="nil"/>
              <w:right w:val="nil"/>
            </w:tcBorders>
            <w:shd w:val="clear" w:color="auto" w:fill="auto"/>
            <w:noWrap/>
            <w:vAlign w:val="center"/>
            <w:hideMark/>
          </w:tcPr>
          <w:p w14:paraId="241CCFA4"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DTS -&gt; DTC</w:t>
            </w:r>
          </w:p>
        </w:tc>
        <w:tc>
          <w:tcPr>
            <w:tcW w:w="625" w:type="pct"/>
            <w:tcBorders>
              <w:top w:val="nil"/>
              <w:left w:val="nil"/>
              <w:bottom w:val="nil"/>
              <w:right w:val="nil"/>
            </w:tcBorders>
            <w:shd w:val="clear" w:color="auto" w:fill="auto"/>
            <w:noWrap/>
            <w:vAlign w:val="center"/>
            <w:hideMark/>
          </w:tcPr>
          <w:p w14:paraId="00569CFA"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0.144</w:t>
            </w:r>
          </w:p>
        </w:tc>
        <w:tc>
          <w:tcPr>
            <w:tcW w:w="486" w:type="pct"/>
            <w:tcBorders>
              <w:top w:val="nil"/>
              <w:left w:val="nil"/>
              <w:bottom w:val="nil"/>
              <w:right w:val="nil"/>
            </w:tcBorders>
            <w:shd w:val="clear" w:color="auto" w:fill="auto"/>
            <w:noWrap/>
            <w:vAlign w:val="center"/>
            <w:hideMark/>
          </w:tcPr>
          <w:p w14:paraId="15D0C07F"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4.428</w:t>
            </w:r>
          </w:p>
        </w:tc>
        <w:tc>
          <w:tcPr>
            <w:tcW w:w="416" w:type="pct"/>
            <w:tcBorders>
              <w:top w:val="nil"/>
              <w:left w:val="nil"/>
              <w:bottom w:val="nil"/>
              <w:right w:val="nil"/>
            </w:tcBorders>
            <w:shd w:val="clear" w:color="auto" w:fill="auto"/>
            <w:noWrap/>
            <w:vAlign w:val="center"/>
            <w:hideMark/>
          </w:tcPr>
          <w:p w14:paraId="047578EC"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0.000</w:t>
            </w:r>
          </w:p>
        </w:tc>
        <w:tc>
          <w:tcPr>
            <w:tcW w:w="972" w:type="pct"/>
            <w:tcBorders>
              <w:top w:val="nil"/>
              <w:left w:val="nil"/>
              <w:bottom w:val="nil"/>
              <w:right w:val="nil"/>
            </w:tcBorders>
            <w:shd w:val="clear" w:color="auto" w:fill="auto"/>
            <w:noWrap/>
            <w:vAlign w:val="center"/>
            <w:hideMark/>
          </w:tcPr>
          <w:p w14:paraId="29AC9ABB"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[0.0609; 0.231]</w:t>
            </w:r>
          </w:p>
        </w:tc>
        <w:tc>
          <w:tcPr>
            <w:tcW w:w="416" w:type="pct"/>
            <w:tcBorders>
              <w:top w:val="nil"/>
              <w:left w:val="nil"/>
              <w:bottom w:val="nil"/>
              <w:right w:val="nil"/>
            </w:tcBorders>
            <w:shd w:val="clear" w:color="auto" w:fill="auto"/>
            <w:noWrap/>
            <w:vAlign w:val="center"/>
            <w:hideMark/>
          </w:tcPr>
          <w:p w14:paraId="5DB8CF48"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0.157</w:t>
            </w:r>
          </w:p>
        </w:tc>
        <w:tc>
          <w:tcPr>
            <w:tcW w:w="556" w:type="pct"/>
            <w:tcBorders>
              <w:top w:val="nil"/>
              <w:left w:val="nil"/>
              <w:bottom w:val="nil"/>
              <w:right w:val="nil"/>
            </w:tcBorders>
            <w:shd w:val="clear" w:color="auto" w:fill="auto"/>
            <w:noWrap/>
            <w:vAlign w:val="center"/>
            <w:hideMark/>
          </w:tcPr>
          <w:p w14:paraId="15F4D6EC"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Yes</w:t>
            </w:r>
          </w:p>
        </w:tc>
      </w:tr>
      <w:tr w:rsidR="0046229B" w:rsidRPr="003F6924" w14:paraId="0F582D6C"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4AC63433"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H5</w:t>
            </w:r>
          </w:p>
        </w:tc>
        <w:tc>
          <w:tcPr>
            <w:tcW w:w="1188" w:type="pct"/>
            <w:tcBorders>
              <w:top w:val="nil"/>
              <w:left w:val="nil"/>
              <w:bottom w:val="nil"/>
              <w:right w:val="nil"/>
            </w:tcBorders>
            <w:shd w:val="clear" w:color="auto" w:fill="auto"/>
            <w:noWrap/>
            <w:vAlign w:val="center"/>
            <w:hideMark/>
          </w:tcPr>
          <w:p w14:paraId="30CD5661"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ECC -&gt; DTC</w:t>
            </w:r>
          </w:p>
        </w:tc>
        <w:tc>
          <w:tcPr>
            <w:tcW w:w="625" w:type="pct"/>
            <w:tcBorders>
              <w:top w:val="nil"/>
              <w:left w:val="nil"/>
              <w:bottom w:val="nil"/>
              <w:right w:val="nil"/>
            </w:tcBorders>
            <w:shd w:val="clear" w:color="auto" w:fill="auto"/>
            <w:noWrap/>
            <w:vAlign w:val="center"/>
            <w:hideMark/>
          </w:tcPr>
          <w:p w14:paraId="50779683"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0.129</w:t>
            </w:r>
          </w:p>
        </w:tc>
        <w:tc>
          <w:tcPr>
            <w:tcW w:w="486" w:type="pct"/>
            <w:tcBorders>
              <w:top w:val="nil"/>
              <w:left w:val="nil"/>
              <w:bottom w:val="nil"/>
              <w:right w:val="nil"/>
            </w:tcBorders>
            <w:shd w:val="clear" w:color="auto" w:fill="auto"/>
            <w:noWrap/>
            <w:vAlign w:val="center"/>
            <w:hideMark/>
          </w:tcPr>
          <w:p w14:paraId="16D6002D"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2.161</w:t>
            </w:r>
          </w:p>
        </w:tc>
        <w:tc>
          <w:tcPr>
            <w:tcW w:w="416" w:type="pct"/>
            <w:tcBorders>
              <w:top w:val="nil"/>
              <w:left w:val="nil"/>
              <w:bottom w:val="nil"/>
              <w:right w:val="nil"/>
            </w:tcBorders>
            <w:shd w:val="clear" w:color="auto" w:fill="auto"/>
            <w:noWrap/>
            <w:vAlign w:val="center"/>
            <w:hideMark/>
          </w:tcPr>
          <w:p w14:paraId="2AD176FF"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0.016</w:t>
            </w:r>
          </w:p>
        </w:tc>
        <w:tc>
          <w:tcPr>
            <w:tcW w:w="972" w:type="pct"/>
            <w:tcBorders>
              <w:top w:val="nil"/>
              <w:left w:val="nil"/>
              <w:bottom w:val="nil"/>
              <w:right w:val="nil"/>
            </w:tcBorders>
            <w:shd w:val="clear" w:color="auto" w:fill="auto"/>
            <w:noWrap/>
            <w:vAlign w:val="center"/>
            <w:hideMark/>
          </w:tcPr>
          <w:p w14:paraId="40CED467"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[-0.0481; 0.294]</w:t>
            </w:r>
          </w:p>
        </w:tc>
        <w:tc>
          <w:tcPr>
            <w:tcW w:w="416" w:type="pct"/>
            <w:tcBorders>
              <w:top w:val="nil"/>
              <w:left w:val="nil"/>
              <w:bottom w:val="nil"/>
              <w:right w:val="nil"/>
            </w:tcBorders>
            <w:shd w:val="clear" w:color="auto" w:fill="auto"/>
            <w:noWrap/>
            <w:vAlign w:val="center"/>
            <w:hideMark/>
          </w:tcPr>
          <w:p w14:paraId="59B73CFF"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0.053</w:t>
            </w:r>
          </w:p>
        </w:tc>
        <w:tc>
          <w:tcPr>
            <w:tcW w:w="556" w:type="pct"/>
            <w:tcBorders>
              <w:top w:val="nil"/>
              <w:left w:val="nil"/>
              <w:bottom w:val="nil"/>
              <w:right w:val="nil"/>
            </w:tcBorders>
            <w:shd w:val="clear" w:color="auto" w:fill="auto"/>
            <w:noWrap/>
            <w:vAlign w:val="center"/>
            <w:hideMark/>
          </w:tcPr>
          <w:p w14:paraId="65ABEAB6"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Yes</w:t>
            </w:r>
          </w:p>
        </w:tc>
      </w:tr>
      <w:tr w:rsidR="0046229B" w:rsidRPr="003F6924" w14:paraId="37FBB052"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44D351E4"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H6</w:t>
            </w:r>
          </w:p>
        </w:tc>
        <w:tc>
          <w:tcPr>
            <w:tcW w:w="1188" w:type="pct"/>
            <w:tcBorders>
              <w:top w:val="nil"/>
              <w:left w:val="nil"/>
              <w:bottom w:val="nil"/>
              <w:right w:val="nil"/>
            </w:tcBorders>
            <w:shd w:val="clear" w:color="auto" w:fill="auto"/>
            <w:noWrap/>
            <w:vAlign w:val="center"/>
            <w:hideMark/>
          </w:tcPr>
          <w:p w14:paraId="79F96081"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BRM -&gt; DTC</w:t>
            </w:r>
          </w:p>
        </w:tc>
        <w:tc>
          <w:tcPr>
            <w:tcW w:w="625" w:type="pct"/>
            <w:tcBorders>
              <w:top w:val="nil"/>
              <w:left w:val="nil"/>
              <w:bottom w:val="nil"/>
              <w:right w:val="nil"/>
            </w:tcBorders>
            <w:shd w:val="clear" w:color="auto" w:fill="auto"/>
            <w:noWrap/>
            <w:vAlign w:val="center"/>
            <w:hideMark/>
          </w:tcPr>
          <w:p w14:paraId="6EF83C68"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-0.070</w:t>
            </w:r>
          </w:p>
        </w:tc>
        <w:tc>
          <w:tcPr>
            <w:tcW w:w="486" w:type="pct"/>
            <w:tcBorders>
              <w:top w:val="nil"/>
              <w:left w:val="nil"/>
              <w:bottom w:val="nil"/>
              <w:right w:val="nil"/>
            </w:tcBorders>
            <w:shd w:val="clear" w:color="auto" w:fill="auto"/>
            <w:noWrap/>
            <w:vAlign w:val="center"/>
            <w:hideMark/>
          </w:tcPr>
          <w:p w14:paraId="44325240"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-1.936</w:t>
            </w:r>
          </w:p>
        </w:tc>
        <w:tc>
          <w:tcPr>
            <w:tcW w:w="416" w:type="pct"/>
            <w:tcBorders>
              <w:top w:val="nil"/>
              <w:left w:val="nil"/>
              <w:bottom w:val="nil"/>
              <w:right w:val="nil"/>
            </w:tcBorders>
            <w:shd w:val="clear" w:color="auto" w:fill="auto"/>
            <w:noWrap/>
            <w:vAlign w:val="center"/>
            <w:hideMark/>
          </w:tcPr>
          <w:p w14:paraId="598A2D73"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0.027</w:t>
            </w:r>
          </w:p>
        </w:tc>
        <w:tc>
          <w:tcPr>
            <w:tcW w:w="972" w:type="pct"/>
            <w:tcBorders>
              <w:top w:val="nil"/>
              <w:left w:val="nil"/>
              <w:bottom w:val="nil"/>
              <w:right w:val="nil"/>
            </w:tcBorders>
            <w:shd w:val="clear" w:color="auto" w:fill="auto"/>
            <w:noWrap/>
            <w:vAlign w:val="center"/>
            <w:hideMark/>
          </w:tcPr>
          <w:p w14:paraId="24FE8A91"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[-0.1526; 0.048]</w:t>
            </w:r>
          </w:p>
        </w:tc>
        <w:tc>
          <w:tcPr>
            <w:tcW w:w="416" w:type="pct"/>
            <w:tcBorders>
              <w:top w:val="nil"/>
              <w:left w:val="nil"/>
              <w:bottom w:val="nil"/>
              <w:right w:val="nil"/>
            </w:tcBorders>
            <w:shd w:val="clear" w:color="auto" w:fill="auto"/>
            <w:noWrap/>
            <w:vAlign w:val="center"/>
            <w:hideMark/>
          </w:tcPr>
          <w:p w14:paraId="5416A4D5"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0.038</w:t>
            </w:r>
          </w:p>
        </w:tc>
        <w:tc>
          <w:tcPr>
            <w:tcW w:w="556" w:type="pct"/>
            <w:tcBorders>
              <w:top w:val="nil"/>
              <w:left w:val="nil"/>
              <w:bottom w:val="nil"/>
              <w:right w:val="nil"/>
            </w:tcBorders>
            <w:shd w:val="clear" w:color="auto" w:fill="auto"/>
            <w:noWrap/>
            <w:vAlign w:val="center"/>
            <w:hideMark/>
          </w:tcPr>
          <w:p w14:paraId="03BE5626"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Yes</w:t>
            </w:r>
          </w:p>
        </w:tc>
      </w:tr>
      <w:tr w:rsidR="0046229B" w:rsidRPr="003F6924" w14:paraId="3CB61351"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4DA7FC53"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H7</w:t>
            </w:r>
          </w:p>
        </w:tc>
        <w:tc>
          <w:tcPr>
            <w:tcW w:w="1188" w:type="pct"/>
            <w:tcBorders>
              <w:top w:val="nil"/>
              <w:left w:val="nil"/>
              <w:bottom w:val="nil"/>
              <w:right w:val="nil"/>
            </w:tcBorders>
            <w:shd w:val="clear" w:color="auto" w:fill="auto"/>
            <w:noWrap/>
            <w:vAlign w:val="center"/>
            <w:hideMark/>
          </w:tcPr>
          <w:p w14:paraId="4087E161"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BCC -&gt; DTC</w:t>
            </w:r>
          </w:p>
        </w:tc>
        <w:tc>
          <w:tcPr>
            <w:tcW w:w="625" w:type="pct"/>
            <w:tcBorders>
              <w:top w:val="nil"/>
              <w:left w:val="nil"/>
              <w:bottom w:val="nil"/>
              <w:right w:val="nil"/>
            </w:tcBorders>
            <w:shd w:val="clear" w:color="auto" w:fill="auto"/>
            <w:noWrap/>
            <w:vAlign w:val="center"/>
            <w:hideMark/>
          </w:tcPr>
          <w:p w14:paraId="37DE2F4A"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-0.016</w:t>
            </w:r>
          </w:p>
        </w:tc>
        <w:tc>
          <w:tcPr>
            <w:tcW w:w="486" w:type="pct"/>
            <w:tcBorders>
              <w:top w:val="nil"/>
              <w:left w:val="nil"/>
              <w:bottom w:val="nil"/>
              <w:right w:val="nil"/>
            </w:tcBorders>
            <w:shd w:val="clear" w:color="auto" w:fill="auto"/>
            <w:noWrap/>
            <w:vAlign w:val="center"/>
            <w:hideMark/>
          </w:tcPr>
          <w:p w14:paraId="61C8F6AF"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-0.141</w:t>
            </w:r>
          </w:p>
        </w:tc>
        <w:tc>
          <w:tcPr>
            <w:tcW w:w="416" w:type="pct"/>
            <w:tcBorders>
              <w:top w:val="nil"/>
              <w:left w:val="nil"/>
              <w:bottom w:val="nil"/>
              <w:right w:val="nil"/>
            </w:tcBorders>
            <w:shd w:val="clear" w:color="auto" w:fill="auto"/>
            <w:noWrap/>
            <w:vAlign w:val="center"/>
            <w:hideMark/>
          </w:tcPr>
          <w:p w14:paraId="75AC7861"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0.444</w:t>
            </w:r>
          </w:p>
        </w:tc>
        <w:tc>
          <w:tcPr>
            <w:tcW w:w="972" w:type="pct"/>
            <w:tcBorders>
              <w:top w:val="nil"/>
              <w:left w:val="nil"/>
              <w:bottom w:val="nil"/>
              <w:right w:val="nil"/>
            </w:tcBorders>
            <w:shd w:val="clear" w:color="auto" w:fill="auto"/>
            <w:noWrap/>
            <w:vAlign w:val="center"/>
            <w:hideMark/>
          </w:tcPr>
          <w:p w14:paraId="74931526"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[-0.3653; 0.337]</w:t>
            </w:r>
          </w:p>
        </w:tc>
        <w:tc>
          <w:tcPr>
            <w:tcW w:w="416" w:type="pct"/>
            <w:tcBorders>
              <w:top w:val="nil"/>
              <w:left w:val="nil"/>
              <w:bottom w:val="nil"/>
              <w:right w:val="nil"/>
            </w:tcBorders>
            <w:shd w:val="clear" w:color="auto" w:fill="auto"/>
            <w:noWrap/>
            <w:vAlign w:val="center"/>
            <w:hideMark/>
          </w:tcPr>
          <w:p w14:paraId="499F5302"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0.001</w:t>
            </w:r>
          </w:p>
        </w:tc>
        <w:tc>
          <w:tcPr>
            <w:tcW w:w="556" w:type="pct"/>
            <w:tcBorders>
              <w:top w:val="nil"/>
              <w:left w:val="nil"/>
              <w:bottom w:val="nil"/>
              <w:right w:val="nil"/>
            </w:tcBorders>
            <w:shd w:val="clear" w:color="auto" w:fill="auto"/>
            <w:noWrap/>
            <w:vAlign w:val="center"/>
            <w:hideMark/>
          </w:tcPr>
          <w:p w14:paraId="0040457A"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No</w:t>
            </w:r>
          </w:p>
        </w:tc>
      </w:tr>
      <w:tr w:rsidR="0046229B" w:rsidRPr="003F6924" w14:paraId="051591A0"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300FD488"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H8</w:t>
            </w:r>
          </w:p>
        </w:tc>
        <w:tc>
          <w:tcPr>
            <w:tcW w:w="1188" w:type="pct"/>
            <w:tcBorders>
              <w:top w:val="nil"/>
              <w:left w:val="nil"/>
              <w:bottom w:val="nil"/>
              <w:right w:val="nil"/>
            </w:tcBorders>
            <w:shd w:val="clear" w:color="auto" w:fill="auto"/>
            <w:noWrap/>
            <w:vAlign w:val="center"/>
            <w:hideMark/>
          </w:tcPr>
          <w:p w14:paraId="6A593FEB"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DTP-&gt; DTC</w:t>
            </w:r>
          </w:p>
        </w:tc>
        <w:tc>
          <w:tcPr>
            <w:tcW w:w="625" w:type="pct"/>
            <w:tcBorders>
              <w:top w:val="nil"/>
              <w:left w:val="nil"/>
              <w:bottom w:val="nil"/>
              <w:right w:val="nil"/>
            </w:tcBorders>
            <w:shd w:val="clear" w:color="auto" w:fill="auto"/>
            <w:noWrap/>
            <w:vAlign w:val="center"/>
            <w:hideMark/>
          </w:tcPr>
          <w:p w14:paraId="7CF60464"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0.126</w:t>
            </w:r>
          </w:p>
        </w:tc>
        <w:tc>
          <w:tcPr>
            <w:tcW w:w="486" w:type="pct"/>
            <w:tcBorders>
              <w:top w:val="nil"/>
              <w:left w:val="nil"/>
              <w:bottom w:val="nil"/>
              <w:right w:val="nil"/>
            </w:tcBorders>
            <w:shd w:val="clear" w:color="auto" w:fill="auto"/>
            <w:noWrap/>
            <w:vAlign w:val="center"/>
            <w:hideMark/>
          </w:tcPr>
          <w:p w14:paraId="0513715C"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3.142</w:t>
            </w:r>
          </w:p>
        </w:tc>
        <w:tc>
          <w:tcPr>
            <w:tcW w:w="416" w:type="pct"/>
            <w:tcBorders>
              <w:top w:val="nil"/>
              <w:left w:val="nil"/>
              <w:bottom w:val="nil"/>
              <w:right w:val="nil"/>
            </w:tcBorders>
            <w:shd w:val="clear" w:color="auto" w:fill="auto"/>
            <w:noWrap/>
            <w:vAlign w:val="center"/>
            <w:hideMark/>
          </w:tcPr>
          <w:p w14:paraId="55F081CE"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0.001</w:t>
            </w:r>
          </w:p>
        </w:tc>
        <w:tc>
          <w:tcPr>
            <w:tcW w:w="972" w:type="pct"/>
            <w:tcBorders>
              <w:top w:val="nil"/>
              <w:left w:val="nil"/>
              <w:bottom w:val="nil"/>
              <w:right w:val="nil"/>
            </w:tcBorders>
            <w:shd w:val="clear" w:color="auto" w:fill="auto"/>
            <w:noWrap/>
            <w:vAlign w:val="center"/>
            <w:hideMark/>
          </w:tcPr>
          <w:p w14:paraId="06B09C33"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[0.0225; 0.231]</w:t>
            </w:r>
          </w:p>
        </w:tc>
        <w:tc>
          <w:tcPr>
            <w:tcW w:w="416" w:type="pct"/>
            <w:tcBorders>
              <w:top w:val="nil"/>
              <w:left w:val="nil"/>
              <w:bottom w:val="nil"/>
              <w:right w:val="nil"/>
            </w:tcBorders>
            <w:shd w:val="clear" w:color="auto" w:fill="auto"/>
            <w:noWrap/>
            <w:vAlign w:val="center"/>
            <w:hideMark/>
          </w:tcPr>
          <w:p w14:paraId="4064F445"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0.090</w:t>
            </w:r>
          </w:p>
        </w:tc>
        <w:tc>
          <w:tcPr>
            <w:tcW w:w="556" w:type="pct"/>
            <w:tcBorders>
              <w:top w:val="nil"/>
              <w:left w:val="nil"/>
              <w:bottom w:val="nil"/>
              <w:right w:val="nil"/>
            </w:tcBorders>
            <w:shd w:val="clear" w:color="auto" w:fill="auto"/>
            <w:noWrap/>
            <w:vAlign w:val="center"/>
            <w:hideMark/>
          </w:tcPr>
          <w:p w14:paraId="7BFBC731"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Yes</w:t>
            </w:r>
          </w:p>
        </w:tc>
      </w:tr>
      <w:tr w:rsidR="0046229B" w:rsidRPr="003F6924" w14:paraId="00A53C7B"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27804D1E"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H9</w:t>
            </w:r>
          </w:p>
        </w:tc>
        <w:tc>
          <w:tcPr>
            <w:tcW w:w="1188" w:type="pct"/>
            <w:tcBorders>
              <w:top w:val="nil"/>
              <w:left w:val="nil"/>
              <w:bottom w:val="nil"/>
              <w:right w:val="nil"/>
            </w:tcBorders>
            <w:shd w:val="clear" w:color="auto" w:fill="auto"/>
            <w:noWrap/>
            <w:vAlign w:val="center"/>
            <w:hideMark/>
          </w:tcPr>
          <w:p w14:paraId="001B2EE6"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BFC -&gt; DTC</w:t>
            </w:r>
          </w:p>
        </w:tc>
        <w:tc>
          <w:tcPr>
            <w:tcW w:w="625" w:type="pct"/>
            <w:tcBorders>
              <w:top w:val="nil"/>
              <w:left w:val="nil"/>
              <w:bottom w:val="nil"/>
              <w:right w:val="nil"/>
            </w:tcBorders>
            <w:shd w:val="clear" w:color="auto" w:fill="auto"/>
            <w:noWrap/>
            <w:vAlign w:val="center"/>
            <w:hideMark/>
          </w:tcPr>
          <w:p w14:paraId="2DE2ED78"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0.103</w:t>
            </w:r>
          </w:p>
        </w:tc>
        <w:tc>
          <w:tcPr>
            <w:tcW w:w="486" w:type="pct"/>
            <w:tcBorders>
              <w:top w:val="nil"/>
              <w:left w:val="nil"/>
              <w:bottom w:val="nil"/>
              <w:right w:val="nil"/>
            </w:tcBorders>
            <w:shd w:val="clear" w:color="auto" w:fill="auto"/>
            <w:noWrap/>
            <w:vAlign w:val="center"/>
            <w:hideMark/>
          </w:tcPr>
          <w:p w14:paraId="75BCEC1C"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0.699</w:t>
            </w:r>
          </w:p>
        </w:tc>
        <w:tc>
          <w:tcPr>
            <w:tcW w:w="416" w:type="pct"/>
            <w:tcBorders>
              <w:top w:val="nil"/>
              <w:left w:val="nil"/>
              <w:bottom w:val="nil"/>
              <w:right w:val="nil"/>
            </w:tcBorders>
            <w:shd w:val="clear" w:color="auto" w:fill="auto"/>
            <w:noWrap/>
            <w:vAlign w:val="center"/>
            <w:hideMark/>
          </w:tcPr>
          <w:p w14:paraId="6BBADC64"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0.243</w:t>
            </w:r>
          </w:p>
        </w:tc>
        <w:tc>
          <w:tcPr>
            <w:tcW w:w="972" w:type="pct"/>
            <w:tcBorders>
              <w:top w:val="nil"/>
              <w:left w:val="nil"/>
              <w:bottom w:val="nil"/>
              <w:right w:val="nil"/>
            </w:tcBorders>
            <w:shd w:val="clear" w:color="auto" w:fill="auto"/>
            <w:noWrap/>
            <w:vAlign w:val="center"/>
            <w:hideMark/>
          </w:tcPr>
          <w:p w14:paraId="7AA5C9A8"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[-0.6903; 0.373]</w:t>
            </w:r>
          </w:p>
        </w:tc>
        <w:tc>
          <w:tcPr>
            <w:tcW w:w="416" w:type="pct"/>
            <w:tcBorders>
              <w:top w:val="nil"/>
              <w:left w:val="nil"/>
              <w:bottom w:val="nil"/>
              <w:right w:val="nil"/>
            </w:tcBorders>
            <w:shd w:val="clear" w:color="auto" w:fill="auto"/>
            <w:noWrap/>
            <w:vAlign w:val="center"/>
            <w:hideMark/>
          </w:tcPr>
          <w:p w14:paraId="4536306F"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0.023</w:t>
            </w:r>
          </w:p>
        </w:tc>
        <w:tc>
          <w:tcPr>
            <w:tcW w:w="556" w:type="pct"/>
            <w:tcBorders>
              <w:top w:val="nil"/>
              <w:left w:val="nil"/>
              <w:bottom w:val="nil"/>
              <w:right w:val="nil"/>
            </w:tcBorders>
            <w:shd w:val="clear" w:color="auto" w:fill="auto"/>
            <w:noWrap/>
            <w:vAlign w:val="center"/>
            <w:hideMark/>
          </w:tcPr>
          <w:p w14:paraId="4AECFCA6"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No</w:t>
            </w:r>
          </w:p>
        </w:tc>
      </w:tr>
      <w:tr w:rsidR="0046229B" w:rsidRPr="003F6924" w14:paraId="7A735B0B"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5E0DFBCB"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H10</w:t>
            </w:r>
          </w:p>
        </w:tc>
        <w:tc>
          <w:tcPr>
            <w:tcW w:w="1188" w:type="pct"/>
            <w:tcBorders>
              <w:top w:val="nil"/>
              <w:left w:val="nil"/>
              <w:bottom w:val="nil"/>
              <w:right w:val="nil"/>
            </w:tcBorders>
            <w:shd w:val="clear" w:color="auto" w:fill="auto"/>
            <w:noWrap/>
            <w:vAlign w:val="center"/>
            <w:hideMark/>
          </w:tcPr>
          <w:p w14:paraId="59819507"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GDS -&gt; DTC</w:t>
            </w:r>
          </w:p>
        </w:tc>
        <w:tc>
          <w:tcPr>
            <w:tcW w:w="625" w:type="pct"/>
            <w:tcBorders>
              <w:top w:val="nil"/>
              <w:left w:val="nil"/>
              <w:bottom w:val="nil"/>
              <w:right w:val="nil"/>
            </w:tcBorders>
            <w:shd w:val="clear" w:color="auto" w:fill="auto"/>
            <w:noWrap/>
            <w:vAlign w:val="center"/>
            <w:hideMark/>
          </w:tcPr>
          <w:p w14:paraId="5B3F23A1"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-0.040</w:t>
            </w:r>
          </w:p>
        </w:tc>
        <w:tc>
          <w:tcPr>
            <w:tcW w:w="486" w:type="pct"/>
            <w:tcBorders>
              <w:top w:val="nil"/>
              <w:left w:val="nil"/>
              <w:bottom w:val="nil"/>
              <w:right w:val="nil"/>
            </w:tcBorders>
            <w:shd w:val="clear" w:color="auto" w:fill="auto"/>
            <w:noWrap/>
            <w:vAlign w:val="center"/>
            <w:hideMark/>
          </w:tcPr>
          <w:p w14:paraId="2046BB85"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-0.826</w:t>
            </w:r>
          </w:p>
        </w:tc>
        <w:tc>
          <w:tcPr>
            <w:tcW w:w="416" w:type="pct"/>
            <w:tcBorders>
              <w:top w:val="nil"/>
              <w:left w:val="nil"/>
              <w:bottom w:val="nil"/>
              <w:right w:val="nil"/>
            </w:tcBorders>
            <w:shd w:val="clear" w:color="auto" w:fill="auto"/>
            <w:noWrap/>
            <w:vAlign w:val="center"/>
            <w:hideMark/>
          </w:tcPr>
          <w:p w14:paraId="5494A399"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0.205</w:t>
            </w:r>
          </w:p>
        </w:tc>
        <w:tc>
          <w:tcPr>
            <w:tcW w:w="972" w:type="pct"/>
            <w:tcBorders>
              <w:top w:val="nil"/>
              <w:left w:val="nil"/>
              <w:bottom w:val="nil"/>
              <w:right w:val="nil"/>
            </w:tcBorders>
            <w:shd w:val="clear" w:color="auto" w:fill="auto"/>
            <w:noWrap/>
            <w:vAlign w:val="center"/>
            <w:hideMark/>
          </w:tcPr>
          <w:p w14:paraId="65550CF5"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[-0.1758; 0.085]</w:t>
            </w:r>
          </w:p>
        </w:tc>
        <w:tc>
          <w:tcPr>
            <w:tcW w:w="416" w:type="pct"/>
            <w:tcBorders>
              <w:top w:val="nil"/>
              <w:left w:val="nil"/>
              <w:bottom w:val="nil"/>
              <w:right w:val="nil"/>
            </w:tcBorders>
            <w:shd w:val="clear" w:color="auto" w:fill="auto"/>
            <w:noWrap/>
            <w:vAlign w:val="center"/>
            <w:hideMark/>
          </w:tcPr>
          <w:p w14:paraId="0ADEEDD2"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0.007</w:t>
            </w:r>
          </w:p>
        </w:tc>
        <w:tc>
          <w:tcPr>
            <w:tcW w:w="556" w:type="pct"/>
            <w:tcBorders>
              <w:top w:val="nil"/>
              <w:left w:val="nil"/>
              <w:bottom w:val="nil"/>
              <w:right w:val="nil"/>
            </w:tcBorders>
            <w:shd w:val="clear" w:color="auto" w:fill="auto"/>
            <w:noWrap/>
            <w:vAlign w:val="center"/>
            <w:hideMark/>
          </w:tcPr>
          <w:p w14:paraId="25564A76"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No</w:t>
            </w:r>
          </w:p>
        </w:tc>
      </w:tr>
      <w:tr w:rsidR="0046229B" w:rsidRPr="003F6924" w14:paraId="6EF9A49D"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3678AE75"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H11</w:t>
            </w:r>
          </w:p>
        </w:tc>
        <w:tc>
          <w:tcPr>
            <w:tcW w:w="1188" w:type="pct"/>
            <w:tcBorders>
              <w:top w:val="nil"/>
              <w:left w:val="nil"/>
              <w:bottom w:val="nil"/>
              <w:right w:val="nil"/>
            </w:tcBorders>
            <w:shd w:val="clear" w:color="auto" w:fill="auto"/>
            <w:noWrap/>
            <w:vAlign w:val="center"/>
            <w:hideMark/>
          </w:tcPr>
          <w:p w14:paraId="4EC982EA"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DTC -&gt; LDT</w:t>
            </w:r>
          </w:p>
        </w:tc>
        <w:tc>
          <w:tcPr>
            <w:tcW w:w="625" w:type="pct"/>
            <w:tcBorders>
              <w:top w:val="nil"/>
              <w:left w:val="nil"/>
              <w:bottom w:val="nil"/>
              <w:right w:val="nil"/>
            </w:tcBorders>
            <w:shd w:val="clear" w:color="auto" w:fill="auto"/>
            <w:noWrap/>
            <w:vAlign w:val="center"/>
            <w:hideMark/>
          </w:tcPr>
          <w:p w14:paraId="23B01EA1"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0.552</w:t>
            </w:r>
          </w:p>
        </w:tc>
        <w:tc>
          <w:tcPr>
            <w:tcW w:w="486" w:type="pct"/>
            <w:tcBorders>
              <w:top w:val="nil"/>
              <w:left w:val="nil"/>
              <w:bottom w:val="nil"/>
              <w:right w:val="nil"/>
            </w:tcBorders>
            <w:shd w:val="clear" w:color="auto" w:fill="auto"/>
            <w:noWrap/>
            <w:vAlign w:val="center"/>
            <w:hideMark/>
          </w:tcPr>
          <w:p w14:paraId="3693D53D"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9.919</w:t>
            </w:r>
          </w:p>
        </w:tc>
        <w:tc>
          <w:tcPr>
            <w:tcW w:w="416" w:type="pct"/>
            <w:tcBorders>
              <w:top w:val="nil"/>
              <w:left w:val="nil"/>
              <w:bottom w:val="nil"/>
              <w:right w:val="nil"/>
            </w:tcBorders>
            <w:shd w:val="clear" w:color="auto" w:fill="auto"/>
            <w:noWrap/>
            <w:vAlign w:val="center"/>
            <w:hideMark/>
          </w:tcPr>
          <w:p w14:paraId="60685B53"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0.000</w:t>
            </w:r>
          </w:p>
        </w:tc>
        <w:tc>
          <w:tcPr>
            <w:tcW w:w="972" w:type="pct"/>
            <w:tcBorders>
              <w:top w:val="nil"/>
              <w:left w:val="nil"/>
              <w:bottom w:val="nil"/>
              <w:right w:val="nil"/>
            </w:tcBorders>
            <w:shd w:val="clear" w:color="auto" w:fill="auto"/>
            <w:noWrap/>
            <w:vAlign w:val="center"/>
            <w:hideMark/>
          </w:tcPr>
          <w:p w14:paraId="1E847B03"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[0.4015; 0.692]</w:t>
            </w:r>
          </w:p>
        </w:tc>
        <w:tc>
          <w:tcPr>
            <w:tcW w:w="416" w:type="pct"/>
            <w:tcBorders>
              <w:top w:val="nil"/>
              <w:left w:val="nil"/>
              <w:bottom w:val="nil"/>
              <w:right w:val="nil"/>
            </w:tcBorders>
            <w:shd w:val="clear" w:color="auto" w:fill="auto"/>
            <w:noWrap/>
            <w:vAlign w:val="center"/>
            <w:hideMark/>
          </w:tcPr>
          <w:p w14:paraId="5B6FDF3B"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0.438</w:t>
            </w:r>
          </w:p>
        </w:tc>
        <w:tc>
          <w:tcPr>
            <w:tcW w:w="556" w:type="pct"/>
            <w:tcBorders>
              <w:top w:val="nil"/>
              <w:left w:val="nil"/>
              <w:bottom w:val="nil"/>
              <w:right w:val="nil"/>
            </w:tcBorders>
            <w:shd w:val="clear" w:color="auto" w:fill="auto"/>
            <w:noWrap/>
            <w:vAlign w:val="center"/>
            <w:hideMark/>
          </w:tcPr>
          <w:p w14:paraId="6DD3BCAA"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Yes</w:t>
            </w:r>
          </w:p>
        </w:tc>
      </w:tr>
      <w:tr w:rsidR="0046229B" w:rsidRPr="003F6924" w14:paraId="1E0F9598"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7A2D19BC"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Med</w:t>
            </w:r>
          </w:p>
        </w:tc>
        <w:tc>
          <w:tcPr>
            <w:tcW w:w="1188" w:type="pct"/>
            <w:tcBorders>
              <w:top w:val="nil"/>
              <w:left w:val="nil"/>
              <w:bottom w:val="nil"/>
              <w:right w:val="nil"/>
            </w:tcBorders>
            <w:shd w:val="clear" w:color="auto" w:fill="auto"/>
            <w:noWrap/>
            <w:vAlign w:val="center"/>
            <w:hideMark/>
          </w:tcPr>
          <w:p w14:paraId="2F41477F"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BTP -&gt; DTC -&gt; LTD</w:t>
            </w:r>
          </w:p>
        </w:tc>
        <w:tc>
          <w:tcPr>
            <w:tcW w:w="625" w:type="pct"/>
            <w:tcBorders>
              <w:top w:val="nil"/>
              <w:left w:val="nil"/>
              <w:bottom w:val="nil"/>
              <w:right w:val="nil"/>
            </w:tcBorders>
            <w:shd w:val="clear" w:color="auto" w:fill="auto"/>
            <w:noWrap/>
            <w:vAlign w:val="center"/>
            <w:hideMark/>
          </w:tcPr>
          <w:p w14:paraId="766092E6"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0.151</w:t>
            </w:r>
          </w:p>
        </w:tc>
        <w:tc>
          <w:tcPr>
            <w:tcW w:w="486" w:type="pct"/>
            <w:tcBorders>
              <w:top w:val="nil"/>
              <w:left w:val="nil"/>
              <w:bottom w:val="nil"/>
              <w:right w:val="nil"/>
            </w:tcBorders>
            <w:shd w:val="clear" w:color="auto" w:fill="auto"/>
            <w:noWrap/>
            <w:vAlign w:val="center"/>
            <w:hideMark/>
          </w:tcPr>
          <w:p w14:paraId="71F0717F"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3.671</w:t>
            </w:r>
          </w:p>
        </w:tc>
        <w:tc>
          <w:tcPr>
            <w:tcW w:w="416" w:type="pct"/>
            <w:tcBorders>
              <w:top w:val="nil"/>
              <w:left w:val="nil"/>
              <w:bottom w:val="nil"/>
              <w:right w:val="nil"/>
            </w:tcBorders>
            <w:shd w:val="clear" w:color="auto" w:fill="auto"/>
            <w:noWrap/>
            <w:vAlign w:val="center"/>
            <w:hideMark/>
          </w:tcPr>
          <w:p w14:paraId="303EFD5D"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0.000</w:t>
            </w:r>
          </w:p>
        </w:tc>
        <w:tc>
          <w:tcPr>
            <w:tcW w:w="972" w:type="pct"/>
            <w:tcBorders>
              <w:top w:val="nil"/>
              <w:left w:val="nil"/>
              <w:bottom w:val="nil"/>
              <w:right w:val="nil"/>
            </w:tcBorders>
            <w:shd w:val="clear" w:color="auto" w:fill="auto"/>
            <w:noWrap/>
            <w:vAlign w:val="center"/>
            <w:hideMark/>
          </w:tcPr>
          <w:p w14:paraId="7B8AA5BC"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[0.0449; 0.281]</w:t>
            </w:r>
          </w:p>
        </w:tc>
        <w:tc>
          <w:tcPr>
            <w:tcW w:w="416" w:type="pct"/>
            <w:tcBorders>
              <w:top w:val="nil"/>
              <w:left w:val="nil"/>
              <w:bottom w:val="nil"/>
              <w:right w:val="nil"/>
            </w:tcBorders>
            <w:shd w:val="clear" w:color="auto" w:fill="auto"/>
            <w:noWrap/>
            <w:vAlign w:val="center"/>
            <w:hideMark/>
          </w:tcPr>
          <w:p w14:paraId="11050C0B"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NA</w:t>
            </w:r>
          </w:p>
        </w:tc>
        <w:tc>
          <w:tcPr>
            <w:tcW w:w="556" w:type="pct"/>
            <w:tcBorders>
              <w:top w:val="nil"/>
              <w:left w:val="nil"/>
              <w:bottom w:val="nil"/>
              <w:right w:val="nil"/>
            </w:tcBorders>
            <w:shd w:val="clear" w:color="auto" w:fill="auto"/>
            <w:noWrap/>
            <w:vAlign w:val="center"/>
            <w:hideMark/>
          </w:tcPr>
          <w:p w14:paraId="09ABC775"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Yes</w:t>
            </w:r>
          </w:p>
        </w:tc>
      </w:tr>
      <w:tr w:rsidR="0046229B" w:rsidRPr="003F6924" w14:paraId="43304C39"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56EAA3A3"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Med</w:t>
            </w:r>
          </w:p>
        </w:tc>
        <w:tc>
          <w:tcPr>
            <w:tcW w:w="1188" w:type="pct"/>
            <w:tcBorders>
              <w:top w:val="nil"/>
              <w:left w:val="nil"/>
              <w:bottom w:val="nil"/>
              <w:right w:val="nil"/>
            </w:tcBorders>
            <w:shd w:val="clear" w:color="auto" w:fill="auto"/>
            <w:noWrap/>
            <w:vAlign w:val="center"/>
            <w:hideMark/>
          </w:tcPr>
          <w:p w14:paraId="02947FA2"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DTD -&gt; DTC -&gt; LDT</w:t>
            </w:r>
          </w:p>
        </w:tc>
        <w:tc>
          <w:tcPr>
            <w:tcW w:w="625" w:type="pct"/>
            <w:tcBorders>
              <w:top w:val="nil"/>
              <w:left w:val="nil"/>
              <w:bottom w:val="nil"/>
              <w:right w:val="nil"/>
            </w:tcBorders>
            <w:shd w:val="clear" w:color="auto" w:fill="auto"/>
            <w:noWrap/>
            <w:vAlign w:val="center"/>
            <w:hideMark/>
          </w:tcPr>
          <w:p w14:paraId="15F10E0B"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0.131</w:t>
            </w:r>
          </w:p>
        </w:tc>
        <w:tc>
          <w:tcPr>
            <w:tcW w:w="486" w:type="pct"/>
            <w:tcBorders>
              <w:top w:val="nil"/>
              <w:left w:val="nil"/>
              <w:bottom w:val="nil"/>
              <w:right w:val="nil"/>
            </w:tcBorders>
            <w:shd w:val="clear" w:color="auto" w:fill="auto"/>
            <w:noWrap/>
            <w:vAlign w:val="center"/>
            <w:hideMark/>
          </w:tcPr>
          <w:p w14:paraId="5BB48B92"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3.143</w:t>
            </w:r>
          </w:p>
        </w:tc>
        <w:tc>
          <w:tcPr>
            <w:tcW w:w="416" w:type="pct"/>
            <w:tcBorders>
              <w:top w:val="nil"/>
              <w:left w:val="nil"/>
              <w:bottom w:val="nil"/>
              <w:right w:val="nil"/>
            </w:tcBorders>
            <w:shd w:val="clear" w:color="auto" w:fill="auto"/>
            <w:noWrap/>
            <w:vAlign w:val="center"/>
            <w:hideMark/>
          </w:tcPr>
          <w:p w14:paraId="385B4D23"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0.001</w:t>
            </w:r>
          </w:p>
        </w:tc>
        <w:tc>
          <w:tcPr>
            <w:tcW w:w="972" w:type="pct"/>
            <w:tcBorders>
              <w:top w:val="nil"/>
              <w:left w:val="nil"/>
              <w:bottom w:val="nil"/>
              <w:right w:val="nil"/>
            </w:tcBorders>
            <w:shd w:val="clear" w:color="auto" w:fill="auto"/>
            <w:noWrap/>
            <w:vAlign w:val="center"/>
            <w:hideMark/>
          </w:tcPr>
          <w:p w14:paraId="21AAFD2D"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[0.0352; 0.259]</w:t>
            </w:r>
          </w:p>
        </w:tc>
        <w:tc>
          <w:tcPr>
            <w:tcW w:w="416" w:type="pct"/>
            <w:tcBorders>
              <w:top w:val="nil"/>
              <w:left w:val="nil"/>
              <w:bottom w:val="nil"/>
              <w:right w:val="nil"/>
            </w:tcBorders>
            <w:shd w:val="clear" w:color="auto" w:fill="auto"/>
            <w:noWrap/>
            <w:vAlign w:val="center"/>
            <w:hideMark/>
          </w:tcPr>
          <w:p w14:paraId="37BF696F"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NA</w:t>
            </w:r>
          </w:p>
        </w:tc>
        <w:tc>
          <w:tcPr>
            <w:tcW w:w="556" w:type="pct"/>
            <w:tcBorders>
              <w:top w:val="nil"/>
              <w:left w:val="nil"/>
              <w:bottom w:val="nil"/>
              <w:right w:val="nil"/>
            </w:tcBorders>
            <w:shd w:val="clear" w:color="auto" w:fill="auto"/>
            <w:noWrap/>
            <w:vAlign w:val="center"/>
            <w:hideMark/>
          </w:tcPr>
          <w:p w14:paraId="453CA91B"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Yes</w:t>
            </w:r>
          </w:p>
        </w:tc>
      </w:tr>
      <w:tr w:rsidR="0046229B" w:rsidRPr="003F6924" w14:paraId="41AF1DB7"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2EE8F143"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Med</w:t>
            </w:r>
          </w:p>
        </w:tc>
        <w:tc>
          <w:tcPr>
            <w:tcW w:w="1188" w:type="pct"/>
            <w:tcBorders>
              <w:top w:val="nil"/>
              <w:left w:val="nil"/>
              <w:bottom w:val="nil"/>
              <w:right w:val="nil"/>
            </w:tcBorders>
            <w:shd w:val="clear" w:color="auto" w:fill="auto"/>
            <w:noWrap/>
            <w:vAlign w:val="center"/>
            <w:hideMark/>
          </w:tcPr>
          <w:p w14:paraId="397C66EA"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LC -&gt; DTC -&gt; LDT</w:t>
            </w:r>
          </w:p>
        </w:tc>
        <w:tc>
          <w:tcPr>
            <w:tcW w:w="625" w:type="pct"/>
            <w:tcBorders>
              <w:top w:val="nil"/>
              <w:left w:val="nil"/>
              <w:bottom w:val="nil"/>
              <w:right w:val="nil"/>
            </w:tcBorders>
            <w:shd w:val="clear" w:color="auto" w:fill="auto"/>
            <w:noWrap/>
            <w:vAlign w:val="center"/>
            <w:hideMark/>
          </w:tcPr>
          <w:p w14:paraId="7484F519"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0.133</w:t>
            </w:r>
          </w:p>
        </w:tc>
        <w:tc>
          <w:tcPr>
            <w:tcW w:w="486" w:type="pct"/>
            <w:tcBorders>
              <w:top w:val="nil"/>
              <w:left w:val="nil"/>
              <w:bottom w:val="nil"/>
              <w:right w:val="nil"/>
            </w:tcBorders>
            <w:shd w:val="clear" w:color="auto" w:fill="auto"/>
            <w:noWrap/>
            <w:vAlign w:val="center"/>
            <w:hideMark/>
          </w:tcPr>
          <w:p w14:paraId="2BBBB4F9"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1.740</w:t>
            </w:r>
          </w:p>
        </w:tc>
        <w:tc>
          <w:tcPr>
            <w:tcW w:w="416" w:type="pct"/>
            <w:tcBorders>
              <w:top w:val="nil"/>
              <w:left w:val="nil"/>
              <w:bottom w:val="nil"/>
              <w:right w:val="nil"/>
            </w:tcBorders>
            <w:shd w:val="clear" w:color="auto" w:fill="auto"/>
            <w:noWrap/>
            <w:vAlign w:val="center"/>
            <w:hideMark/>
          </w:tcPr>
          <w:p w14:paraId="5B1A75B8"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0.041</w:t>
            </w:r>
          </w:p>
        </w:tc>
        <w:tc>
          <w:tcPr>
            <w:tcW w:w="972" w:type="pct"/>
            <w:tcBorders>
              <w:top w:val="nil"/>
              <w:left w:val="nil"/>
              <w:bottom w:val="nil"/>
              <w:right w:val="nil"/>
            </w:tcBorders>
            <w:shd w:val="clear" w:color="auto" w:fill="auto"/>
            <w:noWrap/>
            <w:vAlign w:val="center"/>
            <w:hideMark/>
          </w:tcPr>
          <w:p w14:paraId="2122F5B4"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[-0.0453; 0.459]</w:t>
            </w:r>
          </w:p>
        </w:tc>
        <w:tc>
          <w:tcPr>
            <w:tcW w:w="416" w:type="pct"/>
            <w:tcBorders>
              <w:top w:val="nil"/>
              <w:left w:val="nil"/>
              <w:bottom w:val="nil"/>
              <w:right w:val="nil"/>
            </w:tcBorders>
            <w:shd w:val="clear" w:color="auto" w:fill="auto"/>
            <w:noWrap/>
            <w:vAlign w:val="center"/>
            <w:hideMark/>
          </w:tcPr>
          <w:p w14:paraId="5538B668"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NA</w:t>
            </w:r>
          </w:p>
        </w:tc>
        <w:tc>
          <w:tcPr>
            <w:tcW w:w="556" w:type="pct"/>
            <w:tcBorders>
              <w:top w:val="nil"/>
              <w:left w:val="nil"/>
              <w:bottom w:val="nil"/>
              <w:right w:val="nil"/>
            </w:tcBorders>
            <w:shd w:val="clear" w:color="auto" w:fill="auto"/>
            <w:noWrap/>
            <w:vAlign w:val="center"/>
            <w:hideMark/>
          </w:tcPr>
          <w:p w14:paraId="7BBAA093"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Yes</w:t>
            </w:r>
          </w:p>
        </w:tc>
      </w:tr>
      <w:tr w:rsidR="0046229B" w:rsidRPr="003F6924" w14:paraId="04A8ED9F"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7613C820"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Med</w:t>
            </w:r>
          </w:p>
        </w:tc>
        <w:tc>
          <w:tcPr>
            <w:tcW w:w="1188" w:type="pct"/>
            <w:tcBorders>
              <w:top w:val="nil"/>
              <w:left w:val="nil"/>
              <w:bottom w:val="nil"/>
              <w:right w:val="nil"/>
            </w:tcBorders>
            <w:shd w:val="clear" w:color="auto" w:fill="auto"/>
            <w:noWrap/>
            <w:vAlign w:val="center"/>
            <w:hideMark/>
          </w:tcPr>
          <w:p w14:paraId="6FF15AE0"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DTS -&gt; DTC -&gt; LDT</w:t>
            </w:r>
          </w:p>
        </w:tc>
        <w:tc>
          <w:tcPr>
            <w:tcW w:w="625" w:type="pct"/>
            <w:tcBorders>
              <w:top w:val="nil"/>
              <w:left w:val="nil"/>
              <w:bottom w:val="nil"/>
              <w:right w:val="nil"/>
            </w:tcBorders>
            <w:shd w:val="clear" w:color="auto" w:fill="auto"/>
            <w:noWrap/>
            <w:vAlign w:val="center"/>
            <w:hideMark/>
          </w:tcPr>
          <w:p w14:paraId="193828E8"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0.080</w:t>
            </w:r>
          </w:p>
        </w:tc>
        <w:tc>
          <w:tcPr>
            <w:tcW w:w="486" w:type="pct"/>
            <w:tcBorders>
              <w:top w:val="nil"/>
              <w:left w:val="nil"/>
              <w:bottom w:val="nil"/>
              <w:right w:val="nil"/>
            </w:tcBorders>
            <w:shd w:val="clear" w:color="auto" w:fill="auto"/>
            <w:noWrap/>
            <w:vAlign w:val="center"/>
            <w:hideMark/>
          </w:tcPr>
          <w:p w14:paraId="1A86048E"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4.014</w:t>
            </w:r>
          </w:p>
        </w:tc>
        <w:tc>
          <w:tcPr>
            <w:tcW w:w="416" w:type="pct"/>
            <w:tcBorders>
              <w:top w:val="nil"/>
              <w:left w:val="nil"/>
              <w:bottom w:val="nil"/>
              <w:right w:val="nil"/>
            </w:tcBorders>
            <w:shd w:val="clear" w:color="auto" w:fill="auto"/>
            <w:noWrap/>
            <w:vAlign w:val="center"/>
            <w:hideMark/>
          </w:tcPr>
          <w:p w14:paraId="22697EE0"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0.000</w:t>
            </w:r>
          </w:p>
        </w:tc>
        <w:tc>
          <w:tcPr>
            <w:tcW w:w="972" w:type="pct"/>
            <w:tcBorders>
              <w:top w:val="nil"/>
              <w:left w:val="nil"/>
              <w:bottom w:val="nil"/>
              <w:right w:val="nil"/>
            </w:tcBorders>
            <w:shd w:val="clear" w:color="auto" w:fill="auto"/>
            <w:noWrap/>
            <w:vAlign w:val="center"/>
            <w:hideMark/>
          </w:tcPr>
          <w:p w14:paraId="44350F32"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[0.0359; 0.132]</w:t>
            </w:r>
          </w:p>
        </w:tc>
        <w:tc>
          <w:tcPr>
            <w:tcW w:w="416" w:type="pct"/>
            <w:tcBorders>
              <w:top w:val="nil"/>
              <w:left w:val="nil"/>
              <w:bottom w:val="nil"/>
              <w:right w:val="nil"/>
            </w:tcBorders>
            <w:shd w:val="clear" w:color="auto" w:fill="auto"/>
            <w:noWrap/>
            <w:vAlign w:val="center"/>
            <w:hideMark/>
          </w:tcPr>
          <w:p w14:paraId="4294D75E"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NA</w:t>
            </w:r>
          </w:p>
        </w:tc>
        <w:tc>
          <w:tcPr>
            <w:tcW w:w="556" w:type="pct"/>
            <w:tcBorders>
              <w:top w:val="nil"/>
              <w:left w:val="nil"/>
              <w:bottom w:val="nil"/>
              <w:right w:val="nil"/>
            </w:tcBorders>
            <w:shd w:val="clear" w:color="auto" w:fill="auto"/>
            <w:noWrap/>
            <w:vAlign w:val="center"/>
            <w:hideMark/>
          </w:tcPr>
          <w:p w14:paraId="631701B2"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Yes</w:t>
            </w:r>
          </w:p>
        </w:tc>
      </w:tr>
      <w:tr w:rsidR="0046229B" w:rsidRPr="003F6924" w14:paraId="44DDD6D8"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5FB0AC13"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Med</w:t>
            </w:r>
          </w:p>
        </w:tc>
        <w:tc>
          <w:tcPr>
            <w:tcW w:w="1188" w:type="pct"/>
            <w:tcBorders>
              <w:top w:val="nil"/>
              <w:left w:val="nil"/>
              <w:bottom w:val="nil"/>
              <w:right w:val="nil"/>
            </w:tcBorders>
            <w:shd w:val="clear" w:color="auto" w:fill="auto"/>
            <w:noWrap/>
            <w:vAlign w:val="center"/>
            <w:hideMark/>
          </w:tcPr>
          <w:p w14:paraId="17C64167"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ECC -&gt; DTC -&gt; LDT</w:t>
            </w:r>
          </w:p>
        </w:tc>
        <w:tc>
          <w:tcPr>
            <w:tcW w:w="625" w:type="pct"/>
            <w:tcBorders>
              <w:top w:val="nil"/>
              <w:left w:val="nil"/>
              <w:bottom w:val="nil"/>
              <w:right w:val="nil"/>
            </w:tcBorders>
            <w:shd w:val="clear" w:color="auto" w:fill="auto"/>
            <w:noWrap/>
            <w:vAlign w:val="center"/>
            <w:hideMark/>
          </w:tcPr>
          <w:p w14:paraId="2BC7C07F"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0.071</w:t>
            </w:r>
          </w:p>
        </w:tc>
        <w:tc>
          <w:tcPr>
            <w:tcW w:w="486" w:type="pct"/>
            <w:tcBorders>
              <w:top w:val="nil"/>
              <w:left w:val="nil"/>
              <w:bottom w:val="nil"/>
              <w:right w:val="nil"/>
            </w:tcBorders>
            <w:shd w:val="clear" w:color="auto" w:fill="auto"/>
            <w:noWrap/>
            <w:vAlign w:val="center"/>
            <w:hideMark/>
          </w:tcPr>
          <w:p w14:paraId="293084D5"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2.052</w:t>
            </w:r>
          </w:p>
        </w:tc>
        <w:tc>
          <w:tcPr>
            <w:tcW w:w="416" w:type="pct"/>
            <w:tcBorders>
              <w:top w:val="nil"/>
              <w:left w:val="nil"/>
              <w:bottom w:val="nil"/>
              <w:right w:val="nil"/>
            </w:tcBorders>
            <w:shd w:val="clear" w:color="auto" w:fill="auto"/>
            <w:noWrap/>
            <w:vAlign w:val="center"/>
            <w:hideMark/>
          </w:tcPr>
          <w:p w14:paraId="456497CD"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0.020</w:t>
            </w:r>
          </w:p>
        </w:tc>
        <w:tc>
          <w:tcPr>
            <w:tcW w:w="972" w:type="pct"/>
            <w:tcBorders>
              <w:top w:val="nil"/>
              <w:left w:val="nil"/>
              <w:bottom w:val="nil"/>
              <w:right w:val="nil"/>
            </w:tcBorders>
            <w:shd w:val="clear" w:color="auto" w:fill="auto"/>
            <w:noWrap/>
            <w:vAlign w:val="center"/>
            <w:hideMark/>
          </w:tcPr>
          <w:p w14:paraId="3F2064B2"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[-0.0258; 0.175]</w:t>
            </w:r>
          </w:p>
        </w:tc>
        <w:tc>
          <w:tcPr>
            <w:tcW w:w="416" w:type="pct"/>
            <w:tcBorders>
              <w:top w:val="nil"/>
              <w:left w:val="nil"/>
              <w:bottom w:val="nil"/>
              <w:right w:val="nil"/>
            </w:tcBorders>
            <w:shd w:val="clear" w:color="auto" w:fill="auto"/>
            <w:noWrap/>
            <w:vAlign w:val="center"/>
            <w:hideMark/>
          </w:tcPr>
          <w:p w14:paraId="58C3D69B"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NA</w:t>
            </w:r>
          </w:p>
        </w:tc>
        <w:tc>
          <w:tcPr>
            <w:tcW w:w="556" w:type="pct"/>
            <w:tcBorders>
              <w:top w:val="nil"/>
              <w:left w:val="nil"/>
              <w:bottom w:val="nil"/>
              <w:right w:val="nil"/>
            </w:tcBorders>
            <w:shd w:val="clear" w:color="auto" w:fill="auto"/>
            <w:noWrap/>
            <w:vAlign w:val="center"/>
            <w:hideMark/>
          </w:tcPr>
          <w:p w14:paraId="6C0CDF42"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Yes</w:t>
            </w:r>
          </w:p>
        </w:tc>
      </w:tr>
      <w:tr w:rsidR="0046229B" w:rsidRPr="003F6924" w14:paraId="2E692C3E"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0D87FDA7"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Med</w:t>
            </w:r>
          </w:p>
        </w:tc>
        <w:tc>
          <w:tcPr>
            <w:tcW w:w="1188" w:type="pct"/>
            <w:tcBorders>
              <w:top w:val="nil"/>
              <w:left w:val="nil"/>
              <w:bottom w:val="nil"/>
              <w:right w:val="nil"/>
            </w:tcBorders>
            <w:shd w:val="clear" w:color="auto" w:fill="auto"/>
            <w:noWrap/>
            <w:vAlign w:val="center"/>
            <w:hideMark/>
          </w:tcPr>
          <w:p w14:paraId="351AB9B3"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BRM -&gt; DTC -&gt; LDT</w:t>
            </w:r>
          </w:p>
        </w:tc>
        <w:tc>
          <w:tcPr>
            <w:tcW w:w="625" w:type="pct"/>
            <w:tcBorders>
              <w:top w:val="nil"/>
              <w:left w:val="nil"/>
              <w:bottom w:val="nil"/>
              <w:right w:val="nil"/>
            </w:tcBorders>
            <w:shd w:val="clear" w:color="auto" w:fill="auto"/>
            <w:noWrap/>
            <w:vAlign w:val="center"/>
            <w:hideMark/>
          </w:tcPr>
          <w:p w14:paraId="5D52CD2F"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-0.039</w:t>
            </w:r>
          </w:p>
        </w:tc>
        <w:tc>
          <w:tcPr>
            <w:tcW w:w="486" w:type="pct"/>
            <w:tcBorders>
              <w:top w:val="nil"/>
              <w:left w:val="nil"/>
              <w:bottom w:val="nil"/>
              <w:right w:val="nil"/>
            </w:tcBorders>
            <w:shd w:val="clear" w:color="auto" w:fill="auto"/>
            <w:noWrap/>
            <w:vAlign w:val="center"/>
            <w:hideMark/>
          </w:tcPr>
          <w:p w14:paraId="4C967704"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-1.904</w:t>
            </w:r>
          </w:p>
        </w:tc>
        <w:tc>
          <w:tcPr>
            <w:tcW w:w="416" w:type="pct"/>
            <w:tcBorders>
              <w:top w:val="nil"/>
              <w:left w:val="nil"/>
              <w:bottom w:val="nil"/>
              <w:right w:val="nil"/>
            </w:tcBorders>
            <w:shd w:val="clear" w:color="auto" w:fill="auto"/>
            <w:noWrap/>
            <w:vAlign w:val="center"/>
            <w:hideMark/>
          </w:tcPr>
          <w:p w14:paraId="4360A05B"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0.029</w:t>
            </w:r>
          </w:p>
        </w:tc>
        <w:tc>
          <w:tcPr>
            <w:tcW w:w="972" w:type="pct"/>
            <w:tcBorders>
              <w:top w:val="nil"/>
              <w:left w:val="nil"/>
              <w:bottom w:val="nil"/>
              <w:right w:val="nil"/>
            </w:tcBorders>
            <w:shd w:val="clear" w:color="auto" w:fill="auto"/>
            <w:noWrap/>
            <w:vAlign w:val="center"/>
            <w:hideMark/>
          </w:tcPr>
          <w:p w14:paraId="6CF49CF8"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[-0.0838; 0.025]</w:t>
            </w:r>
          </w:p>
        </w:tc>
        <w:tc>
          <w:tcPr>
            <w:tcW w:w="416" w:type="pct"/>
            <w:tcBorders>
              <w:top w:val="nil"/>
              <w:left w:val="nil"/>
              <w:bottom w:val="nil"/>
              <w:right w:val="nil"/>
            </w:tcBorders>
            <w:shd w:val="clear" w:color="auto" w:fill="auto"/>
            <w:noWrap/>
            <w:vAlign w:val="center"/>
            <w:hideMark/>
          </w:tcPr>
          <w:p w14:paraId="7F36D518"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NA</w:t>
            </w:r>
          </w:p>
        </w:tc>
        <w:tc>
          <w:tcPr>
            <w:tcW w:w="556" w:type="pct"/>
            <w:tcBorders>
              <w:top w:val="nil"/>
              <w:left w:val="nil"/>
              <w:bottom w:val="nil"/>
              <w:right w:val="nil"/>
            </w:tcBorders>
            <w:shd w:val="clear" w:color="auto" w:fill="auto"/>
            <w:noWrap/>
            <w:vAlign w:val="center"/>
            <w:hideMark/>
          </w:tcPr>
          <w:p w14:paraId="7599F56C"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Yes</w:t>
            </w:r>
          </w:p>
        </w:tc>
      </w:tr>
      <w:tr w:rsidR="0046229B" w:rsidRPr="003F6924" w14:paraId="65588668"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13D311AE"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Med</w:t>
            </w:r>
          </w:p>
        </w:tc>
        <w:tc>
          <w:tcPr>
            <w:tcW w:w="1188" w:type="pct"/>
            <w:tcBorders>
              <w:top w:val="nil"/>
              <w:left w:val="nil"/>
              <w:bottom w:val="nil"/>
              <w:right w:val="nil"/>
            </w:tcBorders>
            <w:shd w:val="clear" w:color="auto" w:fill="auto"/>
            <w:noWrap/>
            <w:vAlign w:val="center"/>
            <w:hideMark/>
          </w:tcPr>
          <w:p w14:paraId="2359FACF"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BCC -&gt; DTC -&gt; LDT</w:t>
            </w:r>
          </w:p>
        </w:tc>
        <w:tc>
          <w:tcPr>
            <w:tcW w:w="625" w:type="pct"/>
            <w:tcBorders>
              <w:top w:val="nil"/>
              <w:left w:val="nil"/>
              <w:bottom w:val="nil"/>
              <w:right w:val="nil"/>
            </w:tcBorders>
            <w:shd w:val="clear" w:color="auto" w:fill="auto"/>
            <w:noWrap/>
            <w:vAlign w:val="center"/>
            <w:hideMark/>
          </w:tcPr>
          <w:p w14:paraId="4DF78C53"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-0.009</w:t>
            </w:r>
          </w:p>
        </w:tc>
        <w:tc>
          <w:tcPr>
            <w:tcW w:w="486" w:type="pct"/>
            <w:tcBorders>
              <w:top w:val="nil"/>
              <w:left w:val="nil"/>
              <w:bottom w:val="nil"/>
              <w:right w:val="nil"/>
            </w:tcBorders>
            <w:shd w:val="clear" w:color="auto" w:fill="auto"/>
            <w:noWrap/>
            <w:vAlign w:val="center"/>
            <w:hideMark/>
          </w:tcPr>
          <w:p w14:paraId="2CCF1DAD"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-0.140</w:t>
            </w:r>
          </w:p>
        </w:tc>
        <w:tc>
          <w:tcPr>
            <w:tcW w:w="416" w:type="pct"/>
            <w:tcBorders>
              <w:top w:val="nil"/>
              <w:left w:val="nil"/>
              <w:bottom w:val="nil"/>
              <w:right w:val="nil"/>
            </w:tcBorders>
            <w:shd w:val="clear" w:color="auto" w:fill="auto"/>
            <w:noWrap/>
            <w:vAlign w:val="center"/>
            <w:hideMark/>
          </w:tcPr>
          <w:p w14:paraId="20B2414D"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0.445</w:t>
            </w:r>
          </w:p>
        </w:tc>
        <w:tc>
          <w:tcPr>
            <w:tcW w:w="972" w:type="pct"/>
            <w:tcBorders>
              <w:top w:val="nil"/>
              <w:left w:val="nil"/>
              <w:bottom w:val="nil"/>
              <w:right w:val="nil"/>
            </w:tcBorders>
            <w:shd w:val="clear" w:color="auto" w:fill="auto"/>
            <w:noWrap/>
            <w:vAlign w:val="center"/>
            <w:hideMark/>
          </w:tcPr>
          <w:p w14:paraId="717FFD70"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[-0.2179; 0.181]</w:t>
            </w:r>
          </w:p>
        </w:tc>
        <w:tc>
          <w:tcPr>
            <w:tcW w:w="416" w:type="pct"/>
            <w:tcBorders>
              <w:top w:val="nil"/>
              <w:left w:val="nil"/>
              <w:bottom w:val="nil"/>
              <w:right w:val="nil"/>
            </w:tcBorders>
            <w:shd w:val="clear" w:color="auto" w:fill="auto"/>
            <w:noWrap/>
            <w:vAlign w:val="center"/>
            <w:hideMark/>
          </w:tcPr>
          <w:p w14:paraId="562AA30E"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NA</w:t>
            </w:r>
          </w:p>
        </w:tc>
        <w:tc>
          <w:tcPr>
            <w:tcW w:w="556" w:type="pct"/>
            <w:tcBorders>
              <w:top w:val="nil"/>
              <w:left w:val="nil"/>
              <w:bottom w:val="nil"/>
              <w:right w:val="nil"/>
            </w:tcBorders>
            <w:shd w:val="clear" w:color="auto" w:fill="auto"/>
            <w:noWrap/>
            <w:vAlign w:val="center"/>
            <w:hideMark/>
          </w:tcPr>
          <w:p w14:paraId="3CBE232F"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No</w:t>
            </w:r>
          </w:p>
        </w:tc>
      </w:tr>
      <w:tr w:rsidR="0046229B" w:rsidRPr="003F6924" w14:paraId="41ABE396"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102936CD"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Med</w:t>
            </w:r>
          </w:p>
        </w:tc>
        <w:tc>
          <w:tcPr>
            <w:tcW w:w="1188" w:type="pct"/>
            <w:tcBorders>
              <w:top w:val="nil"/>
              <w:left w:val="nil"/>
              <w:bottom w:val="nil"/>
              <w:right w:val="nil"/>
            </w:tcBorders>
            <w:shd w:val="clear" w:color="auto" w:fill="auto"/>
            <w:noWrap/>
            <w:vAlign w:val="center"/>
            <w:hideMark/>
          </w:tcPr>
          <w:p w14:paraId="182802FC"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DTP-&gt; DTC -&gt; LDT</w:t>
            </w:r>
          </w:p>
        </w:tc>
        <w:tc>
          <w:tcPr>
            <w:tcW w:w="625" w:type="pct"/>
            <w:tcBorders>
              <w:top w:val="nil"/>
              <w:left w:val="nil"/>
              <w:bottom w:val="nil"/>
              <w:right w:val="nil"/>
            </w:tcBorders>
            <w:shd w:val="clear" w:color="auto" w:fill="auto"/>
            <w:noWrap/>
            <w:vAlign w:val="center"/>
            <w:hideMark/>
          </w:tcPr>
          <w:p w14:paraId="52072CFA"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0.070</w:t>
            </w:r>
          </w:p>
        </w:tc>
        <w:tc>
          <w:tcPr>
            <w:tcW w:w="486" w:type="pct"/>
            <w:tcBorders>
              <w:top w:val="nil"/>
              <w:left w:val="nil"/>
              <w:bottom w:val="nil"/>
              <w:right w:val="nil"/>
            </w:tcBorders>
            <w:shd w:val="clear" w:color="auto" w:fill="auto"/>
            <w:noWrap/>
            <w:vAlign w:val="center"/>
            <w:hideMark/>
          </w:tcPr>
          <w:p w14:paraId="78554BD5"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2.978</w:t>
            </w:r>
          </w:p>
        </w:tc>
        <w:tc>
          <w:tcPr>
            <w:tcW w:w="416" w:type="pct"/>
            <w:tcBorders>
              <w:top w:val="nil"/>
              <w:left w:val="nil"/>
              <w:bottom w:val="nil"/>
              <w:right w:val="nil"/>
            </w:tcBorders>
            <w:shd w:val="clear" w:color="auto" w:fill="auto"/>
            <w:noWrap/>
            <w:vAlign w:val="center"/>
            <w:hideMark/>
          </w:tcPr>
          <w:p w14:paraId="7B4B227C"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0.002</w:t>
            </w:r>
          </w:p>
        </w:tc>
        <w:tc>
          <w:tcPr>
            <w:tcW w:w="972" w:type="pct"/>
            <w:tcBorders>
              <w:top w:val="nil"/>
              <w:left w:val="nil"/>
              <w:bottom w:val="nil"/>
              <w:right w:val="nil"/>
            </w:tcBorders>
            <w:shd w:val="clear" w:color="auto" w:fill="auto"/>
            <w:noWrap/>
            <w:vAlign w:val="center"/>
            <w:hideMark/>
          </w:tcPr>
          <w:p w14:paraId="0C76F5D9"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[0.0117; 0.132]</w:t>
            </w:r>
          </w:p>
        </w:tc>
        <w:tc>
          <w:tcPr>
            <w:tcW w:w="416" w:type="pct"/>
            <w:tcBorders>
              <w:top w:val="nil"/>
              <w:left w:val="nil"/>
              <w:bottom w:val="nil"/>
              <w:right w:val="nil"/>
            </w:tcBorders>
            <w:shd w:val="clear" w:color="auto" w:fill="auto"/>
            <w:noWrap/>
            <w:vAlign w:val="center"/>
            <w:hideMark/>
          </w:tcPr>
          <w:p w14:paraId="4AC2309E"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NA</w:t>
            </w:r>
          </w:p>
        </w:tc>
        <w:tc>
          <w:tcPr>
            <w:tcW w:w="556" w:type="pct"/>
            <w:tcBorders>
              <w:top w:val="nil"/>
              <w:left w:val="nil"/>
              <w:bottom w:val="nil"/>
              <w:right w:val="nil"/>
            </w:tcBorders>
            <w:shd w:val="clear" w:color="auto" w:fill="auto"/>
            <w:noWrap/>
            <w:vAlign w:val="center"/>
            <w:hideMark/>
          </w:tcPr>
          <w:p w14:paraId="16CFEC60"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Yes</w:t>
            </w:r>
          </w:p>
        </w:tc>
      </w:tr>
      <w:tr w:rsidR="0046229B" w:rsidRPr="003F6924" w14:paraId="4DD5F01F" w14:textId="77777777" w:rsidTr="006E65F6">
        <w:trPr>
          <w:trHeight w:val="340"/>
          <w:jc w:val="center"/>
        </w:trPr>
        <w:tc>
          <w:tcPr>
            <w:tcW w:w="340" w:type="pct"/>
            <w:tcBorders>
              <w:top w:val="nil"/>
              <w:left w:val="nil"/>
              <w:bottom w:val="nil"/>
              <w:right w:val="nil"/>
            </w:tcBorders>
            <w:shd w:val="clear" w:color="auto" w:fill="auto"/>
            <w:noWrap/>
            <w:vAlign w:val="center"/>
            <w:hideMark/>
          </w:tcPr>
          <w:p w14:paraId="7A46BA9E"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Med</w:t>
            </w:r>
          </w:p>
        </w:tc>
        <w:tc>
          <w:tcPr>
            <w:tcW w:w="1188" w:type="pct"/>
            <w:tcBorders>
              <w:top w:val="nil"/>
              <w:left w:val="nil"/>
              <w:bottom w:val="nil"/>
              <w:right w:val="nil"/>
            </w:tcBorders>
            <w:shd w:val="clear" w:color="auto" w:fill="auto"/>
            <w:noWrap/>
            <w:vAlign w:val="center"/>
            <w:hideMark/>
          </w:tcPr>
          <w:p w14:paraId="06724A65"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BFC -&gt; DTC -&gt; LDT</w:t>
            </w:r>
          </w:p>
        </w:tc>
        <w:tc>
          <w:tcPr>
            <w:tcW w:w="625" w:type="pct"/>
            <w:tcBorders>
              <w:top w:val="nil"/>
              <w:left w:val="nil"/>
              <w:bottom w:val="nil"/>
              <w:right w:val="nil"/>
            </w:tcBorders>
            <w:shd w:val="clear" w:color="auto" w:fill="auto"/>
            <w:noWrap/>
            <w:vAlign w:val="center"/>
            <w:hideMark/>
          </w:tcPr>
          <w:p w14:paraId="699CB611"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0.057</w:t>
            </w:r>
          </w:p>
        </w:tc>
        <w:tc>
          <w:tcPr>
            <w:tcW w:w="486" w:type="pct"/>
            <w:tcBorders>
              <w:top w:val="nil"/>
              <w:left w:val="nil"/>
              <w:bottom w:val="nil"/>
              <w:right w:val="nil"/>
            </w:tcBorders>
            <w:shd w:val="clear" w:color="auto" w:fill="auto"/>
            <w:noWrap/>
            <w:vAlign w:val="center"/>
            <w:hideMark/>
          </w:tcPr>
          <w:p w14:paraId="3C019EEA"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0.707</w:t>
            </w:r>
          </w:p>
        </w:tc>
        <w:tc>
          <w:tcPr>
            <w:tcW w:w="416" w:type="pct"/>
            <w:tcBorders>
              <w:top w:val="nil"/>
              <w:left w:val="nil"/>
              <w:bottom w:val="nil"/>
              <w:right w:val="nil"/>
            </w:tcBorders>
            <w:shd w:val="clear" w:color="auto" w:fill="auto"/>
            <w:noWrap/>
            <w:vAlign w:val="center"/>
            <w:hideMark/>
          </w:tcPr>
          <w:p w14:paraId="253A50B3"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0.240</w:t>
            </w:r>
          </w:p>
        </w:tc>
        <w:tc>
          <w:tcPr>
            <w:tcW w:w="972" w:type="pct"/>
            <w:tcBorders>
              <w:top w:val="nil"/>
              <w:left w:val="nil"/>
              <w:bottom w:val="nil"/>
              <w:right w:val="nil"/>
            </w:tcBorders>
            <w:shd w:val="clear" w:color="auto" w:fill="auto"/>
            <w:noWrap/>
            <w:vAlign w:val="center"/>
            <w:hideMark/>
          </w:tcPr>
          <w:p w14:paraId="4936A6C3"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[-0.3473; 0.211]</w:t>
            </w:r>
          </w:p>
        </w:tc>
        <w:tc>
          <w:tcPr>
            <w:tcW w:w="416" w:type="pct"/>
            <w:tcBorders>
              <w:top w:val="nil"/>
              <w:left w:val="nil"/>
              <w:bottom w:val="nil"/>
              <w:right w:val="nil"/>
            </w:tcBorders>
            <w:shd w:val="clear" w:color="auto" w:fill="auto"/>
            <w:noWrap/>
            <w:vAlign w:val="center"/>
            <w:hideMark/>
          </w:tcPr>
          <w:p w14:paraId="50A86879"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NA</w:t>
            </w:r>
          </w:p>
        </w:tc>
        <w:tc>
          <w:tcPr>
            <w:tcW w:w="556" w:type="pct"/>
            <w:tcBorders>
              <w:top w:val="nil"/>
              <w:left w:val="nil"/>
              <w:bottom w:val="nil"/>
              <w:right w:val="nil"/>
            </w:tcBorders>
            <w:shd w:val="clear" w:color="auto" w:fill="auto"/>
            <w:noWrap/>
            <w:vAlign w:val="center"/>
            <w:hideMark/>
          </w:tcPr>
          <w:p w14:paraId="67BCB76E"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No</w:t>
            </w:r>
          </w:p>
        </w:tc>
      </w:tr>
      <w:tr w:rsidR="0046229B" w:rsidRPr="003F6924" w14:paraId="6E92B703" w14:textId="77777777" w:rsidTr="006E65F6">
        <w:trPr>
          <w:trHeight w:val="340"/>
          <w:jc w:val="center"/>
        </w:trPr>
        <w:tc>
          <w:tcPr>
            <w:tcW w:w="340" w:type="pct"/>
            <w:tcBorders>
              <w:top w:val="nil"/>
              <w:left w:val="nil"/>
              <w:bottom w:val="single" w:sz="4" w:space="0" w:color="auto"/>
              <w:right w:val="nil"/>
            </w:tcBorders>
            <w:shd w:val="clear" w:color="auto" w:fill="auto"/>
            <w:noWrap/>
            <w:vAlign w:val="center"/>
            <w:hideMark/>
          </w:tcPr>
          <w:p w14:paraId="2369A417"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Med</w:t>
            </w:r>
          </w:p>
        </w:tc>
        <w:tc>
          <w:tcPr>
            <w:tcW w:w="1188" w:type="pct"/>
            <w:tcBorders>
              <w:top w:val="nil"/>
              <w:left w:val="nil"/>
              <w:bottom w:val="single" w:sz="4" w:space="0" w:color="auto"/>
              <w:right w:val="nil"/>
            </w:tcBorders>
            <w:shd w:val="clear" w:color="auto" w:fill="auto"/>
            <w:noWrap/>
            <w:vAlign w:val="center"/>
            <w:hideMark/>
          </w:tcPr>
          <w:p w14:paraId="26C8BD21" w14:textId="77777777" w:rsidR="00EF6E62" w:rsidRPr="003F6924" w:rsidRDefault="00B543E4" w:rsidP="00567666">
            <w:pPr>
              <w:spacing w:after="0" w:line="240" w:lineRule="auto"/>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GDS -&gt; DTC -&gt; LDT</w:t>
            </w:r>
          </w:p>
        </w:tc>
        <w:tc>
          <w:tcPr>
            <w:tcW w:w="625" w:type="pct"/>
            <w:tcBorders>
              <w:top w:val="nil"/>
              <w:left w:val="nil"/>
              <w:bottom w:val="single" w:sz="4" w:space="0" w:color="auto"/>
              <w:right w:val="nil"/>
            </w:tcBorders>
            <w:shd w:val="clear" w:color="auto" w:fill="auto"/>
            <w:noWrap/>
            <w:vAlign w:val="center"/>
            <w:hideMark/>
          </w:tcPr>
          <w:p w14:paraId="7E0C6C5B"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-0.022</w:t>
            </w:r>
          </w:p>
        </w:tc>
        <w:tc>
          <w:tcPr>
            <w:tcW w:w="486" w:type="pct"/>
            <w:tcBorders>
              <w:top w:val="nil"/>
              <w:left w:val="nil"/>
              <w:bottom w:val="single" w:sz="4" w:space="0" w:color="auto"/>
              <w:right w:val="nil"/>
            </w:tcBorders>
            <w:shd w:val="clear" w:color="auto" w:fill="auto"/>
            <w:noWrap/>
            <w:vAlign w:val="center"/>
            <w:hideMark/>
          </w:tcPr>
          <w:p w14:paraId="3DA5E94D"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-0.813</w:t>
            </w:r>
          </w:p>
        </w:tc>
        <w:tc>
          <w:tcPr>
            <w:tcW w:w="416" w:type="pct"/>
            <w:tcBorders>
              <w:top w:val="nil"/>
              <w:left w:val="nil"/>
              <w:bottom w:val="single" w:sz="4" w:space="0" w:color="auto"/>
              <w:right w:val="nil"/>
            </w:tcBorders>
            <w:shd w:val="clear" w:color="auto" w:fill="auto"/>
            <w:noWrap/>
            <w:vAlign w:val="center"/>
            <w:hideMark/>
          </w:tcPr>
          <w:p w14:paraId="20F40DC2"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0.208</w:t>
            </w:r>
          </w:p>
        </w:tc>
        <w:tc>
          <w:tcPr>
            <w:tcW w:w="972" w:type="pct"/>
            <w:tcBorders>
              <w:top w:val="nil"/>
              <w:left w:val="nil"/>
              <w:bottom w:val="single" w:sz="4" w:space="0" w:color="auto"/>
              <w:right w:val="nil"/>
            </w:tcBorders>
            <w:shd w:val="clear" w:color="auto" w:fill="auto"/>
            <w:noWrap/>
            <w:vAlign w:val="center"/>
            <w:hideMark/>
          </w:tcPr>
          <w:p w14:paraId="4DC09CB3" w14:textId="77777777" w:rsidR="00EF6E62" w:rsidRPr="003F6924" w:rsidRDefault="00B543E4" w:rsidP="00567666">
            <w:pPr>
              <w:spacing w:after="0" w:line="240" w:lineRule="auto"/>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[-0.0982; 0.055]</w:t>
            </w:r>
          </w:p>
        </w:tc>
        <w:tc>
          <w:tcPr>
            <w:tcW w:w="416" w:type="pct"/>
            <w:tcBorders>
              <w:top w:val="nil"/>
              <w:left w:val="nil"/>
              <w:bottom w:val="single" w:sz="4" w:space="0" w:color="auto"/>
              <w:right w:val="nil"/>
            </w:tcBorders>
            <w:shd w:val="clear" w:color="auto" w:fill="auto"/>
            <w:noWrap/>
            <w:vAlign w:val="center"/>
            <w:hideMark/>
          </w:tcPr>
          <w:p w14:paraId="714854F8"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NA</w:t>
            </w:r>
          </w:p>
        </w:tc>
        <w:tc>
          <w:tcPr>
            <w:tcW w:w="556" w:type="pct"/>
            <w:tcBorders>
              <w:top w:val="nil"/>
              <w:left w:val="nil"/>
              <w:bottom w:val="single" w:sz="4" w:space="0" w:color="auto"/>
              <w:right w:val="nil"/>
            </w:tcBorders>
            <w:shd w:val="clear" w:color="auto" w:fill="auto"/>
            <w:noWrap/>
            <w:vAlign w:val="center"/>
            <w:hideMark/>
          </w:tcPr>
          <w:p w14:paraId="7EF0950B" w14:textId="77777777" w:rsidR="00EF6E62" w:rsidRPr="003F6924" w:rsidRDefault="00B543E4" w:rsidP="006E65F6">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No</w:t>
            </w:r>
          </w:p>
        </w:tc>
      </w:tr>
      <w:tr w:rsidR="0046229B" w:rsidRPr="003F6924" w14:paraId="16CA227B" w14:textId="77777777" w:rsidTr="005F3932">
        <w:trPr>
          <w:trHeight w:val="20"/>
          <w:jc w:val="center"/>
        </w:trPr>
        <w:tc>
          <w:tcPr>
            <w:tcW w:w="5000" w:type="pct"/>
            <w:gridSpan w:val="8"/>
            <w:tcBorders>
              <w:top w:val="single" w:sz="4" w:space="0" w:color="auto"/>
              <w:left w:val="nil"/>
              <w:bottom w:val="single" w:sz="4" w:space="0" w:color="auto"/>
              <w:right w:val="nil"/>
            </w:tcBorders>
            <w:shd w:val="clear" w:color="auto" w:fill="auto"/>
            <w:noWrap/>
            <w:vAlign w:val="center"/>
          </w:tcPr>
          <w:p w14:paraId="0D83DD36" w14:textId="77777777" w:rsidR="00EF6E62" w:rsidRPr="003F6924" w:rsidRDefault="00B543E4" w:rsidP="00FF291B">
            <w:pPr>
              <w:spacing w:after="0" w:line="300" w:lineRule="auto"/>
              <w:ind w:left="550" w:hangingChars="250" w:hanging="550"/>
              <w:jc w:val="both"/>
              <w:rPr>
                <w:rFonts w:ascii="Times New Roman" w:hAnsi="Times New Roman" w:cs="Times New Roman"/>
                <w:color w:val="000000" w:themeColor="text1"/>
                <w:lang w:val="en-US"/>
              </w:rPr>
            </w:pPr>
            <w:r w:rsidRPr="003F6924">
              <w:rPr>
                <w:rFonts w:ascii="Times New Roman" w:hAnsi="Times New Roman" w:cs="Times New Roman"/>
                <w:i/>
                <w:iCs/>
                <w:color w:val="000000" w:themeColor="text1"/>
                <w:lang w:val="en-US"/>
              </w:rPr>
              <w:t xml:space="preserve">Note: BTP – Bank technology platform, DTD – Digital transformation development, LC – leadership capability, DTS – Digital transformation strategy, ECC – Employee competency </w:t>
            </w:r>
            <w:r w:rsidR="0025775B" w:rsidRPr="003F6924">
              <w:rPr>
                <w:rFonts w:ascii="Times New Roman" w:hAnsi="Times New Roman" w:cs="Times New Roman"/>
                <w:i/>
                <w:iCs/>
                <w:color w:val="000000" w:themeColor="text1"/>
                <w:lang w:val="en-US"/>
              </w:rPr>
              <w:t>and</w:t>
            </w:r>
            <w:r w:rsidRPr="003F6924">
              <w:rPr>
                <w:rFonts w:ascii="Times New Roman" w:hAnsi="Times New Roman" w:cs="Times New Roman"/>
                <w:i/>
                <w:iCs/>
                <w:color w:val="000000" w:themeColor="text1"/>
                <w:lang w:val="en-US"/>
              </w:rPr>
              <w:t xml:space="preserve"> comprehension, BRM – Bank risk management, BCC – Bank corporate culture, DTP – Digital transformation pressure, BFC – Bank financial capability, GDS – Government support for digital transformation, DTC – Digital transformation capability, LDT – Level of digital transformation</w:t>
            </w:r>
          </w:p>
        </w:tc>
      </w:tr>
    </w:tbl>
    <w:p w14:paraId="6399958F" w14:textId="77777777" w:rsidR="000A240D" w:rsidRPr="003F6924" w:rsidRDefault="00B543E4" w:rsidP="000A240D">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 </w:t>
      </w:r>
    </w:p>
    <w:p w14:paraId="160B76BA" w14:textId="07DA3BA1" w:rsidR="00EF6E62" w:rsidRPr="003F6924" w:rsidRDefault="00B543E4" w:rsidP="000A240D">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Configuration </w:t>
      </w:r>
      <w:r w:rsidR="00794E60" w:rsidRPr="003F6924">
        <w:rPr>
          <w:rFonts w:ascii="Times New Roman" w:hAnsi="Times New Roman" w:cs="Times New Roman"/>
          <w:b/>
          <w:bCs/>
          <w:color w:val="000000" w:themeColor="text1"/>
          <w:sz w:val="26"/>
          <w:szCs w:val="26"/>
          <w:lang w:val="en-US"/>
        </w:rPr>
        <w:t xml:space="preserve">Analysis </w:t>
      </w:r>
    </w:p>
    <w:p w14:paraId="50D68700" w14:textId="7777777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The configuration analysis identifies three distinct combinations of conditions leading to a high level of digital transformation capability among Vietnamese banks (Table </w:t>
      </w:r>
      <w:r w:rsidR="00071B69" w:rsidRPr="003F6924">
        <w:rPr>
          <w:rFonts w:ascii="Times New Roman" w:hAnsi="Times New Roman" w:cs="Times New Roman"/>
          <w:color w:val="000000" w:themeColor="text1"/>
          <w:sz w:val="26"/>
          <w:szCs w:val="26"/>
          <w:lang w:val="en-US"/>
        </w:rPr>
        <w:t>10</w:t>
      </w:r>
      <w:r w:rsidRPr="003F6924">
        <w:rPr>
          <w:rFonts w:ascii="Times New Roman" w:hAnsi="Times New Roman" w:cs="Times New Roman"/>
          <w:color w:val="000000" w:themeColor="text1"/>
          <w:sz w:val="26"/>
          <w:szCs w:val="26"/>
          <w:lang w:val="en-US"/>
        </w:rPr>
        <w:t>). Th</w:t>
      </w:r>
      <w:r w:rsidR="005D7341" w:rsidRPr="003F6924">
        <w:rPr>
          <w:rFonts w:ascii="Times New Roman" w:hAnsi="Times New Roman" w:cs="Times New Roman"/>
          <w:color w:val="000000" w:themeColor="text1"/>
          <w:sz w:val="26"/>
          <w:szCs w:val="26"/>
          <w:lang w:val="vi-VN"/>
        </w:rPr>
        <w:t>e findings</w:t>
      </w:r>
      <w:r w:rsidRPr="003F6924">
        <w:rPr>
          <w:rFonts w:ascii="Times New Roman" w:hAnsi="Times New Roman" w:cs="Times New Roman"/>
          <w:color w:val="000000" w:themeColor="text1"/>
          <w:sz w:val="26"/>
          <w:szCs w:val="26"/>
          <w:lang w:val="en-US"/>
        </w:rPr>
        <w:t xml:space="preserve"> highlight the concept of causal complexity, demonstrating that there is no single path to transformation success. Instead, banks can achieve similar outcomes through multiple, equally effective configurations—a principle known as equifinality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{"citationID":"aqrgt1919n","properties":{"formattedCitation":"(Fiss, 2011)","plainCitation":"(Fiss, 2011)","dontUpdate":true,"noteIndex":0},"citationItems":[{"id":3853,"uris":["http://zotero.org/users/9020985/items/SX5F89PV"],"itemData":{"id":3853,"type":"article-journal","abstract":"Typologies are an important way of organizing the complex cause-effect relationships that are key building blocks of the strategy and organization literatures. Here, I develop a novel theoretical perspective on causal core and periphery, which is based on how elements of a configuration are connected to outcomes. Using data on high-technology firms, I empirically investigate configurations based on the Miles and Snow typology using fuzzy set qualitative comparative analysis (fsQCA). My findings show how the theoretical perspective developed here allows for a detailed analysis of causal core, periphery, and asymmetry, shifting the focus to midrange theories of causal processes.","container-title":"Academy of Management Journal","DOI":"10.5465/amj.2011.60263120","ISSN":"0001-4273","issue":"2","journalAbbreviation":"AMJ","note":"publisher: Academy of Management","page":"393-420","source":"journals.aom.org (Atypon)","title":"Building Better Causal Theories: A Fuzzy Set Approach to Typologies in Organization Research","title-short":"Building Better Causal Theories","volume":"54","author":[{"family":"Fiss","given":"Peer C."}],"issued":{"date-parts":[["2011",4]]}}}],"schema":"https://github.com/citation-style-language/schema/raw/master/csl-citation.json"}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color w:val="000000" w:themeColor="text1"/>
          <w:sz w:val="26"/>
          <w:szCs w:val="26"/>
          <w:lang w:val="en-US"/>
        </w:rPr>
        <w:t>Fiss, 2011)</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The overall solution shows strong reliability, with a consistency of 0.973 and coverage of 0.831, indicating that the identified configurations explain a substantial portion of the successful cases.</w:t>
      </w:r>
    </w:p>
    <w:p w14:paraId="5105E523" w14:textId="7777777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Among the three configurations, Configuration 2 emerges as the most dominant and consistent (coverage = 0.743, consistency = 0.996). It combines </w:t>
      </w:r>
      <w:r w:rsidR="001230C1" w:rsidRPr="003F6924">
        <w:rPr>
          <w:rFonts w:ascii="Times New Roman" w:hAnsi="Times New Roman" w:cs="Times New Roman"/>
          <w:color w:val="000000" w:themeColor="text1"/>
          <w:sz w:val="26"/>
          <w:szCs w:val="26"/>
          <w:lang w:val="en-US"/>
        </w:rPr>
        <w:t xml:space="preserve">a robust technology platform, continuous digital transformation initiatives, effective leadership, and high employee </w:t>
      </w:r>
      <w:r w:rsidRPr="003F6924">
        <w:rPr>
          <w:rFonts w:ascii="Times New Roman" w:hAnsi="Times New Roman" w:cs="Times New Roman"/>
          <w:color w:val="000000" w:themeColor="text1"/>
          <w:sz w:val="26"/>
          <w:szCs w:val="26"/>
          <w:lang w:val="en-US"/>
        </w:rPr>
        <w:t xml:space="preserve">competency, suggesting that technological readiness supported by leadership and human capital is the most reliable path to digital success. Configuration 1 similarly emphasizes technology, leadership, and strategy execution, reaffirming the central role of these elements. </w:t>
      </w:r>
      <w:r w:rsidR="001230C1" w:rsidRPr="003F6924">
        <w:rPr>
          <w:rFonts w:ascii="Times New Roman" w:hAnsi="Times New Roman" w:cs="Times New Roman"/>
          <w:color w:val="000000" w:themeColor="text1"/>
          <w:sz w:val="26"/>
          <w:szCs w:val="26"/>
          <w:lang w:val="en-US"/>
        </w:rPr>
        <w:t>Configuration 3, though less frequent, demonstrates that banks can achieve high transformation capability through targeted investments in digital development and employee skill enhancement, even in the absence of substantial risk management support</w:t>
      </w:r>
      <w:r w:rsidRPr="003F6924">
        <w:rPr>
          <w:rFonts w:ascii="Times New Roman" w:hAnsi="Times New Roman" w:cs="Times New Roman"/>
          <w:color w:val="000000" w:themeColor="text1"/>
          <w:sz w:val="26"/>
          <w:szCs w:val="26"/>
          <w:lang w:val="en-US"/>
        </w:rPr>
        <w:t>.</w:t>
      </w:r>
    </w:p>
    <w:p w14:paraId="6A345D42" w14:textId="7777777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Across all configurations, the core conditions that consistently appear are the bank technology platform, digital transformation development, leadership capability, digital transformation strategy, and employee competency, which together form the foundation for transformation success. In contrast, factors such as risk management, corporate culture, and government support serve as peripheral conditions—enhancing but not driving transformation outcomes. Overall, these findings emphasize that while strategic flexibility exists, successful digital transformation in Vietnamese banks consistently depends on strong technological infrastructure, visionary leadership, coherent strategy, and a digitally skilled workforce.</w:t>
      </w:r>
    </w:p>
    <w:p w14:paraId="75EA9C3E" w14:textId="77777777" w:rsidR="000A240D" w:rsidRPr="003F6924" w:rsidRDefault="000A240D" w:rsidP="000A240D">
      <w:pPr>
        <w:snapToGrid w:val="0"/>
        <w:spacing w:after="0" w:line="300" w:lineRule="auto"/>
        <w:jc w:val="both"/>
        <w:rPr>
          <w:rFonts w:ascii="Times New Roman" w:hAnsi="Times New Roman" w:cs="Times New Roman"/>
          <w:color w:val="000000" w:themeColor="text1"/>
          <w:sz w:val="26"/>
          <w:szCs w:val="26"/>
          <w:lang w:val="en-US"/>
        </w:rPr>
      </w:pPr>
    </w:p>
    <w:p w14:paraId="526BB8CA" w14:textId="77777777" w:rsidR="003D5415" w:rsidRDefault="003D5415">
      <w:pPr>
        <w:rPr>
          <w:rFonts w:ascii="Times New Roman" w:eastAsia="Times New Roman" w:hAnsi="Times New Roman" w:cs="Times New Roman"/>
          <w:b/>
          <w:bCs/>
          <w:i/>
          <w:iCs/>
          <w:color w:val="000000" w:themeColor="text1"/>
          <w:sz w:val="26"/>
          <w:szCs w:val="26"/>
          <w:lang w:val="en-US"/>
        </w:rPr>
      </w:pPr>
      <w:r>
        <w:rPr>
          <w:b/>
          <w:bCs/>
          <w:color w:val="000000" w:themeColor="text1"/>
          <w:sz w:val="26"/>
          <w:szCs w:val="26"/>
          <w:lang w:val="en-US"/>
        </w:rPr>
        <w:br w:type="page"/>
      </w:r>
    </w:p>
    <w:p w14:paraId="4478EC9C" w14:textId="46D8036D" w:rsidR="00EF6E62" w:rsidRPr="003F6924" w:rsidRDefault="00B543E4" w:rsidP="000A240D">
      <w:pPr>
        <w:pStyle w:val="af8"/>
        <w:snapToGrid w:val="0"/>
        <w:spacing w:after="0" w:line="300" w:lineRule="auto"/>
        <w:jc w:val="both"/>
        <w:rPr>
          <w:color w:val="000000" w:themeColor="text1"/>
          <w:sz w:val="26"/>
          <w:szCs w:val="26"/>
          <w:lang w:val="en-US"/>
        </w:rPr>
      </w:pPr>
      <w:r w:rsidRPr="003F6924">
        <w:rPr>
          <w:b/>
          <w:bCs/>
          <w:color w:val="000000" w:themeColor="text1"/>
          <w:sz w:val="26"/>
          <w:szCs w:val="26"/>
          <w:lang w:val="en-US"/>
        </w:rPr>
        <w:t xml:space="preserve">Table </w:t>
      </w:r>
      <w:r w:rsidRPr="003F6924">
        <w:rPr>
          <w:b/>
          <w:bCs/>
          <w:color w:val="000000" w:themeColor="text1"/>
          <w:sz w:val="26"/>
          <w:szCs w:val="26"/>
          <w:lang w:val="en-US"/>
        </w:rPr>
        <w:fldChar w:fldCharType="begin"/>
      </w:r>
      <w:r w:rsidRPr="003F6924">
        <w:rPr>
          <w:b/>
          <w:bCs/>
          <w:color w:val="000000" w:themeColor="text1"/>
          <w:sz w:val="26"/>
          <w:szCs w:val="26"/>
          <w:lang w:val="en-US"/>
        </w:rPr>
        <w:instrText xml:space="preserve"> SEQ Table \* ARABIC </w:instrText>
      </w:r>
      <w:r w:rsidRPr="003F6924">
        <w:rPr>
          <w:b/>
          <w:bCs/>
          <w:color w:val="000000" w:themeColor="text1"/>
          <w:sz w:val="26"/>
          <w:szCs w:val="26"/>
          <w:lang w:val="en-US"/>
        </w:rPr>
        <w:fldChar w:fldCharType="separate"/>
      </w:r>
      <w:r w:rsidR="0058062D">
        <w:rPr>
          <w:b/>
          <w:bCs/>
          <w:noProof/>
          <w:color w:val="000000" w:themeColor="text1"/>
          <w:sz w:val="26"/>
          <w:szCs w:val="26"/>
          <w:lang w:val="en-US"/>
        </w:rPr>
        <w:t>10</w:t>
      </w:r>
      <w:r w:rsidRPr="003F6924">
        <w:rPr>
          <w:b/>
          <w:bCs/>
          <w:noProof/>
          <w:color w:val="000000" w:themeColor="text1"/>
          <w:sz w:val="26"/>
          <w:szCs w:val="26"/>
          <w:lang w:val="en-US"/>
        </w:rPr>
        <w:fldChar w:fldCharType="end"/>
      </w:r>
      <w:r w:rsidRPr="003F6924">
        <w:rPr>
          <w:color w:val="000000" w:themeColor="text1"/>
          <w:sz w:val="26"/>
          <w:szCs w:val="26"/>
          <w:lang w:val="en-US"/>
        </w:rPr>
        <w:t xml:space="preserve"> Configuration analysis for high </w:t>
      </w:r>
      <w:r w:rsidR="001230C1" w:rsidRPr="003F6924">
        <w:rPr>
          <w:color w:val="000000" w:themeColor="text1"/>
          <w:sz w:val="26"/>
          <w:szCs w:val="26"/>
          <w:lang w:val="vi-VN"/>
        </w:rPr>
        <w:t>d</w:t>
      </w:r>
      <w:r w:rsidRPr="003F6924">
        <w:rPr>
          <w:color w:val="000000" w:themeColor="text1"/>
          <w:sz w:val="26"/>
          <w:szCs w:val="26"/>
          <w:lang w:val="en-US"/>
        </w:rPr>
        <w:t>igital transformation capability (DTC)</w:t>
      </w:r>
    </w:p>
    <w:tbl>
      <w:tblPr>
        <w:tblW w:w="0" w:type="auto"/>
        <w:tblBorders>
          <w:top w:val="single" w:sz="4" w:space="0" w:color="auto"/>
          <w:bottom w:val="single" w:sz="4" w:space="0" w:color="auto"/>
        </w:tblBorders>
        <w:tblLook w:val="04A0" w:firstRow="1" w:lastRow="0" w:firstColumn="1" w:lastColumn="0" w:noHBand="0" w:noVBand="1"/>
      </w:tblPr>
      <w:tblGrid>
        <w:gridCol w:w="3524"/>
        <w:gridCol w:w="1487"/>
        <w:gridCol w:w="1952"/>
        <w:gridCol w:w="2229"/>
      </w:tblGrid>
      <w:tr w:rsidR="0046229B" w:rsidRPr="003F6924" w14:paraId="3197627C" w14:textId="77777777" w:rsidTr="000A240D">
        <w:trPr>
          <w:trHeight w:val="397"/>
        </w:trPr>
        <w:tc>
          <w:tcPr>
            <w:tcW w:w="3587" w:type="dxa"/>
            <w:tcBorders>
              <w:top w:val="single" w:sz="4" w:space="0" w:color="auto"/>
              <w:bottom w:val="single" w:sz="4" w:space="0" w:color="auto"/>
            </w:tcBorders>
            <w:shd w:val="clear" w:color="auto" w:fill="auto"/>
            <w:noWrap/>
            <w:vAlign w:val="bottom"/>
            <w:hideMark/>
          </w:tcPr>
          <w:p w14:paraId="6E1A00B3" w14:textId="77777777" w:rsidR="00D55894" w:rsidRPr="003F6924" w:rsidRDefault="00D55894" w:rsidP="00D55894">
            <w:pPr>
              <w:spacing w:after="0" w:line="240" w:lineRule="auto"/>
              <w:jc w:val="both"/>
              <w:rPr>
                <w:rFonts w:ascii="Times New Roman" w:hAnsi="Times New Roman" w:cs="Times New Roman"/>
                <w:b/>
                <w:bCs/>
                <w:color w:val="000000" w:themeColor="text1"/>
                <w:lang w:val="en-US"/>
              </w:rPr>
            </w:pPr>
          </w:p>
        </w:tc>
        <w:tc>
          <w:tcPr>
            <w:tcW w:w="1511" w:type="dxa"/>
            <w:tcBorders>
              <w:top w:val="single" w:sz="4" w:space="0" w:color="auto"/>
              <w:bottom w:val="single" w:sz="4" w:space="0" w:color="auto"/>
            </w:tcBorders>
            <w:shd w:val="clear" w:color="auto" w:fill="auto"/>
            <w:noWrap/>
            <w:vAlign w:val="center"/>
            <w:hideMark/>
          </w:tcPr>
          <w:p w14:paraId="7699BFAC" w14:textId="77777777" w:rsidR="00D55894" w:rsidRPr="003F6924" w:rsidRDefault="00B543E4" w:rsidP="00D55894">
            <w:pPr>
              <w:spacing w:after="0" w:line="240" w:lineRule="auto"/>
              <w:jc w:val="center"/>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Config 1</w:t>
            </w:r>
          </w:p>
        </w:tc>
        <w:tc>
          <w:tcPr>
            <w:tcW w:w="1985" w:type="dxa"/>
            <w:tcBorders>
              <w:top w:val="single" w:sz="4" w:space="0" w:color="auto"/>
              <w:bottom w:val="single" w:sz="4" w:space="0" w:color="auto"/>
            </w:tcBorders>
            <w:shd w:val="clear" w:color="auto" w:fill="auto"/>
            <w:noWrap/>
            <w:vAlign w:val="center"/>
            <w:hideMark/>
          </w:tcPr>
          <w:p w14:paraId="035B1203" w14:textId="77777777" w:rsidR="00D55894" w:rsidRPr="003F6924" w:rsidRDefault="00B543E4" w:rsidP="00D55894">
            <w:pPr>
              <w:spacing w:after="0" w:line="240" w:lineRule="auto"/>
              <w:jc w:val="center"/>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Config 2</w:t>
            </w:r>
          </w:p>
        </w:tc>
        <w:tc>
          <w:tcPr>
            <w:tcW w:w="2267" w:type="dxa"/>
            <w:tcBorders>
              <w:top w:val="single" w:sz="4" w:space="0" w:color="auto"/>
              <w:bottom w:val="single" w:sz="4" w:space="0" w:color="auto"/>
            </w:tcBorders>
            <w:shd w:val="clear" w:color="auto" w:fill="auto"/>
            <w:noWrap/>
            <w:vAlign w:val="center"/>
            <w:hideMark/>
          </w:tcPr>
          <w:p w14:paraId="57CEBF8D" w14:textId="77777777" w:rsidR="00D55894" w:rsidRPr="003F6924" w:rsidRDefault="00B543E4" w:rsidP="00D55894">
            <w:pPr>
              <w:spacing w:after="0" w:line="240" w:lineRule="auto"/>
              <w:jc w:val="center"/>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Config 3</w:t>
            </w:r>
          </w:p>
        </w:tc>
      </w:tr>
      <w:tr w:rsidR="0046229B" w:rsidRPr="003F6924" w14:paraId="1E06152C" w14:textId="77777777" w:rsidTr="000A240D">
        <w:trPr>
          <w:trHeight w:val="397"/>
        </w:trPr>
        <w:tc>
          <w:tcPr>
            <w:tcW w:w="3587" w:type="dxa"/>
            <w:tcBorders>
              <w:top w:val="single" w:sz="4" w:space="0" w:color="auto"/>
            </w:tcBorders>
            <w:shd w:val="clear" w:color="auto" w:fill="auto"/>
            <w:noWrap/>
            <w:vAlign w:val="center"/>
            <w:hideMark/>
          </w:tcPr>
          <w:p w14:paraId="17A9F5DB" w14:textId="77777777" w:rsidR="00D55894" w:rsidRPr="003F6924" w:rsidRDefault="00B543E4" w:rsidP="00D55894">
            <w:pPr>
              <w:spacing w:after="0" w:line="240" w:lineRule="auto"/>
              <w:jc w:val="center"/>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BTP</w:t>
            </w:r>
          </w:p>
        </w:tc>
        <w:tc>
          <w:tcPr>
            <w:tcW w:w="1511" w:type="dxa"/>
            <w:tcBorders>
              <w:top w:val="single" w:sz="4" w:space="0" w:color="auto"/>
            </w:tcBorders>
            <w:shd w:val="clear" w:color="auto" w:fill="E7E6E6" w:themeFill="background2"/>
            <w:noWrap/>
            <w:vAlign w:val="center"/>
            <w:hideMark/>
          </w:tcPr>
          <w:p w14:paraId="6E499EFC" w14:textId="77777777" w:rsidR="00D55894" w:rsidRPr="003F6924" w:rsidRDefault="00D55894" w:rsidP="00D55894">
            <w:pPr>
              <w:spacing w:after="0" w:line="240" w:lineRule="auto"/>
              <w:jc w:val="center"/>
              <w:rPr>
                <w:rFonts w:ascii="Times New Roman" w:hAnsi="Times New Roman" w:cs="Times New Roman"/>
                <w:color w:val="000000" w:themeColor="text1"/>
                <w:lang w:val="en-US"/>
              </w:rPr>
            </w:pPr>
          </w:p>
        </w:tc>
        <w:tc>
          <w:tcPr>
            <w:tcW w:w="1985" w:type="dxa"/>
            <w:tcBorders>
              <w:top w:val="single" w:sz="4" w:space="0" w:color="auto"/>
            </w:tcBorders>
            <w:shd w:val="clear" w:color="auto" w:fill="auto"/>
            <w:noWrap/>
            <w:vAlign w:val="center"/>
            <w:hideMark/>
          </w:tcPr>
          <w:p w14:paraId="19650DE1"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c>
          <w:tcPr>
            <w:tcW w:w="2267" w:type="dxa"/>
            <w:tcBorders>
              <w:top w:val="single" w:sz="4" w:space="0" w:color="auto"/>
            </w:tcBorders>
            <w:shd w:val="clear" w:color="auto" w:fill="auto"/>
            <w:noWrap/>
            <w:vAlign w:val="center"/>
            <w:hideMark/>
          </w:tcPr>
          <w:p w14:paraId="54D22C9B"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r>
      <w:tr w:rsidR="0046229B" w:rsidRPr="003F6924" w14:paraId="2F6C52EB" w14:textId="77777777" w:rsidTr="000A240D">
        <w:trPr>
          <w:trHeight w:val="397"/>
        </w:trPr>
        <w:tc>
          <w:tcPr>
            <w:tcW w:w="3587" w:type="dxa"/>
            <w:shd w:val="clear" w:color="auto" w:fill="auto"/>
            <w:noWrap/>
            <w:vAlign w:val="center"/>
            <w:hideMark/>
          </w:tcPr>
          <w:p w14:paraId="6A66EACF" w14:textId="77777777" w:rsidR="00D55894" w:rsidRPr="003F6924" w:rsidRDefault="00B543E4" w:rsidP="00D55894">
            <w:pPr>
              <w:spacing w:after="0" w:line="240" w:lineRule="auto"/>
              <w:jc w:val="center"/>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DTD</w:t>
            </w:r>
          </w:p>
        </w:tc>
        <w:tc>
          <w:tcPr>
            <w:tcW w:w="1511" w:type="dxa"/>
            <w:shd w:val="clear" w:color="auto" w:fill="auto"/>
            <w:noWrap/>
            <w:vAlign w:val="center"/>
            <w:hideMark/>
          </w:tcPr>
          <w:p w14:paraId="094AFF63"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c>
          <w:tcPr>
            <w:tcW w:w="1985" w:type="dxa"/>
            <w:shd w:val="clear" w:color="auto" w:fill="auto"/>
            <w:noWrap/>
            <w:vAlign w:val="center"/>
            <w:hideMark/>
          </w:tcPr>
          <w:p w14:paraId="1D3439EE"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c>
          <w:tcPr>
            <w:tcW w:w="2267" w:type="dxa"/>
            <w:shd w:val="clear" w:color="auto" w:fill="auto"/>
            <w:noWrap/>
            <w:vAlign w:val="center"/>
            <w:hideMark/>
          </w:tcPr>
          <w:p w14:paraId="779F2571"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r>
      <w:tr w:rsidR="0046229B" w:rsidRPr="003F6924" w14:paraId="7817FF25" w14:textId="77777777" w:rsidTr="000A240D">
        <w:trPr>
          <w:trHeight w:val="397"/>
        </w:trPr>
        <w:tc>
          <w:tcPr>
            <w:tcW w:w="3587" w:type="dxa"/>
            <w:shd w:val="clear" w:color="auto" w:fill="auto"/>
            <w:noWrap/>
            <w:vAlign w:val="center"/>
            <w:hideMark/>
          </w:tcPr>
          <w:p w14:paraId="69B5C661" w14:textId="77777777" w:rsidR="00D55894" w:rsidRPr="003F6924" w:rsidRDefault="00B543E4" w:rsidP="00D55894">
            <w:pPr>
              <w:spacing w:after="0" w:line="240" w:lineRule="auto"/>
              <w:jc w:val="center"/>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LC</w:t>
            </w:r>
          </w:p>
        </w:tc>
        <w:tc>
          <w:tcPr>
            <w:tcW w:w="1511" w:type="dxa"/>
            <w:shd w:val="clear" w:color="auto" w:fill="auto"/>
            <w:noWrap/>
            <w:vAlign w:val="center"/>
            <w:hideMark/>
          </w:tcPr>
          <w:p w14:paraId="7D885C3D"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c>
          <w:tcPr>
            <w:tcW w:w="1985" w:type="dxa"/>
            <w:shd w:val="clear" w:color="auto" w:fill="auto"/>
            <w:noWrap/>
            <w:vAlign w:val="center"/>
            <w:hideMark/>
          </w:tcPr>
          <w:p w14:paraId="73478AAA"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c>
          <w:tcPr>
            <w:tcW w:w="2267" w:type="dxa"/>
            <w:shd w:val="clear" w:color="auto" w:fill="auto"/>
            <w:noWrap/>
            <w:vAlign w:val="center"/>
            <w:hideMark/>
          </w:tcPr>
          <w:p w14:paraId="1A9F9B5D"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r>
      <w:tr w:rsidR="0046229B" w:rsidRPr="003F6924" w14:paraId="794DC529" w14:textId="77777777" w:rsidTr="000A240D">
        <w:trPr>
          <w:trHeight w:val="397"/>
        </w:trPr>
        <w:tc>
          <w:tcPr>
            <w:tcW w:w="3587" w:type="dxa"/>
            <w:shd w:val="clear" w:color="auto" w:fill="auto"/>
            <w:noWrap/>
            <w:vAlign w:val="center"/>
            <w:hideMark/>
          </w:tcPr>
          <w:p w14:paraId="4BA42FC4" w14:textId="77777777" w:rsidR="00D55894" w:rsidRPr="003F6924" w:rsidRDefault="00B543E4" w:rsidP="00D55894">
            <w:pPr>
              <w:spacing w:after="0" w:line="240" w:lineRule="auto"/>
              <w:jc w:val="center"/>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DTS</w:t>
            </w:r>
          </w:p>
        </w:tc>
        <w:tc>
          <w:tcPr>
            <w:tcW w:w="1511" w:type="dxa"/>
            <w:shd w:val="clear" w:color="auto" w:fill="auto"/>
            <w:noWrap/>
            <w:vAlign w:val="center"/>
            <w:hideMark/>
          </w:tcPr>
          <w:p w14:paraId="74C95FD2"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c>
          <w:tcPr>
            <w:tcW w:w="1985" w:type="dxa"/>
            <w:shd w:val="clear" w:color="auto" w:fill="E7E6E6" w:themeFill="background2"/>
            <w:noWrap/>
            <w:vAlign w:val="center"/>
            <w:hideMark/>
          </w:tcPr>
          <w:p w14:paraId="6C6DF186" w14:textId="77777777" w:rsidR="00D55894" w:rsidRPr="003F6924" w:rsidRDefault="00D55894" w:rsidP="00D55894">
            <w:pPr>
              <w:spacing w:after="0" w:line="240" w:lineRule="auto"/>
              <w:jc w:val="center"/>
              <w:rPr>
                <w:rFonts w:ascii="Times New Roman" w:hAnsi="Times New Roman" w:cs="Times New Roman"/>
                <w:color w:val="000000" w:themeColor="text1"/>
                <w:lang w:val="en-US"/>
              </w:rPr>
            </w:pPr>
          </w:p>
        </w:tc>
        <w:tc>
          <w:tcPr>
            <w:tcW w:w="2267" w:type="dxa"/>
            <w:shd w:val="clear" w:color="auto" w:fill="auto"/>
            <w:noWrap/>
            <w:vAlign w:val="center"/>
            <w:hideMark/>
          </w:tcPr>
          <w:p w14:paraId="50D793CB"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r>
      <w:tr w:rsidR="0046229B" w:rsidRPr="003F6924" w14:paraId="62953D97" w14:textId="77777777" w:rsidTr="000A240D">
        <w:trPr>
          <w:trHeight w:val="397"/>
        </w:trPr>
        <w:tc>
          <w:tcPr>
            <w:tcW w:w="3587" w:type="dxa"/>
            <w:shd w:val="clear" w:color="auto" w:fill="auto"/>
            <w:noWrap/>
            <w:vAlign w:val="center"/>
            <w:hideMark/>
          </w:tcPr>
          <w:p w14:paraId="37919DBF" w14:textId="77777777" w:rsidR="00D55894" w:rsidRPr="003F6924" w:rsidRDefault="00B543E4" w:rsidP="00D55894">
            <w:pPr>
              <w:spacing w:after="0" w:line="240" w:lineRule="auto"/>
              <w:jc w:val="center"/>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ECC</w:t>
            </w:r>
          </w:p>
        </w:tc>
        <w:tc>
          <w:tcPr>
            <w:tcW w:w="1511" w:type="dxa"/>
            <w:shd w:val="clear" w:color="auto" w:fill="E7E6E6" w:themeFill="background2"/>
            <w:noWrap/>
            <w:vAlign w:val="center"/>
            <w:hideMark/>
          </w:tcPr>
          <w:p w14:paraId="685D78EF" w14:textId="77777777" w:rsidR="00D55894" w:rsidRPr="003F6924" w:rsidRDefault="00D55894" w:rsidP="00D55894">
            <w:pPr>
              <w:spacing w:after="0" w:line="240" w:lineRule="auto"/>
              <w:jc w:val="center"/>
              <w:rPr>
                <w:rFonts w:ascii="Times New Roman" w:hAnsi="Times New Roman" w:cs="Times New Roman"/>
                <w:b/>
                <w:bCs/>
                <w:color w:val="000000" w:themeColor="text1"/>
                <w:lang w:val="en-US"/>
              </w:rPr>
            </w:pPr>
          </w:p>
        </w:tc>
        <w:tc>
          <w:tcPr>
            <w:tcW w:w="1985" w:type="dxa"/>
            <w:shd w:val="clear" w:color="auto" w:fill="auto"/>
            <w:noWrap/>
            <w:vAlign w:val="center"/>
            <w:hideMark/>
          </w:tcPr>
          <w:p w14:paraId="64F54CC7"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c>
          <w:tcPr>
            <w:tcW w:w="2267" w:type="dxa"/>
            <w:shd w:val="clear" w:color="auto" w:fill="auto"/>
            <w:noWrap/>
            <w:vAlign w:val="center"/>
            <w:hideMark/>
          </w:tcPr>
          <w:p w14:paraId="318F53F9"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r>
      <w:tr w:rsidR="0046229B" w:rsidRPr="003F6924" w14:paraId="75E54BF8" w14:textId="77777777" w:rsidTr="000A240D">
        <w:trPr>
          <w:trHeight w:val="397"/>
        </w:trPr>
        <w:tc>
          <w:tcPr>
            <w:tcW w:w="3587" w:type="dxa"/>
            <w:shd w:val="clear" w:color="auto" w:fill="auto"/>
            <w:noWrap/>
            <w:vAlign w:val="center"/>
            <w:hideMark/>
          </w:tcPr>
          <w:p w14:paraId="1268A44C" w14:textId="77777777" w:rsidR="00D55894" w:rsidRPr="003F6924" w:rsidRDefault="00B543E4" w:rsidP="00D55894">
            <w:pPr>
              <w:spacing w:after="0" w:line="240" w:lineRule="auto"/>
              <w:jc w:val="center"/>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BRM</w:t>
            </w:r>
          </w:p>
        </w:tc>
        <w:tc>
          <w:tcPr>
            <w:tcW w:w="1511" w:type="dxa"/>
            <w:shd w:val="clear" w:color="auto" w:fill="auto"/>
            <w:noWrap/>
            <w:vAlign w:val="center"/>
            <w:hideMark/>
          </w:tcPr>
          <w:p w14:paraId="5373B44D"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c>
          <w:tcPr>
            <w:tcW w:w="1985" w:type="dxa"/>
            <w:shd w:val="clear" w:color="auto" w:fill="E7E6E6" w:themeFill="background2"/>
            <w:noWrap/>
            <w:vAlign w:val="center"/>
            <w:hideMark/>
          </w:tcPr>
          <w:p w14:paraId="18D8CCC2" w14:textId="77777777" w:rsidR="00D55894" w:rsidRPr="003F6924" w:rsidRDefault="00D55894" w:rsidP="00D55894">
            <w:pPr>
              <w:spacing w:after="0" w:line="240" w:lineRule="auto"/>
              <w:jc w:val="center"/>
              <w:rPr>
                <w:rFonts w:ascii="Times New Roman" w:hAnsi="Times New Roman" w:cs="Times New Roman"/>
                <w:color w:val="000000" w:themeColor="text1"/>
                <w:lang w:val="en-US"/>
              </w:rPr>
            </w:pPr>
          </w:p>
        </w:tc>
        <w:tc>
          <w:tcPr>
            <w:tcW w:w="2267" w:type="dxa"/>
            <w:shd w:val="clear" w:color="auto" w:fill="auto"/>
            <w:noWrap/>
            <w:vAlign w:val="center"/>
            <w:hideMark/>
          </w:tcPr>
          <w:p w14:paraId="5033FFB3"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Ä</w:t>
            </w:r>
          </w:p>
        </w:tc>
      </w:tr>
      <w:tr w:rsidR="0046229B" w:rsidRPr="003F6924" w14:paraId="504B60B0" w14:textId="77777777" w:rsidTr="000A240D">
        <w:trPr>
          <w:trHeight w:val="397"/>
        </w:trPr>
        <w:tc>
          <w:tcPr>
            <w:tcW w:w="3587" w:type="dxa"/>
            <w:shd w:val="clear" w:color="auto" w:fill="auto"/>
            <w:noWrap/>
            <w:vAlign w:val="center"/>
            <w:hideMark/>
          </w:tcPr>
          <w:p w14:paraId="78A0500B" w14:textId="77777777" w:rsidR="00D55894" w:rsidRPr="003F6924" w:rsidRDefault="00B543E4" w:rsidP="00D55894">
            <w:pPr>
              <w:spacing w:after="0" w:line="240" w:lineRule="auto"/>
              <w:jc w:val="center"/>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BCC</w:t>
            </w:r>
          </w:p>
        </w:tc>
        <w:tc>
          <w:tcPr>
            <w:tcW w:w="1511" w:type="dxa"/>
            <w:shd w:val="clear" w:color="auto" w:fill="auto"/>
            <w:noWrap/>
            <w:vAlign w:val="center"/>
            <w:hideMark/>
          </w:tcPr>
          <w:p w14:paraId="392BA604"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c>
          <w:tcPr>
            <w:tcW w:w="1985" w:type="dxa"/>
            <w:shd w:val="clear" w:color="auto" w:fill="auto"/>
            <w:noWrap/>
            <w:vAlign w:val="center"/>
            <w:hideMark/>
          </w:tcPr>
          <w:p w14:paraId="5A8CB035"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c>
          <w:tcPr>
            <w:tcW w:w="2267" w:type="dxa"/>
            <w:shd w:val="clear" w:color="auto" w:fill="E7E6E6" w:themeFill="background2"/>
            <w:noWrap/>
            <w:vAlign w:val="center"/>
            <w:hideMark/>
          </w:tcPr>
          <w:p w14:paraId="6250C967" w14:textId="77777777" w:rsidR="00D55894" w:rsidRPr="003F6924" w:rsidRDefault="00D55894" w:rsidP="00D55894">
            <w:pPr>
              <w:spacing w:after="0" w:line="240" w:lineRule="auto"/>
              <w:jc w:val="center"/>
              <w:rPr>
                <w:rFonts w:ascii="Times New Roman" w:hAnsi="Times New Roman" w:cs="Times New Roman"/>
                <w:color w:val="000000" w:themeColor="text1"/>
                <w:lang w:val="en-US"/>
              </w:rPr>
            </w:pPr>
          </w:p>
        </w:tc>
      </w:tr>
      <w:tr w:rsidR="0046229B" w:rsidRPr="003F6924" w14:paraId="73F294FB" w14:textId="77777777" w:rsidTr="000A240D">
        <w:trPr>
          <w:trHeight w:val="397"/>
        </w:trPr>
        <w:tc>
          <w:tcPr>
            <w:tcW w:w="3587" w:type="dxa"/>
            <w:shd w:val="clear" w:color="auto" w:fill="auto"/>
            <w:noWrap/>
            <w:vAlign w:val="center"/>
            <w:hideMark/>
          </w:tcPr>
          <w:p w14:paraId="76C92BD5" w14:textId="77777777" w:rsidR="00D55894" w:rsidRPr="003F6924" w:rsidRDefault="00B543E4" w:rsidP="00D55894">
            <w:pPr>
              <w:spacing w:after="0" w:line="240" w:lineRule="auto"/>
              <w:jc w:val="center"/>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DTP</w:t>
            </w:r>
          </w:p>
        </w:tc>
        <w:tc>
          <w:tcPr>
            <w:tcW w:w="1511" w:type="dxa"/>
            <w:shd w:val="clear" w:color="auto" w:fill="E7E6E6" w:themeFill="background2"/>
            <w:noWrap/>
            <w:vAlign w:val="center"/>
            <w:hideMark/>
          </w:tcPr>
          <w:p w14:paraId="1EA379CD" w14:textId="77777777" w:rsidR="00D55894" w:rsidRPr="003F6924" w:rsidRDefault="00D55894" w:rsidP="00D55894">
            <w:pPr>
              <w:spacing w:after="0" w:line="240" w:lineRule="auto"/>
              <w:jc w:val="center"/>
              <w:rPr>
                <w:rFonts w:ascii="Times New Roman" w:hAnsi="Times New Roman" w:cs="Times New Roman"/>
                <w:b/>
                <w:bCs/>
                <w:color w:val="000000" w:themeColor="text1"/>
                <w:lang w:val="en-US"/>
              </w:rPr>
            </w:pPr>
          </w:p>
        </w:tc>
        <w:tc>
          <w:tcPr>
            <w:tcW w:w="1985" w:type="dxa"/>
            <w:shd w:val="clear" w:color="auto" w:fill="auto"/>
            <w:noWrap/>
            <w:vAlign w:val="center"/>
            <w:hideMark/>
          </w:tcPr>
          <w:p w14:paraId="008464D9"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c>
          <w:tcPr>
            <w:tcW w:w="2267" w:type="dxa"/>
            <w:shd w:val="clear" w:color="auto" w:fill="auto"/>
            <w:noWrap/>
            <w:vAlign w:val="center"/>
            <w:hideMark/>
          </w:tcPr>
          <w:p w14:paraId="721D9539"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r>
      <w:tr w:rsidR="0046229B" w:rsidRPr="003F6924" w14:paraId="6914F4BC" w14:textId="77777777" w:rsidTr="000A240D">
        <w:trPr>
          <w:trHeight w:val="397"/>
        </w:trPr>
        <w:tc>
          <w:tcPr>
            <w:tcW w:w="3587" w:type="dxa"/>
            <w:shd w:val="clear" w:color="auto" w:fill="auto"/>
            <w:noWrap/>
            <w:vAlign w:val="center"/>
            <w:hideMark/>
          </w:tcPr>
          <w:p w14:paraId="3C4A4E81" w14:textId="77777777" w:rsidR="00D55894" w:rsidRPr="003F6924" w:rsidRDefault="00B543E4" w:rsidP="00D55894">
            <w:pPr>
              <w:spacing w:after="0" w:line="240" w:lineRule="auto"/>
              <w:jc w:val="center"/>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BFC</w:t>
            </w:r>
          </w:p>
        </w:tc>
        <w:tc>
          <w:tcPr>
            <w:tcW w:w="1511" w:type="dxa"/>
            <w:shd w:val="clear" w:color="auto" w:fill="auto"/>
            <w:noWrap/>
            <w:vAlign w:val="center"/>
            <w:hideMark/>
          </w:tcPr>
          <w:p w14:paraId="09B2854E"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c>
          <w:tcPr>
            <w:tcW w:w="1985" w:type="dxa"/>
            <w:shd w:val="clear" w:color="auto" w:fill="auto"/>
            <w:noWrap/>
            <w:vAlign w:val="center"/>
            <w:hideMark/>
          </w:tcPr>
          <w:p w14:paraId="20B0BE08"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c>
          <w:tcPr>
            <w:tcW w:w="2267" w:type="dxa"/>
            <w:shd w:val="clear" w:color="auto" w:fill="auto"/>
            <w:noWrap/>
            <w:vAlign w:val="center"/>
            <w:hideMark/>
          </w:tcPr>
          <w:p w14:paraId="3776F154"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r>
      <w:tr w:rsidR="0046229B" w:rsidRPr="003F6924" w14:paraId="58C34802" w14:textId="77777777" w:rsidTr="000A240D">
        <w:trPr>
          <w:trHeight w:val="397"/>
        </w:trPr>
        <w:tc>
          <w:tcPr>
            <w:tcW w:w="3587" w:type="dxa"/>
            <w:shd w:val="clear" w:color="auto" w:fill="auto"/>
            <w:noWrap/>
            <w:vAlign w:val="center"/>
            <w:hideMark/>
          </w:tcPr>
          <w:p w14:paraId="63FDCC9A" w14:textId="77777777" w:rsidR="00D55894" w:rsidRPr="003F6924" w:rsidRDefault="00B543E4" w:rsidP="00D55894">
            <w:pPr>
              <w:spacing w:after="0" w:line="240" w:lineRule="auto"/>
              <w:jc w:val="center"/>
              <w:rPr>
                <w:rFonts w:ascii="Times New Roman" w:hAnsi="Times New Roman" w:cs="Times New Roman"/>
                <w:b/>
                <w:bCs/>
                <w:color w:val="000000" w:themeColor="text1"/>
                <w:lang w:val="en-US"/>
              </w:rPr>
            </w:pPr>
            <w:r w:rsidRPr="003F6924">
              <w:rPr>
                <w:rFonts w:ascii="Times New Roman" w:hAnsi="Times New Roman" w:cs="Times New Roman"/>
                <w:b/>
                <w:bCs/>
                <w:color w:val="000000" w:themeColor="text1"/>
                <w:lang w:val="en-US"/>
              </w:rPr>
              <w:t>GDS</w:t>
            </w:r>
          </w:p>
        </w:tc>
        <w:tc>
          <w:tcPr>
            <w:tcW w:w="1511" w:type="dxa"/>
            <w:shd w:val="clear" w:color="auto" w:fill="auto"/>
            <w:noWrap/>
            <w:vAlign w:val="center"/>
            <w:hideMark/>
          </w:tcPr>
          <w:p w14:paraId="1A9F16E6"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c>
          <w:tcPr>
            <w:tcW w:w="1985" w:type="dxa"/>
            <w:shd w:val="clear" w:color="auto" w:fill="auto"/>
            <w:noWrap/>
            <w:vAlign w:val="center"/>
            <w:hideMark/>
          </w:tcPr>
          <w:p w14:paraId="643E3F0F"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c>
          <w:tcPr>
            <w:tcW w:w="2267" w:type="dxa"/>
            <w:shd w:val="clear" w:color="auto" w:fill="auto"/>
            <w:noWrap/>
            <w:vAlign w:val="center"/>
            <w:hideMark/>
          </w:tcPr>
          <w:p w14:paraId="4306038E"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l</w:t>
            </w:r>
          </w:p>
        </w:tc>
      </w:tr>
      <w:tr w:rsidR="0046229B" w:rsidRPr="003F6924" w14:paraId="41B39A74" w14:textId="77777777" w:rsidTr="000A240D">
        <w:trPr>
          <w:trHeight w:val="397"/>
        </w:trPr>
        <w:tc>
          <w:tcPr>
            <w:tcW w:w="3587" w:type="dxa"/>
            <w:shd w:val="clear" w:color="auto" w:fill="auto"/>
            <w:noWrap/>
            <w:vAlign w:val="center"/>
            <w:hideMark/>
          </w:tcPr>
          <w:p w14:paraId="56AE645E" w14:textId="77777777" w:rsidR="00D55894" w:rsidRPr="003F6924" w:rsidRDefault="00B543E4" w:rsidP="00D55894">
            <w:pPr>
              <w:spacing w:after="0" w:line="240" w:lineRule="auto"/>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Raw coverage</w:t>
            </w:r>
          </w:p>
        </w:tc>
        <w:tc>
          <w:tcPr>
            <w:tcW w:w="1511" w:type="dxa"/>
            <w:shd w:val="clear" w:color="auto" w:fill="auto"/>
            <w:noWrap/>
            <w:vAlign w:val="center"/>
            <w:hideMark/>
          </w:tcPr>
          <w:p w14:paraId="7B4D5CB6"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0.695</w:t>
            </w:r>
          </w:p>
        </w:tc>
        <w:tc>
          <w:tcPr>
            <w:tcW w:w="1985" w:type="dxa"/>
            <w:shd w:val="clear" w:color="auto" w:fill="auto"/>
            <w:noWrap/>
            <w:vAlign w:val="center"/>
            <w:hideMark/>
          </w:tcPr>
          <w:p w14:paraId="61EAA7E7"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0.743</w:t>
            </w:r>
          </w:p>
        </w:tc>
        <w:tc>
          <w:tcPr>
            <w:tcW w:w="2267" w:type="dxa"/>
            <w:shd w:val="clear" w:color="auto" w:fill="auto"/>
            <w:noWrap/>
            <w:vAlign w:val="center"/>
            <w:hideMark/>
          </w:tcPr>
          <w:p w14:paraId="02383771"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0.279</w:t>
            </w:r>
          </w:p>
        </w:tc>
      </w:tr>
      <w:tr w:rsidR="0046229B" w:rsidRPr="003F6924" w14:paraId="4D396612" w14:textId="77777777" w:rsidTr="000A240D">
        <w:trPr>
          <w:trHeight w:val="397"/>
        </w:trPr>
        <w:tc>
          <w:tcPr>
            <w:tcW w:w="3587" w:type="dxa"/>
            <w:shd w:val="clear" w:color="auto" w:fill="auto"/>
            <w:noWrap/>
            <w:vAlign w:val="center"/>
            <w:hideMark/>
          </w:tcPr>
          <w:p w14:paraId="22393B06" w14:textId="77777777" w:rsidR="00D55894" w:rsidRPr="003F6924" w:rsidRDefault="00B543E4" w:rsidP="00D55894">
            <w:pPr>
              <w:spacing w:after="0" w:line="240" w:lineRule="auto"/>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Unique coverage</w:t>
            </w:r>
          </w:p>
        </w:tc>
        <w:tc>
          <w:tcPr>
            <w:tcW w:w="1511" w:type="dxa"/>
            <w:shd w:val="clear" w:color="auto" w:fill="auto"/>
            <w:noWrap/>
            <w:vAlign w:val="center"/>
            <w:hideMark/>
          </w:tcPr>
          <w:p w14:paraId="089A085C"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0.080</w:t>
            </w:r>
          </w:p>
        </w:tc>
        <w:tc>
          <w:tcPr>
            <w:tcW w:w="1985" w:type="dxa"/>
            <w:shd w:val="clear" w:color="auto" w:fill="auto"/>
            <w:noWrap/>
            <w:vAlign w:val="center"/>
            <w:hideMark/>
          </w:tcPr>
          <w:p w14:paraId="183F6739"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0.085</w:t>
            </w:r>
          </w:p>
        </w:tc>
        <w:tc>
          <w:tcPr>
            <w:tcW w:w="2267" w:type="dxa"/>
            <w:shd w:val="clear" w:color="auto" w:fill="auto"/>
            <w:noWrap/>
            <w:vAlign w:val="center"/>
            <w:hideMark/>
          </w:tcPr>
          <w:p w14:paraId="5367B937"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0.002</w:t>
            </w:r>
          </w:p>
        </w:tc>
      </w:tr>
      <w:tr w:rsidR="0046229B" w:rsidRPr="003F6924" w14:paraId="472C5EE4" w14:textId="77777777" w:rsidTr="000A240D">
        <w:trPr>
          <w:trHeight w:val="397"/>
        </w:trPr>
        <w:tc>
          <w:tcPr>
            <w:tcW w:w="3587" w:type="dxa"/>
            <w:shd w:val="clear" w:color="auto" w:fill="auto"/>
            <w:noWrap/>
            <w:vAlign w:val="center"/>
            <w:hideMark/>
          </w:tcPr>
          <w:p w14:paraId="2E0D9A61" w14:textId="77777777" w:rsidR="00D55894" w:rsidRPr="003F6924" w:rsidRDefault="00B543E4" w:rsidP="00D55894">
            <w:pPr>
              <w:spacing w:after="0" w:line="240" w:lineRule="auto"/>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Consistency</w:t>
            </w:r>
          </w:p>
        </w:tc>
        <w:tc>
          <w:tcPr>
            <w:tcW w:w="1511" w:type="dxa"/>
            <w:shd w:val="clear" w:color="auto" w:fill="auto"/>
            <w:noWrap/>
            <w:vAlign w:val="center"/>
            <w:hideMark/>
          </w:tcPr>
          <w:p w14:paraId="5AE84CE9"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0.984</w:t>
            </w:r>
          </w:p>
        </w:tc>
        <w:tc>
          <w:tcPr>
            <w:tcW w:w="1985" w:type="dxa"/>
            <w:shd w:val="clear" w:color="auto" w:fill="auto"/>
            <w:noWrap/>
            <w:vAlign w:val="center"/>
            <w:hideMark/>
          </w:tcPr>
          <w:p w14:paraId="1CDB6009"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0.996</w:t>
            </w:r>
          </w:p>
        </w:tc>
        <w:tc>
          <w:tcPr>
            <w:tcW w:w="2267" w:type="dxa"/>
            <w:shd w:val="clear" w:color="auto" w:fill="auto"/>
            <w:noWrap/>
            <w:vAlign w:val="center"/>
            <w:hideMark/>
          </w:tcPr>
          <w:p w14:paraId="2700077F"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0.999</w:t>
            </w:r>
          </w:p>
        </w:tc>
      </w:tr>
      <w:tr w:rsidR="0046229B" w:rsidRPr="003F6924" w14:paraId="0D31C65E" w14:textId="77777777" w:rsidTr="000A240D">
        <w:trPr>
          <w:trHeight w:val="397"/>
        </w:trPr>
        <w:tc>
          <w:tcPr>
            <w:tcW w:w="3587" w:type="dxa"/>
            <w:shd w:val="clear" w:color="auto" w:fill="auto"/>
            <w:noWrap/>
            <w:vAlign w:val="center"/>
            <w:hideMark/>
          </w:tcPr>
          <w:p w14:paraId="0C411CCF" w14:textId="77777777" w:rsidR="00D55894" w:rsidRPr="003F6924" w:rsidRDefault="00B543E4" w:rsidP="00D55894">
            <w:pPr>
              <w:spacing w:after="0" w:line="240" w:lineRule="auto"/>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Solution coverage</w:t>
            </w:r>
          </w:p>
        </w:tc>
        <w:tc>
          <w:tcPr>
            <w:tcW w:w="5763" w:type="dxa"/>
            <w:gridSpan w:val="3"/>
            <w:shd w:val="clear" w:color="auto" w:fill="auto"/>
            <w:noWrap/>
            <w:vAlign w:val="center"/>
            <w:hideMark/>
          </w:tcPr>
          <w:p w14:paraId="38FAEBB8"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0.831</w:t>
            </w:r>
          </w:p>
        </w:tc>
      </w:tr>
      <w:tr w:rsidR="0046229B" w:rsidRPr="003F6924" w14:paraId="2A59AFA0" w14:textId="77777777" w:rsidTr="000A240D">
        <w:trPr>
          <w:trHeight w:val="397"/>
        </w:trPr>
        <w:tc>
          <w:tcPr>
            <w:tcW w:w="3587" w:type="dxa"/>
            <w:tcBorders>
              <w:bottom w:val="single" w:sz="4" w:space="0" w:color="auto"/>
            </w:tcBorders>
            <w:shd w:val="clear" w:color="auto" w:fill="auto"/>
            <w:noWrap/>
            <w:vAlign w:val="center"/>
            <w:hideMark/>
          </w:tcPr>
          <w:p w14:paraId="4993B36E" w14:textId="77777777" w:rsidR="00D55894" w:rsidRPr="003F6924" w:rsidRDefault="00B543E4" w:rsidP="00D55894">
            <w:pPr>
              <w:spacing w:after="0" w:line="240" w:lineRule="auto"/>
              <w:jc w:val="center"/>
              <w:rPr>
                <w:rFonts w:ascii="Times New Roman" w:hAnsi="Times New Roman" w:cs="Times New Roman"/>
                <w:b/>
                <w:bCs/>
                <w:color w:val="000000" w:themeColor="text1"/>
                <w:sz w:val="24"/>
                <w:szCs w:val="24"/>
                <w:lang w:val="en-US"/>
              </w:rPr>
            </w:pPr>
            <w:r w:rsidRPr="003F6924">
              <w:rPr>
                <w:rFonts w:ascii="Times New Roman" w:hAnsi="Times New Roman" w:cs="Times New Roman"/>
                <w:b/>
                <w:bCs/>
                <w:color w:val="000000" w:themeColor="text1"/>
                <w:sz w:val="24"/>
                <w:szCs w:val="24"/>
                <w:lang w:val="en-US"/>
              </w:rPr>
              <w:t>Solution consistency</w:t>
            </w:r>
          </w:p>
        </w:tc>
        <w:tc>
          <w:tcPr>
            <w:tcW w:w="5763" w:type="dxa"/>
            <w:gridSpan w:val="3"/>
            <w:tcBorders>
              <w:bottom w:val="single" w:sz="4" w:space="0" w:color="auto"/>
            </w:tcBorders>
            <w:shd w:val="clear" w:color="auto" w:fill="auto"/>
            <w:noWrap/>
            <w:vAlign w:val="center"/>
            <w:hideMark/>
          </w:tcPr>
          <w:p w14:paraId="42574E0A" w14:textId="77777777" w:rsidR="00D55894" w:rsidRPr="003F6924" w:rsidRDefault="00B543E4" w:rsidP="00D55894">
            <w:pPr>
              <w:spacing w:after="0" w:line="240" w:lineRule="auto"/>
              <w:jc w:val="center"/>
              <w:rPr>
                <w:rFonts w:ascii="Times New Roman" w:hAnsi="Times New Roman" w:cs="Times New Roman"/>
                <w:color w:val="000000" w:themeColor="text1"/>
                <w:lang w:val="en-US"/>
              </w:rPr>
            </w:pPr>
            <w:r w:rsidRPr="003F6924">
              <w:rPr>
                <w:rFonts w:ascii="Times New Roman" w:hAnsi="Times New Roman" w:cs="Times New Roman"/>
                <w:color w:val="000000" w:themeColor="text1"/>
                <w:lang w:val="en-US"/>
              </w:rPr>
              <w:t>0.973</w:t>
            </w:r>
          </w:p>
        </w:tc>
      </w:tr>
      <w:tr w:rsidR="0046229B" w:rsidRPr="003F6924" w14:paraId="719F7BA8" w14:textId="77777777" w:rsidTr="00FF6280">
        <w:trPr>
          <w:trHeight w:val="170"/>
        </w:trPr>
        <w:tc>
          <w:tcPr>
            <w:tcW w:w="9350" w:type="dxa"/>
            <w:gridSpan w:val="4"/>
            <w:tcBorders>
              <w:top w:val="single" w:sz="4" w:space="0" w:color="auto"/>
              <w:bottom w:val="single" w:sz="4" w:space="0" w:color="auto"/>
            </w:tcBorders>
            <w:shd w:val="clear" w:color="auto" w:fill="auto"/>
            <w:noWrap/>
            <w:vAlign w:val="center"/>
          </w:tcPr>
          <w:p w14:paraId="4DB3465F" w14:textId="77777777" w:rsidR="00D55894" w:rsidRPr="003F6924" w:rsidRDefault="00B543E4" w:rsidP="00FF291B">
            <w:pPr>
              <w:snapToGrid w:val="0"/>
              <w:spacing w:after="0" w:line="300" w:lineRule="auto"/>
              <w:ind w:left="550" w:hangingChars="250" w:hanging="550"/>
              <w:jc w:val="both"/>
              <w:rPr>
                <w:rFonts w:ascii="Times New Roman" w:hAnsi="Times New Roman" w:cs="Times New Roman"/>
                <w:i/>
                <w:iCs/>
                <w:color w:val="000000" w:themeColor="text1"/>
                <w:lang w:val="en-US"/>
              </w:rPr>
            </w:pPr>
            <w:r w:rsidRPr="003F6924">
              <w:rPr>
                <w:rFonts w:ascii="Times New Roman" w:hAnsi="Times New Roman" w:cs="Times New Roman"/>
                <w:i/>
                <w:iCs/>
                <w:color w:val="000000" w:themeColor="text1"/>
                <w:lang w:val="en-US"/>
              </w:rPr>
              <w:t>Note: ● = presence of a condition, ○ = absence of a condition, l = presence of a core condition, and “blank space” = “don’t care”</w:t>
            </w:r>
          </w:p>
        </w:tc>
      </w:tr>
    </w:tbl>
    <w:p w14:paraId="0E57D15F" w14:textId="77777777" w:rsidR="00FB1AB0" w:rsidRPr="003F6924" w:rsidRDefault="00FB1AB0" w:rsidP="000A240D">
      <w:pPr>
        <w:snapToGrid w:val="0"/>
        <w:spacing w:after="0" w:line="300" w:lineRule="auto"/>
        <w:jc w:val="both"/>
        <w:rPr>
          <w:rFonts w:ascii="Times New Roman" w:hAnsi="Times New Roman" w:cs="Times New Roman"/>
          <w:b/>
          <w:color w:val="000000" w:themeColor="text1"/>
          <w:sz w:val="26"/>
          <w:szCs w:val="26"/>
          <w:lang w:val="en-US"/>
        </w:rPr>
      </w:pPr>
    </w:p>
    <w:p w14:paraId="5A07EE5F" w14:textId="77777777" w:rsidR="00A276B8" w:rsidRPr="003F6924" w:rsidRDefault="00B543E4" w:rsidP="000A240D">
      <w:pPr>
        <w:snapToGrid w:val="0"/>
        <w:spacing w:after="0" w:line="300" w:lineRule="auto"/>
        <w:jc w:val="center"/>
        <w:rPr>
          <w:rFonts w:ascii="Times New Roman" w:hAnsi="Times New Roman" w:cs="Times New Roman"/>
          <w:b/>
          <w:color w:val="000000" w:themeColor="text1"/>
          <w:sz w:val="26"/>
          <w:szCs w:val="26"/>
          <w:lang w:val="en-US"/>
        </w:rPr>
      </w:pPr>
      <w:r w:rsidRPr="003F6924">
        <w:rPr>
          <w:rFonts w:ascii="Times New Roman" w:hAnsi="Times New Roman" w:cs="Times New Roman"/>
          <w:b/>
          <w:color w:val="000000" w:themeColor="text1"/>
          <w:sz w:val="26"/>
          <w:szCs w:val="26"/>
          <w:lang w:val="en-US"/>
        </w:rPr>
        <w:t>DISCUSSION</w:t>
      </w:r>
    </w:p>
    <w:p w14:paraId="7D508993" w14:textId="7777777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vi-VN"/>
        </w:rPr>
      </w:pPr>
      <w:r w:rsidRPr="003F6924">
        <w:rPr>
          <w:rFonts w:ascii="Times New Roman" w:hAnsi="Times New Roman" w:cs="Times New Roman"/>
          <w:color w:val="000000" w:themeColor="text1"/>
          <w:sz w:val="26"/>
          <w:szCs w:val="26"/>
          <w:lang w:val="vi-VN"/>
        </w:rPr>
        <w:t>The purpose of this study was to examine how technological, organizational, and environmental factors influence digital transformation in Vietnam’s banking sector and to identify the configurations that lead to high transformation capability.</w:t>
      </w:r>
    </w:p>
    <w:p w14:paraId="15BACF28" w14:textId="77777777" w:rsidR="000A240D" w:rsidRPr="003F6924" w:rsidRDefault="000A240D" w:rsidP="000A240D">
      <w:pPr>
        <w:snapToGrid w:val="0"/>
        <w:spacing w:after="0" w:line="300" w:lineRule="auto"/>
        <w:ind w:firstLineChars="200" w:firstLine="520"/>
        <w:jc w:val="both"/>
        <w:rPr>
          <w:rFonts w:ascii="Times New Roman" w:hAnsi="Times New Roman" w:cs="Times New Roman"/>
          <w:color w:val="000000" w:themeColor="text1"/>
          <w:sz w:val="26"/>
          <w:szCs w:val="26"/>
          <w:lang w:val="vi-VN"/>
        </w:rPr>
      </w:pPr>
    </w:p>
    <w:p w14:paraId="3AA9E3A9" w14:textId="77777777" w:rsidR="00EF6E62" w:rsidRPr="003F6924" w:rsidRDefault="00B543E4" w:rsidP="000A240D">
      <w:pPr>
        <w:snapToGrid w:val="0"/>
        <w:spacing w:after="0" w:line="300" w:lineRule="auto"/>
        <w:rPr>
          <w:rFonts w:ascii="Times New Roman" w:hAnsi="Times New Roman" w:cs="Times New Roman"/>
          <w:b/>
          <w:bCs/>
          <w:color w:val="000000" w:themeColor="text1"/>
          <w:sz w:val="26"/>
          <w:szCs w:val="26"/>
        </w:rPr>
      </w:pPr>
      <w:r w:rsidRPr="003F6924">
        <w:rPr>
          <w:rFonts w:ascii="Times New Roman" w:hAnsi="Times New Roman" w:cs="Times New Roman"/>
          <w:b/>
          <w:bCs/>
          <w:color w:val="000000" w:themeColor="text1"/>
          <w:sz w:val="26"/>
          <w:szCs w:val="26"/>
        </w:rPr>
        <w:t>Drivers of Digital Transformation</w:t>
      </w:r>
    </w:p>
    <w:p w14:paraId="228F91BA" w14:textId="7777777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Overall, the findings indicate that both technological and organizational factors exert significant and direct influences on the digital transformation capabilities of Vietnamese banks. A </w:t>
      </w:r>
      <w:r w:rsidRPr="003F6924">
        <w:rPr>
          <w:rFonts w:ascii="Times New Roman" w:hAnsi="Times New Roman" w:cs="Times New Roman"/>
          <w:color w:val="000000" w:themeColor="text1"/>
          <w:sz w:val="26"/>
          <w:szCs w:val="26"/>
          <w:lang w:val="vi-VN"/>
        </w:rPr>
        <w:t>robust</w:t>
      </w:r>
      <w:r w:rsidRPr="003F6924">
        <w:rPr>
          <w:rFonts w:ascii="Times New Roman" w:hAnsi="Times New Roman" w:cs="Times New Roman"/>
          <w:color w:val="000000" w:themeColor="text1"/>
          <w:sz w:val="26"/>
          <w:szCs w:val="26"/>
          <w:lang w:val="en-US"/>
        </w:rPr>
        <w:t xml:space="preserve"> and scalable technological infrastructure, ongoing transformation development, and adaptable systems provide the foundation for integrating and leveraging digital innovations. These findings are consistent with previous research by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{"citationID":"cXSX9rM2","properties":{"formattedCitation":"(Ha &amp; Nguyen, 2022; Saarikko et al., 2020; Trang et al., 2024)","plainCitation":"(Ha &amp; Nguyen, 2022; Saarikko et al., 2020; Trang et al., 2024)","dontUpdate":true,"noteIndex":0},"citationItems":[{"id":4348,"uris":["http://zotero.org/users/9020985/items/PTU7J47D"],"itemData":{"id":4348,"type":"chapter","abstract":"This article aims to examine the literature on digital transformation in the banking sectors and the current commercial banks’ digital transformation landscape in Vietnam. The paper provides examples of some local commercial banks to show that digital banking should be considered an integral part of smart cities. The paper also analyzes the challenges facing Vietnamese banks in their digitalization process to become smarter banks. Next, the study makes some recommendations about how to leverage the digitalization process in the Vietnamese banking system. It can be concluded from this research that digital transformation is key to the banking industry creating value for the customer and keeping pace with innovation in smart cities where people expect real-time, instant gratification. This paper also suggests further research directions.","container-title":"Smart Cities in Asia: Regulations, Problems, and Development","event-place":"Singapore","ISBN":"978-981-19-1701-1","language":"en","note":"DOI: 10.1007/978-981-19-1701-1_9","page":"103-114","publisher":"Springer Nature","publisher-place":"Singapore","source":"Springer Link","title":"Digital Transformation in Banking: A Case from Vietnam","title-short":"Digital Transformation in Banking","URL":"https://doi.org/10.1007/978-981-19-1701-1_9","author":[{"family":"Ha","given":"Minh Son"},{"family":"Nguyen","given":"Thuy Linh"}],"editor":[{"family":"Phan","given":"Thanh"},{"family":"Damian","given":"Daniela"}],"accessed":{"date-parts":[["2025",5,24]]},"issued":{"date-parts":[["2022"]]}}},{"id":4332,"uris":["http://zotero.org/users/9020985/items/4UKLUWFB"],"itemData":{"id":4332,"type":"article-journal","abstract":"Digital transformation is one of the key challenges facing contemporary businesses. The need to leverage digital technology to develop and implement new business models forces firms to reevaluate existing capabilities, structures, and culture in order to identify what technologies are relevant and how they will be enacted in organizational processes and business offerings. More often than not, these profound changes require firms to revisit old truths as they develop strategies that thread the needle between beneficial innovation and harmful disruption. This article uses the Internet of Things (IoT) as a backdrop to demonstrate the concerns associated with transformative technologies and offers five recommendations as to how firms can develop the strategies needed for digital transformation and become digitally conscious: (1) Start small and build on firsthand benefits; (2) team up and create competitive advantage from brand recognition; (3) engage in standardization efforts; (4) take responsibility for data ownership and ethics; and (5) own the change and ensure organization-wide commitment. As such, this article shows that digital transformation should be a top management priority and a defining trait of corporate business strategy, and that by becoming digitally conscious, firms may get a head start on their transformation journey.","container-title":"Business Horizons","DOI":"10.1016/j.bushor.2020.07.005","ISSN":"0007-6813","issue":"6","journalAbbreviation":"Business Horizons","page":"825-839","source":"ScienceDirect","title":"Digital transformation: Five recommendations for the digitally conscious firm","title-short":"Digital transformation","volume":"63","author":[{"family":"Saarikko","given":"Ted"},{"family":"Westergren","given":"Ulrika H."},{"family":"Blomquist","given":"Tomas"}],"issued":{"date-parts":[["2020",11,1]]}}},{"id":4346,"uris":["http://zotero.org/users/9020985/items/F3SX24BI"],"itemData":{"id":4346,"type":"article-journal","abstract":"The proliferation of information technology presents numerous challenges to the financial stability of banks. Based on a dataset encompassing 11 joint-stock commercial banks in Vietnam from 2005 to 2020, this study investigates the influence of information technology adoption on the risk profile of commercial banks. The findings underscore a favorable impact of information technology integration in mitigating the risks associated with commercial banks, thus fostering greater stability within the banking system. Moreover, the research demonstrates the sensitivity of commercial bank risk to bank-specific factors, including factors such as bank size and return on equity. Notably, the study highlights the significance of enhancing human infrastructure and implementing internal information technology systems, particularly core banking, as pivotal measures for risk reduction. Given these insights, the authors provide valuable implications for governance strategies and management policies aimed at minimizing risks for commercial banks operating in the Vietnamese context.","container-title":"VNU JOURNAL OF ECONOMICS AND BUSINESS","DOI":"10.57110/jebvn.v4i1.248","ISSN":"2734-9845","issue":"1","language":"vi","license":"Copyright (c) 2024 Cù Nguyễn Hà Trang, Trần Linh Anh, Lê Minh Anh, Nguyễn Thị Thu Huyền","note":"number: 1","page":"42-42","source":"jebvn.ueb.edu.vn","title":"Chuyển đổi số: Tác động của ứng dụng công nghệ thông tin tới rủi ro của ngân hàng thương mại","title-short":"Chuyển đổi số","volume":"4","author":[{"family":"Trang","given":"Cu Nguyen Ha"},{"family":"Anh","given":"Tran Linh"},{"family":"Anh","given":"Le Minh"},{"family":"Huyen","given":"Nguyen Thi Thu"}],"issued":{"date-parts":[["2024",2,25]]}}}],"schema":"https://github.com/citation-style-language/schema/raw/master/csl-citation.json"}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 xml:space="preserve">Ha </w:t>
      </w:r>
      <w:r w:rsidR="0025775B" w:rsidRPr="003F6924">
        <w:rPr>
          <w:rFonts w:ascii="Times New Roman" w:hAnsi="Times New Roman" w:cs="Times New Roman"/>
          <w:noProof/>
          <w:color w:val="000000" w:themeColor="text1"/>
          <w:sz w:val="26"/>
          <w:szCs w:val="26"/>
          <w:lang w:val="en-US"/>
        </w:rPr>
        <w:t>and</w:t>
      </w:r>
      <w:r w:rsidRPr="003F6924">
        <w:rPr>
          <w:rFonts w:ascii="Times New Roman" w:hAnsi="Times New Roman" w:cs="Times New Roman"/>
          <w:noProof/>
          <w:color w:val="000000" w:themeColor="text1"/>
          <w:sz w:val="26"/>
          <w:szCs w:val="26"/>
          <w:lang w:val="en-US"/>
        </w:rPr>
        <w:t xml:space="preserve"> Nguyen (2022)</w:t>
      </w:r>
      <w:r w:rsidRPr="003F6924">
        <w:rPr>
          <w:rFonts w:ascii="Times New Roman" w:hAnsi="Times New Roman" w:cs="Times New Roman"/>
          <w:noProof/>
          <w:color w:val="000000" w:themeColor="text1"/>
          <w:sz w:val="26"/>
          <w:szCs w:val="26"/>
          <w:lang w:val="vi-VN"/>
        </w:rPr>
        <w:t>,</w:t>
      </w:r>
      <w:r w:rsidRPr="003F6924">
        <w:rPr>
          <w:rFonts w:ascii="Times New Roman" w:hAnsi="Times New Roman" w:cs="Times New Roman"/>
          <w:noProof/>
          <w:color w:val="000000" w:themeColor="text1"/>
          <w:sz w:val="26"/>
          <w:szCs w:val="26"/>
          <w:lang w:val="en-US"/>
        </w:rPr>
        <w:t xml:space="preserve"> Saarikko et al. (2020)</w:t>
      </w:r>
      <w:r w:rsidRPr="003F6924">
        <w:rPr>
          <w:rFonts w:ascii="Times New Roman" w:hAnsi="Times New Roman" w:cs="Times New Roman"/>
          <w:noProof/>
          <w:color w:val="000000" w:themeColor="text1"/>
          <w:sz w:val="26"/>
          <w:szCs w:val="26"/>
          <w:lang w:val="vi-VN"/>
        </w:rPr>
        <w:t>, and</w:t>
      </w:r>
      <w:r w:rsidRPr="003F6924">
        <w:rPr>
          <w:rFonts w:ascii="Times New Roman" w:hAnsi="Times New Roman" w:cs="Times New Roman"/>
          <w:noProof/>
          <w:color w:val="000000" w:themeColor="text1"/>
          <w:sz w:val="26"/>
          <w:szCs w:val="26"/>
          <w:lang w:val="en-US"/>
        </w:rPr>
        <w:t xml:space="preserve"> Trang et al. (2024)</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which underscores that robust technological infrastructures, such as digital platforms and continuous transformation development</w:t>
      </w:r>
      <w:r w:rsidRPr="003F6924">
        <w:rPr>
          <w:rFonts w:ascii="Times New Roman" w:hAnsi="Times New Roman" w:cs="Times New Roman"/>
          <w:color w:val="000000" w:themeColor="text1"/>
          <w:sz w:val="26"/>
          <w:szCs w:val="26"/>
          <w:lang w:val="vi-VN"/>
        </w:rPr>
        <w:t>,</w:t>
      </w:r>
      <w:r w:rsidRPr="003F6924">
        <w:rPr>
          <w:rFonts w:ascii="Times New Roman" w:hAnsi="Times New Roman" w:cs="Times New Roman"/>
          <w:color w:val="000000" w:themeColor="text1"/>
          <w:sz w:val="26"/>
          <w:szCs w:val="26"/>
          <w:lang w:val="en-US"/>
        </w:rPr>
        <w:t xml:space="preserve"> are foundational enablers of digital transformation in the banking sector. </w:t>
      </w:r>
    </w:p>
    <w:p w14:paraId="78D66369" w14:textId="7777777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Meanwhile, organizational factors, including leadership capability, a clearly articulated transformation strategy, employee competency and comprehension, and responsiveness to digital pressures, emerge as critical internal enablers that convert technological potential into real </w:t>
      </w:r>
      <w:r w:rsidRPr="003F6924">
        <w:rPr>
          <w:rFonts w:ascii="Times New Roman" w:hAnsi="Times New Roman" w:cs="Times New Roman"/>
          <w:color w:val="000000" w:themeColor="text1"/>
          <w:sz w:val="26"/>
          <w:szCs w:val="26"/>
          <w:lang w:val="vi-VN"/>
        </w:rPr>
        <w:t>transformation</w:t>
      </w:r>
      <w:r w:rsidRPr="003F6924">
        <w:rPr>
          <w:rFonts w:ascii="Times New Roman" w:hAnsi="Times New Roman" w:cs="Times New Roman"/>
          <w:color w:val="000000" w:themeColor="text1"/>
          <w:sz w:val="26"/>
          <w:szCs w:val="26"/>
          <w:lang w:val="en-US"/>
        </w:rPr>
        <w:t xml:space="preserve"> outcomes. These results are consistent with prior studies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{"citationID":"zSyjP6C4","properties":{"formattedCitation":"(AlBar &amp; and Hoque, 2019; Kindermann et al., 2021; Lai et al., 2021; Yigitbasioglu, 2015)","plainCitation":"(AlBar &amp; and Hoque, 2019; Kindermann et al., 2021; Lai et al., 2021; Yigitbasioglu, 2015)","dontUpdate":true,"noteIndex":0},"citationItems":[{"id":4354,"uris":["http://zotero.org/users/9020985/items/7FA342W3"],"itemData":{"id":4354,"type":"article-journal","abstract":"Small and medium enterprises (SMEs) can play an important role in the national economy of developing countries. The adoption of information and communication technology (ICT) has enabled local SMEs to participate in the international market. However, little research has addressed issues related to SMEs adopting ICTs, especially in rural areas of Middle Eastern developing countries such as Saudi Arabia. Using the extended technology-organization-environment framework with personal innovativeness, this study examined the factors that influence the adoption of ICTs among SMEs in rural areas of Saudi Arabia. The study found that relative advantages, top management support, culture, regulatory environment, owner/manager innovativeness and ICT knowledge had a significant relationship with ICT adoption among SMEs in Saudi Arabia, whereas compatibility, complexity and a competitive environment had no significant relationship with ICT adoption. The findings of this study will potentially help SME managers/owners and the Saudi government in the successful adoption and diffusion of ICT in SMEs located in rural areas in Saudi Arabia.","container-title":"Information Technology for Development","DOI":"10.1080/02681102.2017.1390437","ISSN":"0268-1102","issue":"4","note":"publisher: Routledge\n_eprint: https://doi.org/10.1080/02681102.2017.1390437","page":"715-738","source":"Taylor and Francis+NEJM","title":"Factors affecting the adoption of information and communication technology in small and medium enterprises: a perspective from rural Saudi Arabia","title-short":"Factors affecting the adoption of information and communication technology in small and medium enterprises","volume":"25","author":[{"family":"AlBar","given":"Adnan Mustafa"},{"family":"Hoque","given":"Md. Rakibul"}],"issued":{"date-parts":[["2019",10,2]]}}},{"id":4359,"uris":["http://zotero.org/users/9020985/items/937JLDPV"],"itemData":{"id":4359,"type":"article-journal","abstract":"Although there is ample evidence that digital technologies are strategically important for value creation, extant literature lacks holistic concepts that capture an organization’s strategic orientation concerning digital innovation and transformation initiatives. This study integrates recent digitalization themes with IT business alignment research to conceptualize a new strategic orientation construct: digital orientation. The construct is manifested in four dimensions which we operationalize for computer-aided text analysis. We validate the construct based on 6498 shareholder letters from large US firms over 16 years. Building upon the resource-based view, we validate the digital orientation construct by linking it to firm performance. Our findings advance the literature on strategic orientations and bring the domains of strategy and information systems closer together. The novel digital orientation construct and the validated measurement instrument lead to many new research opportunities.","container-title":"European Management Journal","DOI":"10.1016/j.emj.2020.10.009","ISSN":"0263-2373","issue":"5","journalAbbreviation":"European Management Journal","page":"645-657","source":"ScienceDirect","title":"Digital orientation: Conceptualization and operationalization of a new strategic orientation","title-short":"Digital orientation","volume":"39","author":[{"family":"Kindermann","given":"Bastian"},{"family":"Beutel","given":"Sebastian"},{"family":"Garcia de Lomana","given":"Gonzalo"},{"family":"Strese","given":"Steffen"},{"family":"Bendig","given":"David"},{"family":"Brettel","given":"Malte"}],"issued":{"date-parts":[["2021",10,1]]}}},{"id":4363,"uris":["http://zotero.org/users/9020985/items/2DLGK3WW"],"itemData":{"id":4363,"type":"article-journal","abstract":"This study investigated how employees’ information technology (IT) competency is associated with employee agility via perceived task structure. Most scholar’s emphasis is on the impact of IT competency on individual work performance; however, it seems as if no attention has been given to explore the relationship between IT competency on employee’s agility through perceived task structure. This research offers and tests a new comprehensive model that links the individual’s IT competency with perceived task structure and employee agility. Data were gathered from 167 representatives who used various IT applications for daily work routines in the organization. Findings showed that IT competency is positively related to task interdependence and autonomy. Task autonomy also has significant effect on employee agility; however, task interdependence has shown insignificant effect on employee agility. Furthermore, work expertise positively moderates the relationship between IT competency and perceived task structure. Theoretical and managerial implications of study are also discussed in the last section.","container-title":"SAGE Open","DOI":"10.1177/21582440211006687","ISSN":"2158-2440","issue":"2","language":"EN","note":"publisher: SAGE Publications","page":"21582440211006687","source":"SAGE Journals","title":"Enhancing Employee Agility Through Information Technology Competency: An Empirical Study of China","title-short":"Enhancing Employee Agility Through Information Technology Competency","volume":"11","author":[{"family":"Lai","given":"Han"},{"family":"Pitafi","given":"Abdul Hameed"},{"family":"Hasany","given":"Noman"},{"family":"Islam","given":"Tahir"}],"issued":{"date-parts":[["2021",4,1]]}}},{"id":4355,"uris":["http://zotero.org/users/9020985/items/QEL3R2P8"],"itemData":{"id":4355,"type":"article-journal","abstract":"Purpose\n              – While many studies have predominantly looked at the benefits and risks of cloud computing, little is known whether and to what extent institutional forces play a role in cloud computing adoption. The purpose of this paper is to explore the role of institutional factors in top management team’s (TMT’s) decision to adopt cloud computing services.\n            \n            \n              Design/methodology/approach\n              – A model is developed and tested with data from an Australian survey using the partial least squares modeling technique.\n            \n            \n              Findings\n              – The results suggest that mimetic and coercive pressures influence TMT’s beliefs in the benefits of cloud computing. The results also show that TMT’s beliefs drive TMT’s participation, which in turn affects the intention to increase the adoption of cloud computing solutions.\n            \n            \n              Research limitations/implications\n              – Future studies could incorporate the influences of local actors who might also press for innovation.\n            \n            \n              Practical implications\n              – Given the influence of institutional forces and the plethora of cloud-based solutions on the market, it is recommended that TMTs exercise a high degree of caution when deciding for the types of applications to be outsourced as organizational requirements in terms of performance and security will differ.\n            \n            \n              Originality/value\n              – The paper contributes to the growing empirical literature on cloud computing adoption and offers the institutional framework as an alternative lens with which to interpret cloud-based information technology outsourcing.","container-title":"Journal of Enterprise Information Management","DOI":"10.1108/JEIM-09-2014-0087","ISSN":"1741-0398","issue":"4","language":"en","license":"https://www.emerald.com/insight/site-policies","page":"579-594","source":"DOI.org (Crossref)","title":"The role of institutional pressures and top management support in the intention to adopt cloud computing solutions","volume":"28","author":[{"family":"Yigitbasioglu","given":"Ogan M."}],"issued":{"date-parts":[["2015",7,13]]}}}],"schema":"https://github.com/citation-style-language/schema/raw/master/csl-citation.json"}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 xml:space="preserve">by AlBar </w:t>
      </w:r>
      <w:r w:rsidR="0025775B" w:rsidRPr="003F6924">
        <w:rPr>
          <w:rFonts w:ascii="Times New Roman" w:hAnsi="Times New Roman" w:cs="Times New Roman"/>
          <w:noProof/>
          <w:color w:val="000000" w:themeColor="text1"/>
          <w:sz w:val="26"/>
          <w:szCs w:val="26"/>
          <w:lang w:val="en-US"/>
        </w:rPr>
        <w:t>and</w:t>
      </w:r>
      <w:r w:rsidRPr="003F6924">
        <w:rPr>
          <w:rFonts w:ascii="Times New Roman" w:hAnsi="Times New Roman" w:cs="Times New Roman"/>
          <w:noProof/>
          <w:color w:val="000000" w:themeColor="text1"/>
          <w:sz w:val="26"/>
          <w:szCs w:val="26"/>
          <w:lang w:val="en-US"/>
        </w:rPr>
        <w:t xml:space="preserve"> Hoque (2019); Kindermann et al. (2021); Lai et al. (2021); Yigitbasioglu (2015)</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which emphasize that internal organizational readiness and the ability to respond effectively to digital demands are vital to transformation success. From a theoretical standpoint, these findings confirm that digital transformation is not purely a technology-driven initiative but a socio-technical process that depends equally on strategic alignment, strong leadership, human capability, and adaptability to external influences.</w:t>
      </w:r>
    </w:p>
    <w:p w14:paraId="53B0A0FD" w14:textId="2422128D"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The significance of these relationships indicates that digital transformation in Vietnam’s banking sector is not solely driven by technology, but rather by the effective alignment between technological and organizational dimensions. First, technological readiness, represented by the bank’s technology platform and ongoing transformation development</w:t>
      </w:r>
      <w:r w:rsidRPr="003F6924">
        <w:rPr>
          <w:rFonts w:ascii="Times New Roman" w:hAnsi="Times New Roman" w:cs="Times New Roman"/>
          <w:color w:val="000000" w:themeColor="text1"/>
          <w:sz w:val="26"/>
          <w:szCs w:val="26"/>
          <w:lang w:val="vi-VN"/>
        </w:rPr>
        <w:t>,</w:t>
      </w:r>
      <w:r w:rsidRPr="003F6924">
        <w:rPr>
          <w:rFonts w:ascii="Times New Roman" w:hAnsi="Times New Roman" w:cs="Times New Roman"/>
          <w:color w:val="000000" w:themeColor="text1"/>
          <w:sz w:val="26"/>
          <w:szCs w:val="26"/>
          <w:lang w:val="en-US"/>
        </w:rPr>
        <w:t xml:space="preserve"> emerges as </w:t>
      </w:r>
      <w:r w:rsidRPr="003F6924">
        <w:rPr>
          <w:rFonts w:ascii="Times New Roman" w:hAnsi="Times New Roman" w:cs="Times New Roman"/>
          <w:color w:val="000000" w:themeColor="text1"/>
          <w:sz w:val="26"/>
          <w:szCs w:val="26"/>
          <w:lang w:val="vi-VN"/>
        </w:rPr>
        <w:t>fundamental</w:t>
      </w:r>
      <w:r w:rsidRPr="003F6924">
        <w:rPr>
          <w:rFonts w:ascii="Times New Roman" w:hAnsi="Times New Roman" w:cs="Times New Roman"/>
          <w:color w:val="000000" w:themeColor="text1"/>
          <w:sz w:val="26"/>
          <w:szCs w:val="26"/>
          <w:lang w:val="en-US"/>
        </w:rPr>
        <w:t xml:space="preserve"> because it provides the infrastructure for digital integration, data analytics, and customer interaction. In Vietnam, where many banks are upgrading from legacy systems, advanced and interoperable technologies are prerequisites for introducing digital banking services and competing with agile fintech firms. Moreover, leadership capability and digital transformation strategy exert significant influence on transformation outcomes by shaping vision, allocating resources, and coordinating organizational change. In hierarchical institutions like Vietnamese banks, leadership commitment is often the decisive factor in overcoming resistance and driving innovation. A clear strategy ensures that digital initiatives are integrated into long-term objectives rather than treated as isolated IT upgrades. Third, employee competency and comprehension are critical because transformation success depends on the workforce’s ability to operate and adapt to new technologies. In the Vietnamese context, where digital competencies are still emerging, this relationship illustrates the need for continuous training and knowledge sharing to strengthen internal capabilities. Finally, digital transformation pressure acts as a catalyst that accelerates adoption. However, its </w:t>
      </w:r>
      <w:r w:rsidRPr="003F6924">
        <w:rPr>
          <w:rFonts w:ascii="Times New Roman" w:hAnsi="Times New Roman" w:cs="Times New Roman"/>
          <w:color w:val="000000" w:themeColor="text1"/>
          <w:sz w:val="26"/>
          <w:szCs w:val="26"/>
          <w:lang w:val="vi-VN"/>
        </w:rPr>
        <w:t>significance</w:t>
      </w:r>
      <w:r w:rsidRPr="003F6924">
        <w:rPr>
          <w:rFonts w:ascii="Times New Roman" w:hAnsi="Times New Roman" w:cs="Times New Roman"/>
          <w:color w:val="000000" w:themeColor="text1"/>
          <w:sz w:val="26"/>
          <w:szCs w:val="26"/>
          <w:lang w:val="en-US"/>
        </w:rPr>
        <w:t xml:space="preserve"> depends on the bank’s internal capacity to respond effectively.</w:t>
      </w:r>
    </w:p>
    <w:p w14:paraId="3A1CEED7" w14:textId="4C25CB91" w:rsidR="005A52D7"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By contrast, hypotheses H7, H9, and H10 were not supported, indicating that bank corporate culture, financial capability, and government support have insignificant effects on banks’ digital transformation capability</w:t>
      </w:r>
      <w:r w:rsidR="00EF6E62" w:rsidRPr="003F6924">
        <w:rPr>
          <w:rFonts w:ascii="Times New Roman" w:hAnsi="Times New Roman" w:cs="Times New Roman"/>
          <w:color w:val="000000" w:themeColor="text1"/>
          <w:sz w:val="26"/>
          <w:szCs w:val="26"/>
          <w:lang w:val="en-US"/>
        </w:rPr>
        <w:t>. Regarding H7, we found that corporate culture does not have a direct measurable influence on digital transformation capability. This</w:t>
      </w:r>
      <w:r w:rsidRPr="003F6924">
        <w:rPr>
          <w:rFonts w:ascii="Times New Roman" w:hAnsi="Times New Roman" w:cs="Times New Roman"/>
          <w:color w:val="000000" w:themeColor="text1"/>
          <w:sz w:val="26"/>
          <w:szCs w:val="26"/>
          <w:lang w:val="vi-VN"/>
        </w:rPr>
        <w:t xml:space="preserve"> finding</w:t>
      </w:r>
      <w:r w:rsidR="00EF6E62" w:rsidRPr="003F6924">
        <w:rPr>
          <w:rFonts w:ascii="Times New Roman" w:hAnsi="Times New Roman" w:cs="Times New Roman"/>
          <w:color w:val="000000" w:themeColor="text1"/>
          <w:sz w:val="26"/>
          <w:szCs w:val="26"/>
          <w:lang w:val="en-US"/>
        </w:rPr>
        <w:t xml:space="preserve"> can be explained by the fact that cultural shifts are </w:t>
      </w:r>
      <w:r w:rsidRPr="003F6924">
        <w:rPr>
          <w:rFonts w:ascii="Times New Roman" w:hAnsi="Times New Roman" w:cs="Times New Roman"/>
          <w:color w:val="000000" w:themeColor="text1"/>
          <w:sz w:val="26"/>
          <w:szCs w:val="26"/>
          <w:lang w:val="en-US"/>
        </w:rPr>
        <w:t>profound</w:t>
      </w:r>
      <w:r w:rsidR="00EF6E62" w:rsidRPr="003F6924">
        <w:rPr>
          <w:rFonts w:ascii="Times New Roman" w:hAnsi="Times New Roman" w:cs="Times New Roman"/>
          <w:color w:val="000000" w:themeColor="text1"/>
          <w:sz w:val="26"/>
          <w:szCs w:val="26"/>
          <w:lang w:val="en-US"/>
        </w:rPr>
        <w:t xml:space="preserve"> and slow-moving and therefore take years to internalize. </w:t>
      </w:r>
      <w:r w:rsidRPr="003F6924">
        <w:rPr>
          <w:rFonts w:ascii="Times New Roman" w:hAnsi="Times New Roman" w:cs="Times New Roman"/>
          <w:color w:val="000000" w:themeColor="text1"/>
          <w:sz w:val="26"/>
          <w:szCs w:val="26"/>
          <w:lang w:val="en-US"/>
        </w:rPr>
        <w:t>Additionally, banks in developing or transitional economies, such as Vietnam, tend to adopt a top-down transformation approach in which managerial decisions drive change, often limiting employee empowerment and bottom-up innovation</w:t>
      </w:r>
      <w:r w:rsidR="00EF6E62" w:rsidRPr="003F6924">
        <w:rPr>
          <w:rFonts w:ascii="Times New Roman" w:hAnsi="Times New Roman" w:cs="Times New Roman"/>
          <w:color w:val="000000" w:themeColor="text1"/>
          <w:sz w:val="26"/>
          <w:szCs w:val="26"/>
          <w:lang w:val="en-US"/>
        </w:rPr>
        <w:t xml:space="preserve">. As a result, organizational culture (values, collaboration, openness) may not align with digital transformation goals, weakening its direct impact. The results did not align with </w:t>
      </w:r>
      <w:r w:rsidR="00F377A7" w:rsidRPr="003F6924">
        <w:rPr>
          <w:rFonts w:ascii="Times New Roman" w:hAnsi="Times New Roman" w:cs="Times New Roman"/>
          <w:color w:val="000000" w:themeColor="text1"/>
          <w:sz w:val="26"/>
          <w:szCs w:val="26"/>
          <w:lang w:val="en-US"/>
        </w:rPr>
        <w:t>th</w:t>
      </w:r>
      <w:r w:rsidR="00EF6E62" w:rsidRPr="003F6924">
        <w:rPr>
          <w:rFonts w:ascii="Times New Roman" w:hAnsi="Times New Roman" w:cs="Times New Roman"/>
          <w:color w:val="000000" w:themeColor="text1"/>
          <w:sz w:val="26"/>
          <w:szCs w:val="26"/>
          <w:lang w:val="en-US"/>
        </w:rPr>
        <w:t xml:space="preserve">ose of </w:t>
      </w:r>
      <w:r w:rsidR="00EF6E62" w:rsidRPr="003F6924">
        <w:rPr>
          <w:rFonts w:ascii="Times New Roman" w:hAnsi="Times New Roman" w:cs="Times New Roman"/>
          <w:color w:val="000000" w:themeColor="text1"/>
          <w:sz w:val="26"/>
          <w:szCs w:val="26"/>
          <w:lang w:val="en-US"/>
        </w:rPr>
        <w:fldChar w:fldCharType="begin"/>
      </w:r>
      <w:r w:rsidR="00EF6E62" w:rsidRPr="003F6924">
        <w:rPr>
          <w:rFonts w:ascii="Times New Roman" w:hAnsi="Times New Roman" w:cs="Times New Roman"/>
          <w:color w:val="000000" w:themeColor="text1"/>
          <w:sz w:val="26"/>
          <w:szCs w:val="26"/>
          <w:lang w:val="en-US"/>
        </w:rPr>
        <w:instrText xml:space="preserve"> ADDIN ZOTERO_ITEM CSL_CITATION {"citationID":"gHyXrYBv","properties":{"formattedCitation":"(Hie, 2019; Wintarto et al., 2024)","plainCitation":"(Hie, 2019; Wintarto et al., 2024)","noteIndex":0},"citationItems":[{"id":4893,"uris":["http://zotero.org/users/9020985/items/PDCGN2EK"],"itemData":{"id":4893,"type":"article-journal","abstract":"The purpose of this research was to know and analyze the effect of transforming organizational culture and digital transformation governance on digital maturity in banks in Indonesia. The population in this research was bankers in Indonesian banks with a sample size of 611 respondents. The method used in this research was descriptive and explanatory survey method, and the data analysis method used was structural equation modeling with data analysis tools Lisrel 8.80. The results showed that transforming organizational culture and digital transformation governance simultaneously have a positive and significant effect on digital maturity with a contribution of 61%. The digital transformation governance partially has more dominant influence on digital maturity compared to transforming organizational culture. The managerial implication of the results of this study was that to reach higher digital maturity in Indonesian banks, leaders must emphasize in digital transformation governance with removing silos as the main dimension to focus on.Keywords: Organizational Culture; Digital Transformation; Governance; Technology; BankJEL Classifications: O32, M54, N75DOI: https://doi.org/10.32479/irmm.8785","container-title":"International Review of Management and Marketing","ISSN":"2146-4405","issue":"6","language":"en","license":"Copyright (c) 2019 International Review of Management and Marketing","page":"51-57","source":"econjournals.com","title":"Impact of Transforming Organizational Culture and Digital Transformation Governance toward Digital Maturity in Indonesian Banks","volume":"9","author":[{"family":"Hie","given":"B.P"}],"issued":{"date-parts":[["2019",10,24]]}}},{"id":4892,"uris":["http://zotero.org/users/9020985/items/H8V4HTDW"],"itemData":{"id":4892,"type":"article-journal","abstract":"Digital transformation in banking is a must and related to the culture in an organization to serve customers using digital technology to transform the internal processes of the business. Therefore, the purpose of this study is to analyze the process of digital transformation and the role of digital organizational culture in digital transformation in local banking. The sample of this study is employees who work at Bank Bengkulu (Bank of Bengkulu) which is a local government-owned bank. The research was conducted with a qualitative approach using open-ended questions with the e-survey questionnaire method. The collected data are analyzed using thematic analysis techniques. Research findings show that micro themes of digital transformation, such as outside-in, cross-work collaboration, work creativity, and agile leadership, are still not significantly developed at Bank Bengkulu. In addition, cultural behavior, digitalization capabilities, digitization skills, IT infrastructure, and business processes are also still weak. Some technology programs are still in the early stages of development and progress is slow. In conclusion, this study illustrates that digital transformation and digital organizational culture are still not significantly developed at Bank Bengkulu. Constraints such as inadequate human resource skills, weak IT infrastructure, and lack of responsiveness in the face of change need to be considered. The implication of the results of this study is the importance of attention to digital skills development, IT infrastructure improvement, and organizational culture change to achieve successful digital transformation at Bank Bengkulu.","container-title":"International Journal of Social Science and Business","DOI":"10.23887/ijssb.v7i4.72306","ISSN":"2549-6409, 2614-6533","issue":"4","journalAbbreviation":"IJSSB","license":"https://creativecommons.org/licenses/by-sa/4.0","page":"1022-1029","source":"DOI.org (Crossref)","title":"Digital Organisational Culture: Capturing Local Banking in Digital Transformation","title-short":"Digital Organisational Culture","volume":"7","author":[{"family":"Wintarto","given":"R"},{"family":"Meiliani","given":"M"},{"family":"Carolin","given":"A"}],"issued":{"date-parts":[["2024",1,9]]}}}],"schema":"https://github.com/citation-style-language/schema/raw/master/csl-citation.json"} </w:instrText>
      </w:r>
      <w:r w:rsidR="00EF6E62" w:rsidRPr="003F6924">
        <w:rPr>
          <w:rFonts w:ascii="Times New Roman" w:hAnsi="Times New Roman" w:cs="Times New Roman"/>
          <w:color w:val="000000" w:themeColor="text1"/>
          <w:sz w:val="26"/>
          <w:szCs w:val="26"/>
          <w:lang w:val="en-US"/>
        </w:rPr>
        <w:fldChar w:fldCharType="separate"/>
      </w:r>
      <w:r w:rsidR="00EF6E62" w:rsidRPr="003F6924">
        <w:rPr>
          <w:rFonts w:ascii="Times New Roman" w:hAnsi="Times New Roman" w:cs="Times New Roman"/>
          <w:noProof/>
          <w:color w:val="000000" w:themeColor="text1"/>
          <w:sz w:val="26"/>
          <w:szCs w:val="26"/>
          <w:lang w:val="en-US"/>
        </w:rPr>
        <w:t xml:space="preserve">Wintarto et al. </w:t>
      </w:r>
      <w:r w:rsidRPr="003F6924">
        <w:rPr>
          <w:rFonts w:ascii="Times New Roman" w:hAnsi="Times New Roman" w:cs="Times New Roman"/>
          <w:noProof/>
          <w:color w:val="000000" w:themeColor="text1"/>
          <w:sz w:val="26"/>
          <w:szCs w:val="26"/>
          <w:lang w:val="vi-VN"/>
        </w:rPr>
        <w:t>(</w:t>
      </w:r>
      <w:r w:rsidR="00EF6E62" w:rsidRPr="003F6924">
        <w:rPr>
          <w:rFonts w:ascii="Times New Roman" w:hAnsi="Times New Roman" w:cs="Times New Roman"/>
          <w:noProof/>
          <w:color w:val="000000" w:themeColor="text1"/>
          <w:sz w:val="26"/>
          <w:szCs w:val="26"/>
          <w:lang w:val="en-US"/>
        </w:rPr>
        <w:t>2024)</w:t>
      </w:r>
      <w:r w:rsidR="00EF6E62" w:rsidRPr="003F6924">
        <w:rPr>
          <w:rFonts w:ascii="Times New Roman" w:hAnsi="Times New Roman" w:cs="Times New Roman"/>
          <w:color w:val="000000" w:themeColor="text1"/>
          <w:sz w:val="26"/>
          <w:szCs w:val="26"/>
          <w:lang w:val="en-US"/>
        </w:rPr>
        <w:fldChar w:fldCharType="end"/>
      </w:r>
      <w:r w:rsidR="00EF6E62" w:rsidRPr="003F6924">
        <w:rPr>
          <w:rFonts w:ascii="Times New Roman" w:hAnsi="Times New Roman" w:cs="Times New Roman"/>
          <w:color w:val="000000" w:themeColor="text1"/>
          <w:sz w:val="26"/>
          <w:szCs w:val="26"/>
          <w:lang w:val="en-US"/>
        </w:rPr>
        <w:t xml:space="preserve">, who found </w:t>
      </w:r>
      <w:r w:rsidRPr="003F6924">
        <w:rPr>
          <w:rFonts w:ascii="Times New Roman" w:hAnsi="Times New Roman" w:cs="Times New Roman"/>
          <w:color w:val="000000" w:themeColor="text1"/>
          <w:sz w:val="26"/>
          <w:szCs w:val="26"/>
          <w:lang w:val="vi-VN"/>
        </w:rPr>
        <w:t>a</w:t>
      </w:r>
      <w:r w:rsidR="00EF6E62" w:rsidRPr="003F6924">
        <w:rPr>
          <w:rFonts w:ascii="Times New Roman" w:hAnsi="Times New Roman" w:cs="Times New Roman"/>
          <w:color w:val="000000" w:themeColor="text1"/>
          <w:sz w:val="26"/>
          <w:szCs w:val="26"/>
          <w:lang w:val="en-US"/>
        </w:rPr>
        <w:t xml:space="preserve"> significant impact of culture on digital transformation. </w:t>
      </w:r>
      <w:r w:rsidRPr="003F6924">
        <w:rPr>
          <w:rFonts w:ascii="Times New Roman" w:hAnsi="Times New Roman" w:cs="Times New Roman"/>
          <w:color w:val="000000" w:themeColor="text1"/>
          <w:sz w:val="26"/>
          <w:szCs w:val="26"/>
          <w:lang w:val="en-US"/>
        </w:rPr>
        <w:t>Similarly, the findings suggest that financial strength alone does not necessarily enhance digital transformation capability (H9)</w:t>
      </w:r>
      <w:r w:rsidR="00EF6E62" w:rsidRPr="003F6924">
        <w:rPr>
          <w:rFonts w:ascii="Times New Roman" w:hAnsi="Times New Roman" w:cs="Times New Roman"/>
          <w:color w:val="000000" w:themeColor="text1"/>
          <w:sz w:val="26"/>
          <w:szCs w:val="26"/>
          <w:lang w:val="en-US"/>
        </w:rPr>
        <w:t xml:space="preserve">. This finding is also in contrast to the study by </w:t>
      </w:r>
      <w:r w:rsidR="00EF6E62" w:rsidRPr="003F6924">
        <w:rPr>
          <w:rFonts w:ascii="Times New Roman" w:hAnsi="Times New Roman" w:cs="Times New Roman"/>
          <w:color w:val="000000" w:themeColor="text1"/>
          <w:sz w:val="26"/>
          <w:szCs w:val="26"/>
          <w:lang w:val="en-US"/>
        </w:rPr>
        <w:fldChar w:fldCharType="begin"/>
      </w:r>
      <w:r w:rsidR="00EF6E62" w:rsidRPr="003F6924">
        <w:rPr>
          <w:rFonts w:ascii="Times New Roman" w:hAnsi="Times New Roman" w:cs="Times New Roman"/>
          <w:color w:val="000000" w:themeColor="text1"/>
          <w:sz w:val="26"/>
          <w:szCs w:val="26"/>
          <w:lang w:val="en-US"/>
        </w:rPr>
        <w:instrText xml:space="preserve"> ADDIN ZOTERO_ITEM CSL_CITATION {"citationID":"h4H866Qr","properties":{"formattedCitation":"(Du &amp; Wang, 2024)","plainCitation":"(Du &amp; Wang, 2024)","noteIndex":0},"citationItems":[{"id":4895,"uris":["http://zotero.org/users/9020985/items/EPIRWTKN"],"itemData":{"id":4895,"type":"article-journal","abstract":"This study explores the role of financial support in the digital transformation of Chinese A-share-listed companies from 2001 to 2020. By utilizing the moderating effect model and threshold regression model, this study finds the following results: (1) Digital transformation positively impacts innovation, and the support of banking and capital markets further strengthens this impact. (2) With the development of banking and capital markets, the impact of digital transformation on innovation changes from negative to positive, which is also reflected in the subsamples of Eastern companies, small and medium-sized companies (SMEs), and non-SMEs. (3) The study reveals that only the capital market in the non-Eastern region has no threshold, and capital market support is effective only for non-SMEs when it reaches a higher level. These findings have important implications for policymakers in promoting digital transformation through financial support and help companies understand how to use financial support to improve competitiveness.","container-title":"Financial Innovation","DOI":"10.1186/s40854-023-00584-1","ISSN":"2199-4730","issue":"1","journalAbbreviation":"Financial Innovation","page":"76","source":"BioMed Central","title":"The power of financial support in accelerating digital transformation and corporate innovation in China: evidence from banking and capital markets","title-short":"The power of financial support in accelerating digital transformation and corporate innovation in China","volume":"10","author":[{"family":"Du","given":"Zhuoya"},{"family":"Wang","given":"Qian"}],"issued":{"date-parts":[["2024",4,25]]}}}],"schema":"https://github.com/citation-style-language/schema/raw/master/csl-citation.json"} </w:instrText>
      </w:r>
      <w:r w:rsidR="00EF6E62" w:rsidRPr="003F6924">
        <w:rPr>
          <w:rFonts w:ascii="Times New Roman" w:hAnsi="Times New Roman" w:cs="Times New Roman"/>
          <w:color w:val="000000" w:themeColor="text1"/>
          <w:sz w:val="26"/>
          <w:szCs w:val="26"/>
          <w:lang w:val="en-US"/>
        </w:rPr>
        <w:fldChar w:fldCharType="separate"/>
      </w:r>
      <w:r w:rsidR="00EF6E62" w:rsidRPr="003F6924">
        <w:rPr>
          <w:rFonts w:ascii="Times New Roman" w:hAnsi="Times New Roman" w:cs="Times New Roman"/>
          <w:noProof/>
          <w:color w:val="000000" w:themeColor="text1"/>
          <w:sz w:val="26"/>
          <w:szCs w:val="26"/>
          <w:lang w:val="en-US"/>
        </w:rPr>
        <w:t xml:space="preserve">Du </w:t>
      </w:r>
      <w:r w:rsidR="0025775B" w:rsidRPr="003F6924">
        <w:rPr>
          <w:rFonts w:ascii="Times New Roman" w:hAnsi="Times New Roman" w:cs="Times New Roman"/>
          <w:noProof/>
          <w:color w:val="000000" w:themeColor="text1"/>
          <w:sz w:val="26"/>
          <w:szCs w:val="26"/>
          <w:lang w:val="en-US"/>
        </w:rPr>
        <w:t>and</w:t>
      </w:r>
      <w:r w:rsidR="00EF6E62" w:rsidRPr="003F6924">
        <w:rPr>
          <w:rFonts w:ascii="Times New Roman" w:hAnsi="Times New Roman" w:cs="Times New Roman"/>
          <w:noProof/>
          <w:color w:val="000000" w:themeColor="text1"/>
          <w:sz w:val="26"/>
          <w:szCs w:val="26"/>
          <w:lang w:val="en-US"/>
        </w:rPr>
        <w:t xml:space="preserve"> Wang </w:t>
      </w:r>
      <w:r w:rsidRPr="003F6924">
        <w:rPr>
          <w:rFonts w:ascii="Times New Roman" w:hAnsi="Times New Roman" w:cs="Times New Roman"/>
          <w:noProof/>
          <w:color w:val="000000" w:themeColor="text1"/>
          <w:sz w:val="26"/>
          <w:szCs w:val="26"/>
          <w:lang w:val="vi-VN"/>
        </w:rPr>
        <w:t>(</w:t>
      </w:r>
      <w:r w:rsidR="00EF6E62" w:rsidRPr="003F6924">
        <w:rPr>
          <w:rFonts w:ascii="Times New Roman" w:hAnsi="Times New Roman" w:cs="Times New Roman"/>
          <w:noProof/>
          <w:color w:val="000000" w:themeColor="text1"/>
          <w:sz w:val="26"/>
          <w:szCs w:val="26"/>
          <w:lang w:val="en-US"/>
        </w:rPr>
        <w:t>2024)</w:t>
      </w:r>
      <w:r w:rsidR="00EF6E62" w:rsidRPr="003F6924">
        <w:rPr>
          <w:rFonts w:ascii="Times New Roman" w:hAnsi="Times New Roman" w:cs="Times New Roman"/>
          <w:color w:val="000000" w:themeColor="text1"/>
          <w:sz w:val="26"/>
          <w:szCs w:val="26"/>
          <w:lang w:val="en-US"/>
        </w:rPr>
        <w:fldChar w:fldCharType="end"/>
      </w:r>
      <w:r w:rsidR="00EF6E62" w:rsidRPr="003F6924">
        <w:rPr>
          <w:rFonts w:ascii="Times New Roman" w:hAnsi="Times New Roman" w:cs="Times New Roman"/>
          <w:color w:val="000000" w:themeColor="text1"/>
          <w:sz w:val="26"/>
          <w:szCs w:val="26"/>
          <w:lang w:val="en-US"/>
        </w:rPr>
        <w:t xml:space="preserve">, who demonstrated that financial support (from banks and capital markets) strengthens the effect of digital transformation on innovation and organizational outcomes. </w:t>
      </w:r>
      <w:r w:rsidRPr="003F6924">
        <w:rPr>
          <w:rFonts w:ascii="Times New Roman" w:hAnsi="Times New Roman" w:cs="Times New Roman"/>
          <w:color w:val="000000" w:themeColor="text1"/>
          <w:sz w:val="26"/>
          <w:szCs w:val="26"/>
          <w:lang w:val="en-US"/>
        </w:rPr>
        <w:t>A possible explanation is that employees in Vietnamese banks perceive financial resources as an enabler rather than a driver of transformation; they believe that true digital progress depends on leadership vision, technological skills, and effective execution</w:t>
      </w:r>
      <w:r w:rsidR="00EF6E62" w:rsidRPr="003F6924">
        <w:rPr>
          <w:rFonts w:ascii="Times New Roman" w:hAnsi="Times New Roman" w:cs="Times New Roman"/>
          <w:color w:val="000000" w:themeColor="text1"/>
          <w:sz w:val="26"/>
          <w:szCs w:val="26"/>
          <w:lang w:val="en-US"/>
        </w:rPr>
        <w:t xml:space="preserve">. Many banks may have resources but lack digital leadership, talent, or strategy alignment, so funds are not efficiently channeled toward capability building. </w:t>
      </w:r>
    </w:p>
    <w:p w14:paraId="03037B49" w14:textId="7777777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Regarding H10, the results differ from the findings of Lutfi et al. (2016) and Pathan et al. (2017), who emphasized the positive role of government support in facilitating digital transformation. This discrepancy can be explained by the indirect nature of government support in Vietnam’s digital ecosystem. </w:t>
      </w:r>
      <w:r w:rsidR="003069D5" w:rsidRPr="003F6924">
        <w:rPr>
          <w:rFonts w:ascii="Times New Roman" w:hAnsi="Times New Roman" w:cs="Times New Roman"/>
          <w:color w:val="000000" w:themeColor="text1"/>
          <w:sz w:val="26"/>
          <w:szCs w:val="26"/>
          <w:lang w:val="en-US"/>
        </w:rPr>
        <w:t xml:space="preserve">Government initiatives—such as investments in digital infrastructure, fintech </w:t>
      </w:r>
      <w:r w:rsidR="003069D5" w:rsidRPr="003F6924">
        <w:rPr>
          <w:rFonts w:ascii="Times New Roman" w:hAnsi="Times New Roman" w:cs="Times New Roman"/>
          <w:color w:val="000000" w:themeColor="text1"/>
          <w:sz w:val="26"/>
          <w:szCs w:val="26"/>
          <w:lang w:val="vi-VN"/>
        </w:rPr>
        <w:t>regulations</w:t>
      </w:r>
      <w:r w:rsidR="003069D5" w:rsidRPr="003F6924">
        <w:rPr>
          <w:rFonts w:ascii="Times New Roman" w:hAnsi="Times New Roman" w:cs="Times New Roman"/>
          <w:color w:val="000000" w:themeColor="text1"/>
          <w:sz w:val="26"/>
          <w:szCs w:val="26"/>
          <w:lang w:val="en-US"/>
        </w:rPr>
        <w:t>, and training programs—primarily target the broader ecosystem rather than individual bank capabilities. As a result, their effects may be indirect, enhancing environmental readiness instead of directly improving banks’ internal transformation capabilities.</w:t>
      </w:r>
      <w:r w:rsidRPr="003F6924">
        <w:rPr>
          <w:rFonts w:ascii="Times New Roman" w:hAnsi="Times New Roman" w:cs="Times New Roman"/>
          <w:color w:val="000000" w:themeColor="text1"/>
          <w:sz w:val="26"/>
          <w:szCs w:val="26"/>
          <w:lang w:val="en-US"/>
        </w:rPr>
        <w:t xml:space="preserve"> Policies may be generic and not tailored to banking institutions. Consequently, banks perceive government programs as bureaucratic, slow, or misaligned with their digital needs. </w:t>
      </w:r>
    </w:p>
    <w:p w14:paraId="379D5671" w14:textId="77777777" w:rsidR="000A240D" w:rsidRPr="003F6924" w:rsidRDefault="000A240D"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5E891810" w14:textId="25E951B7" w:rsidR="00EF6E62" w:rsidRPr="003F6924" w:rsidRDefault="00B543E4" w:rsidP="000A240D">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From </w:t>
      </w:r>
      <w:r w:rsidR="00393E96" w:rsidRPr="003F6924">
        <w:rPr>
          <w:rFonts w:ascii="Times New Roman" w:hAnsi="Times New Roman" w:cs="Times New Roman"/>
          <w:b/>
          <w:bCs/>
          <w:color w:val="000000" w:themeColor="text1"/>
          <w:sz w:val="26"/>
          <w:szCs w:val="26"/>
          <w:lang w:val="en-US"/>
        </w:rPr>
        <w:t>Digital Transformation Capability</w:t>
      </w:r>
      <w:r w:rsidRPr="003F6924">
        <w:rPr>
          <w:rFonts w:ascii="Times New Roman" w:hAnsi="Times New Roman" w:cs="Times New Roman"/>
          <w:b/>
          <w:bCs/>
          <w:color w:val="000000" w:themeColor="text1"/>
          <w:sz w:val="26"/>
          <w:szCs w:val="26"/>
          <w:lang w:val="en-US"/>
        </w:rPr>
        <w:t xml:space="preserve"> to the </w:t>
      </w:r>
      <w:r w:rsidR="00393E96" w:rsidRPr="003F6924">
        <w:rPr>
          <w:rFonts w:ascii="Times New Roman" w:hAnsi="Times New Roman" w:cs="Times New Roman"/>
          <w:b/>
          <w:bCs/>
          <w:color w:val="000000" w:themeColor="text1"/>
          <w:sz w:val="26"/>
          <w:szCs w:val="26"/>
          <w:lang w:val="en-US"/>
        </w:rPr>
        <w:t xml:space="preserve">Level </w:t>
      </w:r>
      <w:r w:rsidRPr="003F6924">
        <w:rPr>
          <w:rFonts w:ascii="Times New Roman" w:hAnsi="Times New Roman" w:cs="Times New Roman"/>
          <w:b/>
          <w:bCs/>
          <w:color w:val="000000" w:themeColor="text1"/>
          <w:sz w:val="26"/>
          <w:szCs w:val="26"/>
          <w:lang w:val="en-US"/>
        </w:rPr>
        <w:t xml:space="preserve">of </w:t>
      </w:r>
      <w:r w:rsidR="00393E96" w:rsidRPr="003F6924">
        <w:rPr>
          <w:rFonts w:ascii="Times New Roman" w:hAnsi="Times New Roman" w:cs="Times New Roman"/>
          <w:b/>
          <w:bCs/>
          <w:color w:val="000000" w:themeColor="text1"/>
          <w:sz w:val="26"/>
          <w:szCs w:val="26"/>
          <w:lang w:val="en-US"/>
        </w:rPr>
        <w:t>Digital Transformation</w:t>
      </w:r>
      <w:r w:rsidRPr="003F6924">
        <w:rPr>
          <w:rFonts w:ascii="Times New Roman" w:hAnsi="Times New Roman" w:cs="Times New Roman"/>
          <w:b/>
          <w:bCs/>
          <w:color w:val="000000" w:themeColor="text1"/>
          <w:sz w:val="26"/>
          <w:szCs w:val="26"/>
          <w:lang w:val="en-US"/>
        </w:rPr>
        <w:t xml:space="preserve"> </w:t>
      </w:r>
    </w:p>
    <w:p w14:paraId="4C6CF434" w14:textId="432AFA8B"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The results demonstrate a strong and direct relationship between digital transformation capability and the overall level of digital transformation in Vietnamese banks. This indicates that banks possessing higher levels of digital capability, reflected in their technological expertise, organizational agility, and capacity for continuous learning, are better positioned to </w:t>
      </w:r>
      <w:r w:rsidRPr="003F6924">
        <w:rPr>
          <w:rFonts w:ascii="Times New Roman" w:hAnsi="Times New Roman" w:cs="Times New Roman"/>
          <w:color w:val="000000" w:themeColor="text1"/>
          <w:sz w:val="26"/>
          <w:szCs w:val="26"/>
          <w:lang w:val="vi-VN"/>
        </w:rPr>
        <w:t>implement</w:t>
      </w:r>
      <w:r w:rsidRPr="003F6924">
        <w:rPr>
          <w:rFonts w:ascii="Times New Roman" w:hAnsi="Times New Roman" w:cs="Times New Roman"/>
          <w:color w:val="000000" w:themeColor="text1"/>
          <w:sz w:val="26"/>
          <w:szCs w:val="26"/>
          <w:lang w:val="en-US"/>
        </w:rPr>
        <w:t xml:space="preserve"> advanced digital initiatives and achieve tangible transformation outcomes. </w:t>
      </w:r>
      <w:r w:rsidR="003069D5" w:rsidRPr="003F6924">
        <w:rPr>
          <w:rFonts w:ascii="Times New Roman" w:hAnsi="Times New Roman" w:cs="Times New Roman"/>
          <w:color w:val="000000" w:themeColor="text1"/>
          <w:sz w:val="26"/>
          <w:szCs w:val="26"/>
          <w:lang w:val="en-US"/>
        </w:rPr>
        <w:t>This interpretation</w:t>
      </w:r>
      <w:r w:rsidR="003069D5" w:rsidRPr="003F6924">
        <w:rPr>
          <w:rFonts w:ascii="Times New Roman" w:hAnsi="Times New Roman" w:cs="Times New Roman"/>
          <w:color w:val="000000" w:themeColor="text1"/>
          <w:sz w:val="26"/>
          <w:szCs w:val="26"/>
          <w:lang w:val="vi-VN"/>
        </w:rPr>
        <w:t xml:space="preserve"> </w:t>
      </w:r>
      <w:r w:rsidRPr="003F6924">
        <w:rPr>
          <w:rFonts w:ascii="Times New Roman" w:hAnsi="Times New Roman" w:cs="Times New Roman"/>
          <w:color w:val="000000" w:themeColor="text1"/>
          <w:sz w:val="26"/>
          <w:szCs w:val="26"/>
          <w:lang w:val="en-US"/>
        </w:rPr>
        <w:t>aligns with prior studies, such as</w:t>
      </w:r>
      <w:r w:rsidR="003069D5" w:rsidRPr="003F6924">
        <w:rPr>
          <w:rFonts w:ascii="Times New Roman" w:hAnsi="Times New Roman" w:cs="Times New Roman"/>
          <w:color w:val="000000" w:themeColor="text1"/>
          <w:sz w:val="26"/>
          <w:szCs w:val="26"/>
          <w:lang w:val="vi-VN"/>
        </w:rPr>
        <w:t xml:space="preserve"> those by</w:t>
      </w:r>
      <w:r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{"citationID":"rWrDtlNL","properties":{"formattedCitation":"(Abdurrahman et al., 2024; Li et al., 2020; Sousa-Zomer et al., 2020)","plainCitation":"(Abdurrahman et al., 2024; Li et al., 2020; Sousa-Zomer et al., 2020)","dontUpdate":true,"noteIndex":0},"citationItems":[{"id":4344,"uris":["http://zotero.org/users/9020985/items/BDMBXH6J"],"itemData":{"id":4344,"type":"article-journal","abstract":"The focus of this research revolves around applying the dynamic capabilities (DC) considering technological, organizational, and environmental dimensions (TOE framework) to explore the digital transformation (DT) and innovation. The current literature has shown a limited focus on integrating DC with the TOE framework, inspiring this research to address this gap. This research adopts a quantitative approach employing partial least square structural equation modeling (PLS-SEM), leveraging a survey with 325 respondents from 48 banks in Indonesia. The study identifies the necessary organizational capabilities for DT and innovation, encompassing technological capabilities representing technology, strategic and organizational capabilities representing the organizational dimension, as well as ecosystem and governance-risk-compliance (GRC) capabilities representing the environmental dimension. The findings unveil that technology and ecosystem capabilities have a positive and significant impact on DT and innovation. Organizational capabilities positively influence innovation but exhibit a negative impact on DT. Strategic capabilities positively affect DT and negatively impact innovation, while GRC capability enhances its role in DT, contributing to improved company performance. This research adds to the theoretical understanding of DC within the TOE framework and offers managerial insights to assist the banking sector in effectively managing capabilities for successful DT and innovation.","container-title":"Journal of Open Innovation: Technology, Market, and Complexity","DOI":"10.1016/j.joitmc.2024.100215","ISSN":"2199-8531","issue":"1","journalAbbreviation":"Journal of Open Innovation: Technology, Market, and Complexity","page":"100215","source":"ScienceDirect","title":"Impact of dynamic capabilities on digital transformation and innovation to improve banking performance: A TOE framework study","title-short":"Impact of dynamic capabilities on digital transformation and innovation to improve banking performance","volume":"10","author":[{"family":"Abdurrahman","given":"Abdurrahman"},{"family":"Gustomo","given":"Aurik"},{"family":"Prasetio","given":"Eko Agus"}],"issued":{"date-parts":[["2024",3,1]]}}},{"id":4377,"uris":["http://zotero.org/users/9020985/items/JZQAUJHZ"],"itemData":{"id":4377,"type":"article-journal","abstract":"Digital technologies for Industry 4.0, such as the Internet of Things, cloud computing, big data and analytics, have attracted much attention from both researchers and practitioners. Based on information processing theory, this study intends to explore how digital technologies influence economic and environmental performance in the new era of Industry 4.0. The mediating effect of digital supply chain platforms and the moderating effect of environmental dynamism are proposed and evaluated using a survey of Chinese manufacturing firms. The results indicate that digital supply chain platforms mediate the effects of digital technologies on both economic and environmental performance and that the mediating effects are enhanced under a high degree of environmental dynamism. This study offers an enhanced understanding of the performance implications of digital technologies and provides managerial insights into how to promote economic and environmental sustainability in the era of Industry 4.0.","container-title":"International Journal of Production Economics","DOI":"10.1016/j.ijpe.2020.107777","ISSN":"0925-5273","journalAbbreviation":"International Journal of Production Economics","page":"107777","source":"ScienceDirect","title":"The impact of digital technologies on economic and environmental performance in the context of industry 4.0: A moderated mediation model","title-short":"The impact of digital technologies on economic and environmental performance in the context of industry 4.0","volume":"229","author":[{"family":"Li","given":"Ying"},{"family":"Dai","given":"Jing"},{"family":"Cui","given":"Li"}],"issued":{"date-parts":[["2020",11,1]]}}},{"id":4373,"uris":["http://zotero.org/users/9020985/items/L5AS7QKQ"],"itemData":{"id":4373,"type":"article-journal","abstract":"Purpose\n              Drawing on the literature on dynamic capabilities and digital transformation, this paper conceptualises and investigates the relevant antecedents of an essential capability for digital transformation – the digital transforming capability – and its effect on the competitive advantage of firms.\n            \n            \n              Design/methodology/approach\n              A framework with individual and organisational microfoundations of the digital transforming capability is proposed based on previous research. The digital transforming capability is conceptualised as a second-order construct. The model is tested using data from a broad spectrum of large US companies. Structural equation modelling (SEM) is applied to test the proposed framework.\n            \n            \n              Findings\n              The study identifies three main microfoundations that, when combined, build a digital transforming capability (digital-savvy skills, digital intensity and context for action and interaction); in addition, the study tests the relationship between digital transforming capability and firm performance. The results validate the proposed theoretical framework. In addition to proposing relevant microfoundations of the digital transforming capability, we advance knowledge on the performance effects of those microfoundations.\n            \n            \n              Originality/value\n              The paper contributes to advancing the understanding of the digital transformation phenomenon by revealing the role of the primary components underlying the digital transforming capability. Yet the mechanisms by which the micro-level aspects are important for digital transformation and organisational outcomes are only suggested by anecdotal evidence. The paper also contributes to ongoing calls for further investigation to extend the understanding of the microfoundations of dynamic capabilities. Finally, by drawing on archival data, this study also contributes to calls to broaden the toolkit used in dynamic capabilities research.","container-title":"International Journal of Operations &amp; Production Management","DOI":"10.1108/IJOPM-06-2019-0444","ISSN":"0144-3577","issue":"7/8","journalAbbreviation":"IJOPM","language":"en","license":"https://www.emerald.com/insight/site-policies","page":"1095-1128","source":"DOI.org (Crossref)","title":"Digital transforming capability and performance: a microfoundational perspective","title-short":"Digital transforming capability and performance","volume":"40","author":[{"family":"Sousa-Zomer","given":"Thayla Tavares"},{"family":"Neely","given":"Andy"},{"family":"Martinez","given":"Veronica"}],"issued":{"date-parts":[["2020",11,20]]}}}],"schema":"https://github.com/citation-style-language/schema/raw/master/csl-citation.json"}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Abdurrahman et al. (2024), Li et al. (2020), and Sousa-Zomer et al. (2020)</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which emphasize that strong digital capabilities enable organizations to continuously refine their strategies and remain responsive in volatile environments. </w:t>
      </w:r>
    </w:p>
    <w:p w14:paraId="0AE1594B" w14:textId="7777777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From a theoretical perspective, this finding reinforces the Resource-Based View (RBV) and dynamic capability theory, which propose that sustainable transformation depends on an organization’s ability to integrate, build, and reconfigure resources in response to environmental change (Teece et al., 1997). Digital transformation capability thus represents a strategic resource that enables banks to convert technological potential into operational and strategic outcomes. In the context of Vietnam’s banking sector, this relationship underscores that transformation success relies not merely on technology adoption but on the bank’s internal ability to manage and leverage digital assets effectively. Banks with </w:t>
      </w:r>
      <w:r w:rsidRPr="003F6924">
        <w:rPr>
          <w:rFonts w:ascii="Times New Roman" w:hAnsi="Times New Roman" w:cs="Times New Roman"/>
          <w:color w:val="000000" w:themeColor="text1"/>
          <w:sz w:val="26"/>
          <w:szCs w:val="26"/>
          <w:lang w:val="vi-VN"/>
        </w:rPr>
        <w:t>stronger</w:t>
      </w:r>
      <w:r w:rsidRPr="003F6924">
        <w:rPr>
          <w:rFonts w:ascii="Times New Roman" w:hAnsi="Times New Roman" w:cs="Times New Roman"/>
          <w:color w:val="000000" w:themeColor="text1"/>
          <w:sz w:val="26"/>
          <w:szCs w:val="26"/>
          <w:lang w:val="en-US"/>
        </w:rPr>
        <w:t xml:space="preserve"> transformation capabilities can adapt more rapidly to regulatory changes, enhance </w:t>
      </w:r>
      <w:r w:rsidRPr="003F6924">
        <w:rPr>
          <w:rFonts w:ascii="Times New Roman" w:hAnsi="Times New Roman" w:cs="Times New Roman"/>
          <w:color w:val="000000" w:themeColor="text1"/>
          <w:sz w:val="26"/>
          <w:szCs w:val="26"/>
          <w:lang w:val="vi-VN"/>
        </w:rPr>
        <w:t>customer</w:t>
      </w:r>
      <w:r w:rsidRPr="003F6924">
        <w:rPr>
          <w:rFonts w:ascii="Times New Roman" w:hAnsi="Times New Roman" w:cs="Times New Roman"/>
          <w:color w:val="000000" w:themeColor="text1"/>
          <w:sz w:val="26"/>
          <w:szCs w:val="26"/>
          <w:lang w:val="en-US"/>
        </w:rPr>
        <w:t xml:space="preserve"> experience, and innovate in service delivery, thereby achieving higher levels of digital maturity.</w:t>
      </w:r>
    </w:p>
    <w:p w14:paraId="022B4307" w14:textId="77777777" w:rsidR="000A240D" w:rsidRPr="003F6924" w:rsidRDefault="000A240D"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50B72089" w14:textId="77777777" w:rsidR="00EF6E62" w:rsidRPr="003F6924" w:rsidRDefault="00B543E4" w:rsidP="000A240D">
      <w:pPr>
        <w:snapToGrid w:val="0"/>
        <w:spacing w:after="0" w:line="300" w:lineRule="auto"/>
        <w:jc w:val="both"/>
        <w:rPr>
          <w:rFonts w:ascii="Times New Roman" w:hAnsi="Times New Roman" w:cs="Times New Roman"/>
          <w:b/>
          <w:bCs/>
          <w:color w:val="000000" w:themeColor="text1"/>
          <w:sz w:val="26"/>
          <w:szCs w:val="26"/>
        </w:rPr>
      </w:pPr>
      <w:r w:rsidRPr="003F6924">
        <w:rPr>
          <w:rFonts w:ascii="Times New Roman" w:hAnsi="Times New Roman" w:cs="Times New Roman"/>
          <w:b/>
          <w:bCs/>
          <w:color w:val="000000" w:themeColor="text1"/>
          <w:sz w:val="26"/>
          <w:szCs w:val="26"/>
        </w:rPr>
        <w:t>The Mediating Role of Digital Transformation Capability</w:t>
      </w:r>
    </w:p>
    <w:p w14:paraId="1C67FC12" w14:textId="7777777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The findings demonstrate that digital transformation capability plays a pivotal mediating role in linking </w:t>
      </w:r>
      <w:r w:rsidRPr="003F6924">
        <w:rPr>
          <w:rFonts w:ascii="Times New Roman" w:hAnsi="Times New Roman" w:cs="Times New Roman"/>
          <w:color w:val="000000" w:themeColor="text1"/>
          <w:sz w:val="26"/>
          <w:szCs w:val="26"/>
          <w:lang w:val="vi-VN"/>
        </w:rPr>
        <w:t>technological</w:t>
      </w:r>
      <w:r w:rsidRPr="003F6924">
        <w:rPr>
          <w:rFonts w:ascii="Times New Roman" w:hAnsi="Times New Roman" w:cs="Times New Roman"/>
          <w:color w:val="000000" w:themeColor="text1"/>
          <w:sz w:val="26"/>
          <w:szCs w:val="26"/>
          <w:lang w:val="en-US"/>
        </w:rPr>
        <w:t xml:space="preserve">, organizational, and environmental factors to the overall level of digital transformation in Vietnamese banks. This </w:t>
      </w:r>
      <w:r w:rsidR="006C6597" w:rsidRPr="003F6924">
        <w:rPr>
          <w:rFonts w:ascii="Times New Roman" w:hAnsi="Times New Roman" w:cs="Times New Roman"/>
          <w:color w:val="000000" w:themeColor="text1"/>
          <w:sz w:val="26"/>
          <w:szCs w:val="26"/>
          <w:lang w:val="en-US"/>
        </w:rPr>
        <w:t>finding</w:t>
      </w:r>
      <w:r w:rsidR="006C6597" w:rsidRPr="003F6924">
        <w:rPr>
          <w:rFonts w:ascii="Times New Roman" w:hAnsi="Times New Roman" w:cs="Times New Roman"/>
          <w:color w:val="000000" w:themeColor="text1"/>
          <w:sz w:val="26"/>
          <w:szCs w:val="26"/>
          <w:lang w:val="vi-VN"/>
        </w:rPr>
        <w:t xml:space="preserve"> </w:t>
      </w:r>
      <w:r w:rsidRPr="003F6924">
        <w:rPr>
          <w:rFonts w:ascii="Times New Roman" w:hAnsi="Times New Roman" w:cs="Times New Roman"/>
          <w:color w:val="000000" w:themeColor="text1"/>
          <w:sz w:val="26"/>
          <w:szCs w:val="26"/>
          <w:lang w:val="en-US"/>
        </w:rPr>
        <w:t xml:space="preserve">suggests that digital transformation capability acts as the mechanism that translates readiness and intent into actual transformation outcomes. The results </w:t>
      </w:r>
      <w:r w:rsidR="006C6597" w:rsidRPr="003F6924">
        <w:rPr>
          <w:rFonts w:ascii="Times New Roman" w:hAnsi="Times New Roman" w:cs="Times New Roman"/>
          <w:color w:val="000000" w:themeColor="text1"/>
          <w:sz w:val="26"/>
          <w:szCs w:val="26"/>
          <w:lang w:val="en-US"/>
        </w:rPr>
        <w:t xml:space="preserve">are consistent with the findings </w:t>
      </w:r>
      <w:r w:rsidRPr="003F6924">
        <w:rPr>
          <w:rFonts w:ascii="Times New Roman" w:hAnsi="Times New Roman" w:cs="Times New Roman"/>
          <w:color w:val="000000" w:themeColor="text1"/>
          <w:sz w:val="26"/>
          <w:szCs w:val="26"/>
          <w:lang w:val="en-US"/>
        </w:rPr>
        <w:t xml:space="preserve">of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{"citationID":"KBnpPLM0","properties":{"formattedCitation":"(Abdurrahman et al., 2024)","plainCitation":"(Abdurrahman et al., 2024)","dontUpdate":true,"noteIndex":0},"citationItems":[{"id":4344,"uris":["http://zotero.org/users/9020985/items/BDMBXH6J"],"itemData":{"id":4344,"type":"article-journal","abstract":"The focus of this research revolves around applying the dynamic capabilities (DC) considering technological, organizational, and environmental dimensions (TOE framework) to explore the digital transformation (DT) and innovation. The current literature has shown a limited focus on integrating DC with the TOE framework, inspiring this research to address this gap. This research adopts a quantitative approach employing partial least square structural equation modeling (PLS-SEM), leveraging a survey with 325 respondents from 48 banks in Indonesia. The study identifies the necessary organizational capabilities for DT and innovation, encompassing technological capabilities representing technology, strategic and organizational capabilities representing the organizational dimension, as well as ecosystem and governance-risk-compliance (GRC) capabilities representing the environmental dimension. The findings unveil that technology and ecosystem capabilities have a positive and significant impact on DT and innovation. Organizational capabilities positively influence innovation but exhibit a negative impact on DT. Strategic capabilities positively affect DT and negatively impact innovation, while GRC capability enhances its role in DT, contributing to improved company performance. This research adds to the theoretical understanding of DC within the TOE framework and offers managerial insights to assist the banking sector in effectively managing capabilities for successful DT and innovation.","container-title":"Journal of Open Innovation: Technology, Market, and Complexity","DOI":"10.1016/j.joitmc.2024.100215","ISSN":"2199-8531","issue":"1","journalAbbreviation":"Journal of Open Innovation: Technology, Market, and Complexity","page":"100215","source":"ScienceDirect","title":"Impact of dynamic capabilities on digital transformation and innovation to improve banking performance: A TOE framework study","title-short":"Impact of dynamic capabilities on digital transformation and innovation to improve banking performance","volume":"10","author":[{"family":"Abdurrahman","given":"Abdurrahman"},{"family":"Gustomo","given":"Aurik"},{"family":"Prasetio","given":"Eko Agus"}],"issued":{"date-parts":[["2024",3,1]]}}}],"schema":"https://github.com/citation-style-language/schema/raw/master/csl-citation.json"}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Abdurrahman et al. (2024)</w:t>
      </w:r>
      <w:r w:rsidRPr="003F6924">
        <w:rPr>
          <w:rFonts w:ascii="Times New Roman" w:hAnsi="Times New Roman" w:cs="Times New Roman"/>
          <w:color w:val="000000" w:themeColor="text1"/>
          <w:sz w:val="26"/>
          <w:szCs w:val="26"/>
          <w:lang w:val="en-US"/>
        </w:rPr>
        <w:fldChar w:fldCharType="end"/>
      </w:r>
      <w:r w:rsidR="006C6597" w:rsidRPr="003F6924">
        <w:rPr>
          <w:rFonts w:ascii="Times New Roman" w:hAnsi="Times New Roman" w:cs="Times New Roman"/>
          <w:color w:val="000000" w:themeColor="text1"/>
          <w:sz w:val="26"/>
          <w:szCs w:val="26"/>
          <w:lang w:val="vi-VN"/>
        </w:rPr>
        <w:t>,</w:t>
      </w:r>
      <w:r w:rsidRPr="003F6924">
        <w:rPr>
          <w:rFonts w:ascii="Times New Roman" w:hAnsi="Times New Roman" w:cs="Times New Roman"/>
          <w:color w:val="000000" w:themeColor="text1"/>
          <w:sz w:val="26"/>
          <w:szCs w:val="26"/>
          <w:lang w:val="en-US"/>
        </w:rPr>
        <w:t xml:space="preserve"> </w:t>
      </w:r>
      <w:r w:rsidR="006C6597" w:rsidRPr="003F6924">
        <w:rPr>
          <w:rFonts w:ascii="Times New Roman" w:hAnsi="Times New Roman" w:cs="Times New Roman"/>
          <w:color w:val="000000" w:themeColor="text1"/>
          <w:sz w:val="26"/>
          <w:szCs w:val="26"/>
          <w:lang w:val="en-US"/>
        </w:rPr>
        <w:t>who demonstrated that technological capabilities have a significant positive impact on both digital transformation and innovation</w:t>
      </w:r>
      <w:r w:rsidRPr="003F6924">
        <w:rPr>
          <w:rFonts w:ascii="Times New Roman" w:hAnsi="Times New Roman" w:cs="Times New Roman"/>
          <w:color w:val="000000" w:themeColor="text1"/>
          <w:sz w:val="26"/>
          <w:szCs w:val="26"/>
          <w:lang w:val="en-US"/>
        </w:rPr>
        <w:t xml:space="preserve">. This </w:t>
      </w:r>
      <w:r w:rsidR="006C6597" w:rsidRPr="003F6924">
        <w:rPr>
          <w:rFonts w:ascii="Times New Roman" w:hAnsi="Times New Roman" w:cs="Times New Roman"/>
          <w:color w:val="000000" w:themeColor="text1"/>
          <w:sz w:val="26"/>
          <w:szCs w:val="26"/>
          <w:lang w:val="en-US"/>
        </w:rPr>
        <w:t>finding</w:t>
      </w:r>
      <w:r w:rsidR="006C6597" w:rsidRPr="003F6924">
        <w:rPr>
          <w:rFonts w:ascii="Times New Roman" w:hAnsi="Times New Roman" w:cs="Times New Roman"/>
          <w:color w:val="000000" w:themeColor="text1"/>
          <w:sz w:val="26"/>
          <w:szCs w:val="26"/>
          <w:lang w:val="vi-VN"/>
        </w:rPr>
        <w:t xml:space="preserve"> </w:t>
      </w:r>
      <w:r w:rsidRPr="003F6924">
        <w:rPr>
          <w:rFonts w:ascii="Times New Roman" w:hAnsi="Times New Roman" w:cs="Times New Roman"/>
          <w:color w:val="000000" w:themeColor="text1"/>
          <w:sz w:val="26"/>
          <w:szCs w:val="26"/>
          <w:lang w:val="en-US"/>
        </w:rPr>
        <w:t xml:space="preserve">suggests that robust technological infrastructure, such as </w:t>
      </w:r>
      <w:r w:rsidR="006C6597" w:rsidRPr="003F6924">
        <w:rPr>
          <w:rFonts w:ascii="Times New Roman" w:hAnsi="Times New Roman" w:cs="Times New Roman"/>
          <w:color w:val="000000" w:themeColor="text1"/>
          <w:sz w:val="26"/>
          <w:szCs w:val="26"/>
          <w:lang w:val="vi-VN"/>
        </w:rPr>
        <w:t>a</w:t>
      </w:r>
      <w:r w:rsidR="006C6597" w:rsidRPr="003F6924">
        <w:rPr>
          <w:rFonts w:ascii="Times New Roman" w:hAnsi="Times New Roman" w:cs="Times New Roman"/>
          <w:color w:val="000000" w:themeColor="text1"/>
          <w:sz w:val="26"/>
          <w:lang w:val="vi-VN"/>
        </w:rPr>
        <w:t xml:space="preserve"> </w:t>
      </w:r>
      <w:r w:rsidR="006C6597" w:rsidRPr="003F6924">
        <w:rPr>
          <w:rFonts w:ascii="Times New Roman" w:hAnsi="Times New Roman" w:cs="Times New Roman"/>
          <w:color w:val="000000" w:themeColor="text1"/>
          <w:sz w:val="26"/>
          <w:szCs w:val="26"/>
          <w:lang w:val="vi-VN"/>
        </w:rPr>
        <w:t>b</w:t>
      </w:r>
      <w:proofErr w:type="spellStart"/>
      <w:r w:rsidRPr="003F6924">
        <w:rPr>
          <w:rFonts w:ascii="Times New Roman" w:hAnsi="Times New Roman" w:cs="Times New Roman"/>
          <w:color w:val="000000" w:themeColor="text1"/>
          <w:sz w:val="26"/>
          <w:szCs w:val="26"/>
          <w:lang w:val="en-US"/>
        </w:rPr>
        <w:t>ank</w:t>
      </w:r>
      <w:proofErr w:type="spellEnd"/>
      <w:r w:rsidRPr="003F6924">
        <w:rPr>
          <w:rFonts w:ascii="Times New Roman" w:hAnsi="Times New Roman" w:cs="Times New Roman"/>
          <w:color w:val="000000" w:themeColor="text1"/>
          <w:sz w:val="26"/>
          <w:szCs w:val="26"/>
          <w:lang w:val="en-US"/>
        </w:rPr>
        <w:t xml:space="preserve"> technological platform, enhances digital transformation capability, which in turn drives levels of digital transformation. The findings also align with the explorations of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{"citationID":"MIhDustP","properties":{"formattedCitation":"(Al-Moaid &amp; Almarhdi, 2024; Blanka et al., 2022; Rubio-Andr\\uc0\\u233{}s et al., 2024)","plainCitation":"(Al-Moaid &amp; Almarhdi, 2024; Blanka et al., 2022; Rubio-Andrés et al., 2024)","dontUpdate":true,"noteIndex":0},"citationItems":[{"id":4396,"uris":["http://zotero.org/users/9020985/items/WLHQY4M7"],"itemData":{"id":4396,"type":"article-journal","container-title":"Journal of Innovation and Entrepreneurship","DOI":"10.1186/s13731-024-00446-9","ISSN":"2192-5372","issue":"1","journalAbbreviation":"J Innov Entrep","language":"en","page":"85","source":"DOI.org (Crossref)","title":"Developing dynamic capabilities for successful digital transformation projects: the mediating role of change management","title-short":"Developing dynamic capabilities for successful digital transformation projects","volume":"13","author":[{"family":"Al-Moaid","given":"Nizar Abdulwahab Ali"},{"family":"Almarhdi","given":"Senan Ghaleb"}],"issued":{"date-parts":[["2024",11,15]]}}},{"id":4361,"uris":["http://zotero.org/users/9020985/items/ZYSRC7GG"],"itemData":{"id":4361,"type":"article-journal","abstract":"Businesses and academia alike agree upon the significant influence of digitalization on the business world. Hence, digital transformation is a very topical issue. While researchers underline that the movement toward digitalization is a challenge influencing various dimensions, studies to date have largely focused on the technological and organizational aspects of digitalization. Consequently, there is a gap in digital transformation concerning the role of human resources and employee competency. This paper adopts a human-centered view of digitalization at the intersection of digital and human transformation. Drawing on design science research (DSR), we developed a framework as an artifact that takes into account individual employee competency related to an organization's level of digital transformation. As suggested by DSR, the framework was developed in iterations and refined after evaluation by various domain experts in academia and business. The final framework illustrates the interplay between the individual and organizational levels; in particular, employees’ transformation competency (intrapreneurial and digital competencies) driving digital transformation. Our findings suggest that the development of intrapreneurial competencies is dynamic. Based on an intrapreneurial journey, employee competencies function as triggers to reach the next level of digital transformation. As such, employee competency is crucial in enabling an organization's transformation toward digitalization.","container-title":"Technological Forecasting and Social Change","DOI":"10.1016/j.techfore.2022.121575","ISSN":"0040-1625","journalAbbreviation":"Technological Forecasting and Social Change","page":"121575","source":"ScienceDirect","title":"The interplay of digital transformation and employee competency: A design science approach","title-short":"The interplay of digital transformation and employee competency","volume":"178","author":[{"family":"Blanka","given":"Christine"},{"family":"Krumay","given":"Barbara"},{"family":"Rueckel","given":"David"}],"issued":{"date-parts":[["2022",5,1]]}}},{"id":4397,"uris":["http://zotero.org/users/9020985/items/LEEBM5WV"],"itemData":{"id":4397,"type":"article-journal","abstract":"Small and medium-sized enterprises (SMEs) play a crucial role in supporting the country’s economy. However, Spanish SMEs have not developed their full potential. It is thus essential for managers to seek and adopt better strategies to be more successful. In today’s turbulent environments, digital transformation strategy is considered an important strategic competitive resource. Given its importance, managers are encouraged to develop their capabilities to deal with digitilization efficiently, leading them to be more innovative and obtain higher levels of organizational effectiveness. There is extensive research in the literature on the effect of digitalization strategy on organizational effectiveness, with it being considered a composite construct. Little research has been conducted, however, to examine the independent effects on its economic, human resources and internationalization dimensions. Based on the Input-Mediator-Output framework, this study aims to highlight the mechanisms through which digital transformation strategy improves organizational effectiveness. Specifically, this article examines (1) the direct effect of SMEs’ digital transformation strategy and organizational effectiveness on their economic, human resources and internationalization dimensions, and (2) the mediating role of firm innovation in these relationships. To test our hypotheses, we randomly selected SMEs operating in Spain from the INE 2022 database. The selection framework used was the SABI database developed by Faedpyme (2023). Once the data were filtered, information was obtained for 1,113 SMEs. To test our hypothesis, we used structural equation modeling (SEM) based on partial least squares (PLS) and Smart PLS 4.0.9.9. PLS-SEM is a robust statistical technique that allows for the positing of direct and mediated relationships simultaneously between the study variables. Our results revealed that digital transformation strategy has a positive impact on the economic, human resources and internationalization dimensions of organizational effectiveness. Furthermore, we found that firm innovation partially mediates the positive influence of digital transformation strategy and the three dimensions of organizational effectiveness. Thus, SMEs that wish to improve their effectiveness should orient their strategy towards higher levels of firm innovation. Testing this model contributes to the literature in two ways. First, it sheds new light on how digital transformation strategy fosters higher levels of organizational effectiveness in SMEs, specifically, in its economic, human resources and internationalization dimensions, which have not hitherto been analyzed in the literature. Second, our results add to the organizational effectiveness theory, which is dominated by research on large firms. They also extend the evidence that digital transformation strategy and firm innovation are positive for organizational effectiveness in SMEs.","container-title":"The Journal of Technology Transfer","DOI":"10.1007/s10961-024-10164-9","ISSN":"1573-7047","journalAbbreviation":"J Technol Transf","language":"en","source":"Springer Link","title":"Tackling digital transformation strategy: how it affects firm innovation and organizational effectiveness","title-short":"Tackling digital transformation strategy","URL":"https://doi.org/10.1007/s10961-024-10164-9","author":[{"family":"Rubio-Andrés","given":"Mercedes"},{"family":"Linuesa-Langreo","given":"Jorge"},{"family":"Gutiérrez-Broncano","given":"Santiago"},{"family":"Sastre-Castillo","given":"Miguel Ángel"}],"accessed":{"date-parts":[["2025",5,30]]},"issued":{"date-parts":[["2024",11,22]]}}}],"schema":"https://github.com/citation-style-language/schema/raw/master/csl-citation.json"}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color w:val="000000" w:themeColor="text1"/>
          <w:sz w:val="26"/>
          <w:szCs w:val="26"/>
          <w:lang w:val="en-US"/>
        </w:rPr>
        <w:t xml:space="preserve">Al-Moaid </w:t>
      </w:r>
      <w:r w:rsidR="0025775B" w:rsidRPr="003F6924">
        <w:rPr>
          <w:rFonts w:ascii="Times New Roman" w:hAnsi="Times New Roman" w:cs="Times New Roman"/>
          <w:color w:val="000000" w:themeColor="text1"/>
          <w:sz w:val="26"/>
          <w:szCs w:val="26"/>
          <w:lang w:val="en-US"/>
        </w:rPr>
        <w:t>and</w:t>
      </w:r>
      <w:r w:rsidRPr="003F6924">
        <w:rPr>
          <w:rFonts w:ascii="Times New Roman" w:hAnsi="Times New Roman" w:cs="Times New Roman"/>
          <w:color w:val="000000" w:themeColor="text1"/>
          <w:sz w:val="26"/>
          <w:szCs w:val="26"/>
          <w:lang w:val="en-US"/>
        </w:rPr>
        <w:t xml:space="preserve"> Almarhdi (2024); Blanka et al. (2022); Rubio-Andrés et al. (2024)</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who indicate that dynamic capabilities, including digital transformation capability, are crucial for successful digital transformation initiatives.</w:t>
      </w:r>
    </w:p>
    <w:p w14:paraId="5C3DEFEA" w14:textId="7777777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From a theoretical standpoint, this mediating effect substantiates the Resource-Based View (RBV) and dynamic capability theory, both of which emphasize that competitive advantage arises not from possessing resources per se, but from the organization’s ability to reconfigure and apply them dynamically in response to change (Teece et al., 1997). In this study, the bank’s </w:t>
      </w:r>
      <w:r w:rsidRPr="003F6924">
        <w:rPr>
          <w:rFonts w:ascii="Times New Roman" w:hAnsi="Times New Roman" w:cs="Times New Roman"/>
          <w:color w:val="000000" w:themeColor="text1"/>
          <w:sz w:val="26"/>
          <w:szCs w:val="26"/>
          <w:lang w:val="vi-VN"/>
        </w:rPr>
        <w:t>technology</w:t>
      </w:r>
      <w:r w:rsidRPr="003F6924">
        <w:rPr>
          <w:rFonts w:ascii="Times New Roman" w:hAnsi="Times New Roman" w:cs="Times New Roman"/>
          <w:color w:val="000000" w:themeColor="text1"/>
          <w:sz w:val="26"/>
          <w:szCs w:val="26"/>
          <w:lang w:val="en-US"/>
        </w:rPr>
        <w:t xml:space="preserve"> platform or leadership commitment alone does not guarantee transformation success; rather, their influence depends on whether the institution can develop the agility, learning orientation, and absorptive capacity necessary to operationalize these resources. This finding, therefore, extends existing TOE-based digital transformation models by revealing how external and organizational factors are internalized into outcomes—through the mediating mechanism of transformation capability.</w:t>
      </w:r>
    </w:p>
    <w:p w14:paraId="4F29D8BF" w14:textId="51254322"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In the Vietnamese banking context, this mediation effect is particularly significant. </w:t>
      </w:r>
      <w:r w:rsidR="006C6597" w:rsidRPr="003F6924">
        <w:rPr>
          <w:rFonts w:ascii="Times New Roman" w:hAnsi="Times New Roman" w:cs="Times New Roman"/>
          <w:color w:val="000000" w:themeColor="text1"/>
          <w:sz w:val="26"/>
          <w:szCs w:val="26"/>
          <w:lang w:val="en-US"/>
        </w:rPr>
        <w:t>Although many banks have invested substantially in digital infrastructure and formal transformation strategies, they continue to face challenges in realizing full transformation benefits due to fragmented processes, capability gaps, and rigid organizational structures</w:t>
      </w:r>
      <w:r w:rsidRPr="003F6924">
        <w:rPr>
          <w:rFonts w:ascii="Times New Roman" w:hAnsi="Times New Roman" w:cs="Times New Roman"/>
          <w:color w:val="000000" w:themeColor="text1"/>
          <w:sz w:val="26"/>
          <w:szCs w:val="26"/>
          <w:lang w:val="en-US"/>
        </w:rPr>
        <w:t xml:space="preserve">. The results imply that only </w:t>
      </w:r>
      <w:r w:rsidRPr="003F6924">
        <w:rPr>
          <w:rFonts w:ascii="Times New Roman" w:hAnsi="Times New Roman" w:cs="Times New Roman"/>
          <w:color w:val="000000" w:themeColor="text1"/>
          <w:sz w:val="26"/>
          <w:szCs w:val="26"/>
          <w:lang w:val="vi-VN"/>
        </w:rPr>
        <w:t>banks</w:t>
      </w:r>
      <w:r w:rsidRPr="003F6924">
        <w:rPr>
          <w:rFonts w:ascii="Times New Roman" w:hAnsi="Times New Roman" w:cs="Times New Roman"/>
          <w:color w:val="000000" w:themeColor="text1"/>
          <w:sz w:val="26"/>
          <w:szCs w:val="26"/>
          <w:lang w:val="en-US"/>
        </w:rPr>
        <w:t xml:space="preserve"> capable of translating technological and strategic inputs into adaptive routines and innovation practices can achieve higher digital maturity. Thus, digital transformation capability serves as the strategic conduit connecting technology, leadership, strategy, and human capital, transforming them from static assets into dynamic performance outcomes.</w:t>
      </w:r>
    </w:p>
    <w:p w14:paraId="136CF114" w14:textId="77777777" w:rsidR="000A240D" w:rsidRPr="003F6924" w:rsidRDefault="000A240D"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55695000" w14:textId="77777777" w:rsidR="00EF6E62" w:rsidRPr="003F6924" w:rsidRDefault="00B543E4" w:rsidP="000A240D">
      <w:pPr>
        <w:snapToGrid w:val="0"/>
        <w:spacing w:after="0" w:line="300" w:lineRule="auto"/>
        <w:rPr>
          <w:rFonts w:ascii="Times New Roman" w:hAnsi="Times New Roman" w:cs="Times New Roman"/>
          <w:b/>
          <w:bCs/>
          <w:color w:val="000000" w:themeColor="text1"/>
          <w:sz w:val="26"/>
          <w:szCs w:val="26"/>
        </w:rPr>
      </w:pPr>
      <w:r w:rsidRPr="003F6924">
        <w:rPr>
          <w:rFonts w:ascii="Times New Roman" w:hAnsi="Times New Roman" w:cs="Times New Roman"/>
          <w:b/>
          <w:bCs/>
          <w:color w:val="000000" w:themeColor="text1"/>
          <w:sz w:val="26"/>
          <w:szCs w:val="26"/>
          <w:lang w:val="en-US"/>
        </w:rPr>
        <w:t>T</w:t>
      </w:r>
      <w:r w:rsidRPr="003F6924">
        <w:rPr>
          <w:rFonts w:ascii="Times New Roman" w:hAnsi="Times New Roman" w:cs="Times New Roman"/>
          <w:b/>
          <w:bCs/>
          <w:color w:val="000000" w:themeColor="text1"/>
          <w:sz w:val="26"/>
          <w:szCs w:val="26"/>
        </w:rPr>
        <w:t>he Negative Risk Management Path</w:t>
      </w:r>
    </w:p>
    <w:p w14:paraId="442EF1A2" w14:textId="14A7E9C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Contrary to expectations, the study reveals a negative relationship between bank risk management and digital transformation capability, as well as </w:t>
      </w:r>
      <w:r w:rsidR="006C6597" w:rsidRPr="003F6924">
        <w:rPr>
          <w:rFonts w:ascii="Times New Roman" w:hAnsi="Times New Roman" w:cs="Times New Roman"/>
          <w:color w:val="000000" w:themeColor="text1"/>
          <w:sz w:val="26"/>
          <w:szCs w:val="26"/>
          <w:lang w:val="en-US"/>
        </w:rPr>
        <w:t>an</w:t>
      </w:r>
      <w:r w:rsidR="006C6597" w:rsidRPr="003F6924">
        <w:rPr>
          <w:rFonts w:ascii="Times New Roman" w:hAnsi="Times New Roman" w:cs="Times New Roman"/>
          <w:color w:val="000000" w:themeColor="text1"/>
          <w:sz w:val="26"/>
          <w:szCs w:val="26"/>
          <w:lang w:val="vi-VN"/>
        </w:rPr>
        <w:t xml:space="preserve"> adverse </w:t>
      </w:r>
      <w:r w:rsidRPr="003F6924">
        <w:rPr>
          <w:rFonts w:ascii="Times New Roman" w:hAnsi="Times New Roman" w:cs="Times New Roman"/>
          <w:color w:val="000000" w:themeColor="text1"/>
          <w:sz w:val="26"/>
          <w:szCs w:val="26"/>
          <w:lang w:val="en-US"/>
        </w:rPr>
        <w:t xml:space="preserve">sequential effect on the overall level of digital transformation. </w:t>
      </w:r>
      <w:proofErr w:type="spellStart"/>
      <w:r w:rsidRPr="003F6924">
        <w:rPr>
          <w:rFonts w:ascii="Times New Roman" w:hAnsi="Times New Roman" w:cs="Times New Roman"/>
          <w:color w:val="000000" w:themeColor="text1"/>
          <w:sz w:val="26"/>
          <w:szCs w:val="26"/>
          <w:lang w:val="en-US"/>
        </w:rPr>
        <w:t>Thes</w:t>
      </w:r>
      <w:proofErr w:type="spellEnd"/>
      <w:r w:rsidR="006C6597" w:rsidRPr="003F6924">
        <w:rPr>
          <w:rFonts w:ascii="Times New Roman" w:hAnsi="Times New Roman" w:cs="Times New Roman"/>
          <w:color w:val="000000" w:themeColor="text1"/>
          <w:sz w:val="26"/>
          <w:szCs w:val="26"/>
          <w:lang w:val="vi-VN"/>
        </w:rPr>
        <w:t xml:space="preserve">e findings </w:t>
      </w:r>
      <w:r w:rsidRPr="003F6924">
        <w:rPr>
          <w:rFonts w:ascii="Times New Roman" w:hAnsi="Times New Roman" w:cs="Times New Roman"/>
          <w:color w:val="000000" w:themeColor="text1"/>
          <w:sz w:val="26"/>
          <w:szCs w:val="26"/>
          <w:lang w:val="en-US"/>
        </w:rPr>
        <w:t>suggest that excessively conservative or compliance-oriented risk management practices may hinder a bank’s ability to develop the internal competencies necessary for effective digital transformation. In such settings, strict control mechanisms can discourage experimentation, slow the adoption of emerging technologies, and reinforce a culture of risk aversion that conflicts with the dynamic and adaptive nature of digital transformation.</w:t>
      </w:r>
    </w:p>
    <w:p w14:paraId="57F8A154" w14:textId="729B04C0" w:rsidR="00EF6E62" w:rsidRPr="003F6924" w:rsidRDefault="00B543E4" w:rsidP="008E378C">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From a theoretical perspective, this finding can be explained through organizational inertia theory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{"citationID":"ECF8tIij","properties":{"formattedCitation":"(Hannan &amp; Freeman, 1984)","plainCitation":"(Hannan &amp; Freeman, 1984)","noteIndex":0},"citationItems":[{"id":4890,"uris":["http://zotero.org/users/9020985/items/HLTIUE8X"],"itemData":{"id":4890,"type":"article-journal","abstract":"Theory and research on organization-environment relations from a population ecology perspective have been based on the assumption that inertial pressures on structure are strong. This paper attempts to clarify the meaning of structural inertia and to derive propositions about structural inertia from an explicit evolutionary model. The proposed theory treats high levels of structural inertia as a consequence of a selection process rather than as a precondition for selection. It also considers how the strength of inertial forces varies with age, size, and complexity.","container-title":"American Sociological Review","DOI":"10.2307/2095567","ISSN":"0003-1224","issue":"2","note":"publisher: [American Sociological Association, Sage Publications, Inc.]","page":"149-164","source":"JSTOR","title":"Structural Inertia and Organizational Change","volume":"49","author":[{"family":"Hannan","given":"Michael T."},{"family":"Freeman","given":"John"}],"issued":{"date-parts":[["1984"]]}}}],"schema":"https://github.com/citation-style-language/schema/raw/master/csl-citation.json"}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 xml:space="preserve">(Hannan </w:t>
      </w:r>
      <w:r w:rsidR="009917CB" w:rsidRPr="003F6924">
        <w:rPr>
          <w:rFonts w:ascii="Times New Roman" w:hAnsi="Times New Roman" w:cs="Times New Roman"/>
          <w:noProof/>
          <w:color w:val="000000" w:themeColor="text1"/>
          <w:sz w:val="26"/>
          <w:szCs w:val="26"/>
          <w:lang w:val="vi-VN"/>
        </w:rPr>
        <w:t>&amp;</w:t>
      </w:r>
      <w:r w:rsidRPr="003F6924">
        <w:rPr>
          <w:rFonts w:ascii="Times New Roman" w:hAnsi="Times New Roman" w:cs="Times New Roman"/>
          <w:noProof/>
          <w:color w:val="000000" w:themeColor="text1"/>
          <w:sz w:val="26"/>
          <w:szCs w:val="26"/>
          <w:lang w:val="en-US"/>
        </w:rPr>
        <w:t xml:space="preserve"> Freeman, 1984)</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and dynamic capability theory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{"citationID":"LI1Unf8F","properties":{"formattedCitation":"(Teece et al., 1997)","plainCitation":"(Teece et al., 1997)","noteIndex":0},"citationItems":[{"id":4891,"uris":["http://zotero.org/users/9020985/items/H4Z9P4PF"],"itemData":{"id":4891,"type":"article-journal","abstract":"The dynamic capabilities framework analyzes the sources and methods of wealth creation and capture by private enterprise firms operating in environments of rapid technological change. The competitive advantage of firms is seen as resting on distinctive processes (ways of coordinating and combining), shaped by the firm's (specific) asset positions (such as the firm's portfolio of difficult-to-trade knowledge assets and complementary assets), and the evolution path(s) it has adopted or inherited. The importance of path dependencies is amplified where conditions of increasing returns exist. Whether and how a firm's competitive advantage is eroded depends on the stability of market demand, and the ease of replicability (expanding internally) and imitatability (replication by competitors). If correct, the framework suggests that private wealth creation in regimes of rapid technological change depends in large measure on honing internal technological, organizational, and managerial processes inside the firm. In short, identifying new opportunities and organizing effectively and efficiently to embrace them are generally more fundamental to private wealth creation than is strategizing, if by strategizing one means engaging in business conduct that keeps competitors off balance, raises rival's costs, and excludes new entrants.","container-title":"Strategic Management Journal","ISSN":"0143-2095","issue":"7","note":"publisher: Wiley","page":"509-533","source":"JSTOR","title":"Dynamic Capabilities and Strategic Management","volume":"18","author":[{"family":"Teece","given":"David J."},{"family":"Pisano","given":"Gary"},{"family":"Shuen","given":"Amy"}],"issued":{"date-parts":[["1997"]]}}}],"schema":"https://github.com/citation-style-language/schema/raw/master/csl-citation.json"}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(Teece et al., 1997)</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which argue that overly rigid routines and regulatory compliance can constrain an organization’s ability to sense and seize new opportunities. In the Vietnamese context, where banks operate under stringent regulatory oversight and have historically prioritized stability over innovation, risk management systems are often designed to prevent failure rather than to enable controlled experimentation. This structural rigidity limits organizational agility and inhibits the reconfiguration of resources necessary for digital innovation. These findings contrast with previous studies by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{"citationID":"BtYcgRrt","properties":{"formattedCitation":"(Boehm et al., 2021; T. M. H. Nguyen &amp; Bui, 2021)","plainCitation":"(Boehm et al., 2021; T. M. H. Nguyen &amp; Bui, 2021)","dontUpdate":true,"noteIndex":0},"citationItems":[{"id":4365,"uris":["http://zotero.org/users/9020985/items/4BMDLLEP"],"itemData":{"id":4365,"type":"webpage","container-title":"McKinsey.com","title":"Better risk controls to accelerate digital transformation","URL":"https://www.mckinsey.com/capabilities/mckinsey-digital/our-insights/lessons-from-banking-to-improve-risk-and-compliance-and-speed-up-digital-transformations?utm_source=chatgpt.com","author":[{"family":"Boehm","given":"J"},{"family":"Brown","given":"J.S"},{"family":"Sabbagh","given":"L"},{"family":"Thomas","given":"K"}],"accessed":{"date-parts":[["2025",5,25]]},"issued":{"date-parts":[["2021"]]}}},{"id":4272,"uris":["http://zotero.org/users/9020985/items/AXQ5WSDY"],"itemData":{"id":4272,"type":"article-journal","container-title":"TNU Journal of Science and Technology","DOI":"https://doi.org/10.34238/tnu-jst.5263","issue":"18","page":"347-355","title":"CÁC YẾU TỐ ẢNH HƯỞNG ĐẾN Ý ĐỊNH THỰC HIỆN CHUYỂN ĐỔI SỐ TRONG CÁC DOANH NGHIỆP NHỎ VÀ VỪA TRÊN ĐỊA BÀN THÀNH PHỐ HÀ NỘI - FACTORS AFFECTING THE INTENTION TO IMPLEMENT DIGITAL TRANSFORMATION IN SMALL AND MEDIUM ENTERPRISES IN HANOI CITY","volume":"266","author":[{"family":"Nguyen","given":"T.M.H"},{"family":"Bui","given":"T.S"}],"issued":{"date-parts":[["2021"]]}}}],"schema":"https://github.com/citation-style-language/schema/raw/master/csl-citation.json"}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noProof/>
          <w:color w:val="000000" w:themeColor="text1"/>
          <w:sz w:val="26"/>
          <w:szCs w:val="26"/>
          <w:lang w:val="en-US"/>
        </w:rPr>
        <w:t>Boehm et al. (2021)</w:t>
      </w:r>
      <w:r w:rsidR="009E7EC6" w:rsidRPr="003F6924">
        <w:rPr>
          <w:rFonts w:ascii="Times New Roman" w:hAnsi="Times New Roman" w:cs="Times New Roman"/>
          <w:noProof/>
          <w:color w:val="000000" w:themeColor="text1"/>
          <w:sz w:val="26"/>
          <w:szCs w:val="26"/>
          <w:lang w:val="vi-VN"/>
        </w:rPr>
        <w:t xml:space="preserve"> and</w:t>
      </w:r>
      <w:r w:rsidRPr="003F6924">
        <w:rPr>
          <w:rFonts w:ascii="Times New Roman" w:hAnsi="Times New Roman" w:cs="Times New Roman"/>
          <w:noProof/>
          <w:color w:val="000000" w:themeColor="text1"/>
          <w:sz w:val="26"/>
          <w:szCs w:val="26"/>
          <w:lang w:val="en-US"/>
        </w:rPr>
        <w:t xml:space="preserve"> </w:t>
      </w:r>
      <w:r w:rsidR="00EB4C09" w:rsidRPr="003F6924">
        <w:rPr>
          <w:rFonts w:ascii="Times New Roman" w:hAnsi="Times New Roman" w:cs="Times New Roman"/>
          <w:noProof/>
          <w:color w:val="000000" w:themeColor="text1"/>
          <w:sz w:val="26"/>
          <w:szCs w:val="26"/>
          <w:lang w:val="en-US"/>
        </w:rPr>
        <w:t xml:space="preserve">T. M. H. </w:t>
      </w:r>
      <w:r w:rsidRPr="003F6924">
        <w:rPr>
          <w:rFonts w:ascii="Times New Roman" w:hAnsi="Times New Roman" w:cs="Times New Roman"/>
          <w:noProof/>
          <w:color w:val="000000" w:themeColor="text1"/>
          <w:sz w:val="26"/>
          <w:szCs w:val="26"/>
          <w:lang w:val="en-US"/>
        </w:rPr>
        <w:t xml:space="preserve">Nguyen </w:t>
      </w:r>
      <w:r w:rsidR="0025775B" w:rsidRPr="003F6924">
        <w:rPr>
          <w:rFonts w:ascii="Times New Roman" w:hAnsi="Times New Roman" w:cs="Times New Roman"/>
          <w:noProof/>
          <w:color w:val="000000" w:themeColor="text1"/>
          <w:sz w:val="26"/>
          <w:szCs w:val="26"/>
          <w:lang w:val="en-US"/>
        </w:rPr>
        <w:t>a</w:t>
      </w:r>
      <w:r w:rsidR="009917CB" w:rsidRPr="003F6924">
        <w:rPr>
          <w:rFonts w:ascii="Times New Roman" w:hAnsi="Times New Roman" w:cs="Times New Roman"/>
          <w:noProof/>
          <w:color w:val="000000" w:themeColor="text1"/>
          <w:sz w:val="26"/>
          <w:szCs w:val="26"/>
          <w:lang w:val="en-US"/>
        </w:rPr>
        <w:t>nd</w:t>
      </w:r>
      <w:r w:rsidRPr="003F6924">
        <w:rPr>
          <w:rFonts w:ascii="Times New Roman" w:hAnsi="Times New Roman" w:cs="Times New Roman"/>
          <w:noProof/>
          <w:color w:val="000000" w:themeColor="text1"/>
          <w:sz w:val="26"/>
          <w:szCs w:val="26"/>
          <w:lang w:val="en-US"/>
        </w:rPr>
        <w:t xml:space="preserve"> Bui (2021)</w:t>
      </w:r>
      <w:r w:rsidRPr="003F6924">
        <w:rPr>
          <w:rFonts w:ascii="Times New Roman" w:hAnsi="Times New Roman" w:cs="Times New Roman"/>
          <w:color w:val="000000" w:themeColor="text1"/>
          <w:sz w:val="26"/>
          <w:szCs w:val="26"/>
          <w:lang w:val="en-US"/>
        </w:rPr>
        <w:fldChar w:fldCharType="end"/>
      </w:r>
      <w:r w:rsidR="009E7EC6" w:rsidRPr="003F6924">
        <w:rPr>
          <w:rFonts w:ascii="Times New Roman" w:hAnsi="Times New Roman" w:cs="Times New Roman"/>
          <w:color w:val="000000" w:themeColor="text1"/>
          <w:sz w:val="26"/>
          <w:szCs w:val="26"/>
          <w:lang w:val="vi-VN"/>
        </w:rPr>
        <w:t>, who</w:t>
      </w:r>
      <w:r w:rsidRPr="003F6924">
        <w:rPr>
          <w:rFonts w:ascii="Times New Roman" w:hAnsi="Times New Roman" w:cs="Times New Roman"/>
          <w:color w:val="000000" w:themeColor="text1"/>
          <w:sz w:val="26"/>
          <w:szCs w:val="26"/>
          <w:lang w:val="en-US"/>
        </w:rPr>
        <w:t xml:space="preserve"> viewed effective risk management as a facilitator of transformation by mitigating digital risks and ensuring safe innovation. The divergence likely stems from contextual factors, particularly the dominance of state ownership and regulatory conservatism in Vietnam’s banking sector, which constrain strategic flexibility. Accordingly, the results highlight the need for banks to adopt balanced and adaptive risk management frameworks that support innovation while maintaining institutional stability. This context-specific insight contributes new theoretical understanding by challenging the prevailing assumption that stronger risk control universally promotes digital transformation and by demonstrating that, in emerging markets, overly cautious governance can act as a barrier to technological and organizational change.</w:t>
      </w:r>
    </w:p>
    <w:p w14:paraId="7851E64F" w14:textId="77777777" w:rsidR="000A240D" w:rsidRPr="003F6924" w:rsidRDefault="000A240D" w:rsidP="000A240D">
      <w:pPr>
        <w:snapToGrid w:val="0"/>
        <w:spacing w:after="0" w:line="300" w:lineRule="auto"/>
        <w:jc w:val="both"/>
        <w:rPr>
          <w:rFonts w:ascii="Times New Roman" w:hAnsi="Times New Roman" w:cs="Times New Roman"/>
          <w:color w:val="000000" w:themeColor="text1"/>
          <w:sz w:val="26"/>
          <w:szCs w:val="26"/>
          <w:lang w:val="en-US"/>
        </w:rPr>
      </w:pPr>
    </w:p>
    <w:p w14:paraId="78FD59E2" w14:textId="77777777" w:rsidR="00EF6E62" w:rsidRPr="003F6924" w:rsidRDefault="00B543E4" w:rsidP="000A240D">
      <w:pPr>
        <w:snapToGrid w:val="0"/>
        <w:spacing w:after="0" w:line="300" w:lineRule="auto"/>
        <w:rPr>
          <w:rFonts w:ascii="Times New Roman" w:hAnsi="Times New Roman" w:cs="Times New Roman"/>
          <w:b/>
          <w:bCs/>
          <w:color w:val="000000" w:themeColor="text1"/>
          <w:sz w:val="26"/>
          <w:szCs w:val="26"/>
        </w:rPr>
      </w:pPr>
      <w:r w:rsidRPr="003F6924">
        <w:rPr>
          <w:rFonts w:ascii="Times New Roman" w:hAnsi="Times New Roman" w:cs="Times New Roman"/>
          <w:b/>
          <w:bCs/>
          <w:color w:val="000000" w:themeColor="text1"/>
          <w:sz w:val="26"/>
          <w:szCs w:val="26"/>
        </w:rPr>
        <w:t>Configurational Insights from fsQCA</w:t>
      </w:r>
    </w:p>
    <w:p w14:paraId="2A6E369A" w14:textId="7777777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rPr>
        <w:t xml:space="preserve">The fsQCA results complement the SEM analysis by uncovering multiple, equally effective pathways that lead to high digital transformation capability in Vietnamese banks. While the SEM results established that factors such as technological infrastructure, leadership capability, strategy, and </w:t>
      </w:r>
      <w:r w:rsidRPr="003F6924">
        <w:rPr>
          <w:rFonts w:ascii="Times New Roman" w:hAnsi="Times New Roman" w:cs="Times New Roman"/>
          <w:color w:val="000000" w:themeColor="text1"/>
          <w:sz w:val="26"/>
          <w:szCs w:val="26"/>
          <w:lang w:val="vi-VN"/>
        </w:rPr>
        <w:t>employee</w:t>
      </w:r>
      <w:r w:rsidRPr="003F6924">
        <w:rPr>
          <w:rFonts w:ascii="Times New Roman" w:hAnsi="Times New Roman" w:cs="Times New Roman"/>
          <w:color w:val="000000" w:themeColor="text1"/>
          <w:sz w:val="26"/>
          <w:szCs w:val="26"/>
        </w:rPr>
        <w:t xml:space="preserve"> competence have significant linear effects, the fsQCA findings reveal how these conditions interact synergistically. Th</w:t>
      </w:r>
      <w:r w:rsidR="009E7EC6" w:rsidRPr="003F6924">
        <w:rPr>
          <w:rFonts w:ascii="Times New Roman" w:hAnsi="Times New Roman" w:cs="Times New Roman"/>
          <w:color w:val="000000" w:themeColor="text1"/>
          <w:sz w:val="26"/>
          <w:szCs w:val="26"/>
        </w:rPr>
        <w:t xml:space="preserve">e result </w:t>
      </w:r>
      <w:r w:rsidRPr="003F6924">
        <w:rPr>
          <w:rFonts w:ascii="Times New Roman" w:hAnsi="Times New Roman" w:cs="Times New Roman"/>
          <w:color w:val="000000" w:themeColor="text1"/>
          <w:sz w:val="26"/>
          <w:szCs w:val="26"/>
        </w:rPr>
        <w:t>reinforces the principle of causal complexity, demonstrating that transformation success can emerge from different configurations of conditions rather than a single dominant path.</w:t>
      </w:r>
      <w:r w:rsidRPr="003F6924">
        <w:rPr>
          <w:rFonts w:ascii="Times New Roman" w:hAnsi="Times New Roman" w:cs="Times New Roman"/>
          <w:color w:val="000000" w:themeColor="text1"/>
          <w:sz w:val="26"/>
          <w:szCs w:val="26"/>
          <w:lang w:val="en-US"/>
        </w:rPr>
        <w:t xml:space="preserve"> </w:t>
      </w:r>
    </w:p>
    <w:p w14:paraId="61318364" w14:textId="77777777" w:rsidR="00EF6E62" w:rsidRPr="003F6924" w:rsidRDefault="00B543E4" w:rsidP="00794E60">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rPr>
        <w:t xml:space="preserve">In comparison with </w:t>
      </w:r>
      <w:r w:rsidRPr="003F6924">
        <w:rPr>
          <w:rFonts w:ascii="Times New Roman" w:hAnsi="Times New Roman" w:cs="Times New Roman"/>
          <w:color w:val="000000" w:themeColor="text1"/>
          <w:sz w:val="26"/>
          <w:szCs w:val="26"/>
          <w:lang w:val="en-US"/>
        </w:rPr>
        <w:fldChar w:fldCharType="begin"/>
      </w:r>
      <w:r w:rsidRPr="003F6924">
        <w:rPr>
          <w:rFonts w:ascii="Times New Roman" w:hAnsi="Times New Roman" w:cs="Times New Roman"/>
          <w:color w:val="000000" w:themeColor="text1"/>
          <w:sz w:val="26"/>
          <w:szCs w:val="26"/>
          <w:lang w:val="en-US"/>
        </w:rPr>
        <w:instrText xml:space="preserve"> ADDIN ZOTERO_ITEM CSL_CITATION {"citationID":"DX4s9XfE","properties":{"formattedCitation":"(Ant\\uc0\\u243{}nio Porf\\uc0\\u237{}rio et al., 2024)","plainCitation":"(António Porfírio et al., 2024)","dontUpdate":true,"noteIndex":0},"citationItems":[{"id":4401,"uris":["http://zotero.org/users/9020985/items/PNRZICDM"],"itemData":{"id":4401,"type":"article-journal","abstract":"This study analyzes the perceived impacts of Digital Transformation (DT) in the banking industry, identifying the factors that most affect banking performance and business volume. Based on the opinion of some board members and the perceptions of 50 bank employees, ground theory is used and fsQCA is applied to identify the factors and configurations between Employees, Internal, and External factors that influence the impact of DT on the performance of Portuguese banks. Research is developed at a micro level putting in evidence the holistic comprehension of the DT process and concluding on the importance of flexibility and management capacity to potentiate the impact of DT in banking, highlighting the crucial importance of the employees’ skills and stakeholders’ digital experience to bypass drawbacks to its potential and contributing to improve management and human resource policies to address DT in the banking industry.","container-title":"Journal of Business Research","DOI":"10.1016/j.jbusres.2023.114393","ISSN":"0148-2963","journalAbbreviation":"Journal of Business Research","page":"114393","source":"ScienceDirect","title":"Factors affecting digital transformation in banking","volume":"171","author":[{"family":"Augusto Felício","given":"José"},{"family":"Carrilho","given":"Tiago"}],"issued":{"date-parts":[["2024",1,1]]}}}],"schema":"https://github.com/citation-style-language/schema/raw/master/csl-citation.json"} </w:instrText>
      </w:r>
      <w:r w:rsidRPr="003F6924">
        <w:rPr>
          <w:rFonts w:ascii="Times New Roman" w:hAnsi="Times New Roman" w:cs="Times New Roman"/>
          <w:color w:val="000000" w:themeColor="text1"/>
          <w:sz w:val="26"/>
          <w:szCs w:val="26"/>
          <w:lang w:val="en-US"/>
        </w:rPr>
        <w:fldChar w:fldCharType="separate"/>
      </w:r>
      <w:r w:rsidRPr="003F6924">
        <w:rPr>
          <w:rFonts w:ascii="Times New Roman" w:hAnsi="Times New Roman" w:cs="Times New Roman"/>
          <w:color w:val="000000" w:themeColor="text1"/>
          <w:sz w:val="26"/>
          <w:szCs w:val="26"/>
          <w:lang w:val="en-US"/>
        </w:rPr>
        <w:t>Porfírio et al. (2024)</w:t>
      </w:r>
      <w:r w:rsidRPr="003F6924">
        <w:rPr>
          <w:rFonts w:ascii="Times New Roman" w:hAnsi="Times New Roman" w:cs="Times New Roman"/>
          <w:color w:val="000000" w:themeColor="text1"/>
          <w:sz w:val="26"/>
          <w:szCs w:val="26"/>
          <w:lang w:val="en-US"/>
        </w:rPr>
        <w:fldChar w:fldCharType="end"/>
      </w:r>
      <w:r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rPr>
        <w:t>who identified diverse configurations leading to digital transformation performance across organizations, this study reaches a similar conclusion—that digital transformation is multi</w:t>
      </w:r>
      <w:r w:rsidR="009E7EC6" w:rsidRPr="003F6924">
        <w:rPr>
          <w:rFonts w:ascii="Times New Roman" w:hAnsi="Times New Roman" w:cs="Times New Roman"/>
          <w:color w:val="000000" w:themeColor="text1"/>
          <w:sz w:val="26"/>
          <w:szCs w:val="26"/>
        </w:rPr>
        <w:t>-</w:t>
      </w:r>
      <w:r w:rsidRPr="003F6924">
        <w:rPr>
          <w:rFonts w:ascii="Times New Roman" w:hAnsi="Times New Roman" w:cs="Times New Roman"/>
          <w:color w:val="000000" w:themeColor="text1"/>
          <w:sz w:val="26"/>
          <w:szCs w:val="26"/>
        </w:rPr>
        <w:t>dimensional and context-dependent. Both studies affirm that combinations of internal and external factors (e.g., technological readiness, leadership, and environmental pressures) jointly shape digital outcomes. However, this study advances the discussion by offering a distinct classification of antecedents grounded in the Technology–Organization–Environment (TOE) model and by integrating insights from the Resource-Based View (RBV). Unlike Porfírio et al.’s broader focus on general organizational performance, this research explains</w:t>
      </w:r>
      <w:r w:rsidR="008E45F9" w:rsidRPr="003F6924">
        <w:rPr>
          <w:rFonts w:ascii="Times New Roman" w:hAnsi="Times New Roman" w:cs="Times New Roman"/>
          <w:color w:val="000000" w:themeColor="text1"/>
          <w:sz w:val="26"/>
          <w:szCs w:val="26"/>
          <w:lang w:val="vi-VN"/>
        </w:rPr>
        <w:t xml:space="preserve"> </w:t>
      </w:r>
      <w:r w:rsidR="008E45F9" w:rsidRPr="003F6924">
        <w:rPr>
          <w:rFonts w:ascii="Times New Roman" w:hAnsi="Times New Roman" w:cs="Times New Roman"/>
          <w:color w:val="000000" w:themeColor="text1"/>
          <w:sz w:val="26"/>
          <w:szCs w:val="26"/>
        </w:rPr>
        <w:t>specifically</w:t>
      </w:r>
      <w:r w:rsidRPr="003F6924">
        <w:rPr>
          <w:rFonts w:ascii="Times New Roman" w:hAnsi="Times New Roman" w:cs="Times New Roman"/>
          <w:color w:val="000000" w:themeColor="text1"/>
          <w:sz w:val="26"/>
          <w:szCs w:val="26"/>
        </w:rPr>
        <w:t xml:space="preserve"> how technological and organizational capabilities interact to form digital transformation capability, which in turn drives transformation outcomes in the banking sector.</w:t>
      </w:r>
      <w:r w:rsidRPr="003F6924">
        <w:rPr>
          <w:rFonts w:ascii="Times New Roman" w:hAnsi="Times New Roman" w:cs="Times New Roman"/>
          <w:color w:val="000000" w:themeColor="text1"/>
          <w:sz w:val="26"/>
          <w:szCs w:val="26"/>
          <w:lang w:val="en-US"/>
        </w:rPr>
        <w:t xml:space="preserve"> </w:t>
      </w:r>
      <w:r w:rsidR="008E45F9" w:rsidRPr="003F6924">
        <w:rPr>
          <w:rFonts w:ascii="Times New Roman" w:hAnsi="Times New Roman" w:cs="Times New Roman"/>
          <w:color w:val="000000" w:themeColor="text1"/>
          <w:sz w:val="26"/>
          <w:szCs w:val="26"/>
          <w:lang w:val="en-US"/>
        </w:rPr>
        <w:t>Furthermore, the fsQCA configurations offer contextual insights that complement and extend the SEM results, revealing how multiple conditions interact to produce high digital transformation capability</w:t>
      </w:r>
      <w:r w:rsidRPr="003F6924">
        <w:rPr>
          <w:rFonts w:ascii="Times New Roman" w:hAnsi="Times New Roman" w:cs="Times New Roman"/>
          <w:color w:val="000000" w:themeColor="text1"/>
          <w:sz w:val="26"/>
          <w:szCs w:val="26"/>
          <w:lang w:val="en-US"/>
        </w:rPr>
        <w:t xml:space="preserve">. </w:t>
      </w:r>
      <w:r w:rsidR="008E45F9" w:rsidRPr="003F6924">
        <w:rPr>
          <w:rFonts w:ascii="Times New Roman" w:hAnsi="Times New Roman" w:cs="Times New Roman"/>
          <w:color w:val="000000" w:themeColor="text1"/>
          <w:sz w:val="26"/>
          <w:szCs w:val="26"/>
          <w:lang w:val="en-US"/>
        </w:rPr>
        <w:t>For instance, Configuration 2 demonstrates that strong technological platforms, effective leadership, and high employee competence jointly underpin successful digital transformation. This result is consistent with previous studies emphasizing the importance of leadership-driven digital adoption (Kindermann et al., 2021; Li et al., 2020)</w:t>
      </w:r>
      <w:r w:rsidRPr="003F6924">
        <w:rPr>
          <w:rFonts w:ascii="Times New Roman" w:hAnsi="Times New Roman" w:cs="Times New Roman"/>
          <w:color w:val="000000" w:themeColor="text1"/>
          <w:sz w:val="26"/>
          <w:szCs w:val="26"/>
          <w:lang w:val="en-US"/>
        </w:rPr>
        <w:t>. In contrast, Configuration 3 shows that even in contexts with weaker risk management, banks can achieve high transformation capability through strong leadership and human capital investment, a nuance rarely captured in previous linear models</w:t>
      </w:r>
      <w:r w:rsidR="00B42468" w:rsidRPr="003F6924">
        <w:rPr>
          <w:rFonts w:ascii="Times New Roman" w:hAnsi="Times New Roman" w:cs="Times New Roman"/>
          <w:color w:val="000000" w:themeColor="text1"/>
          <w:sz w:val="26"/>
          <w:szCs w:val="26"/>
          <w:lang w:val="en-US" w:eastAsia="zh-TW"/>
        </w:rPr>
        <w:t>.</w:t>
      </w:r>
    </w:p>
    <w:p w14:paraId="438A7E2D" w14:textId="77777777" w:rsidR="000A240D" w:rsidRPr="003F6924" w:rsidRDefault="000A240D" w:rsidP="000A240D">
      <w:pPr>
        <w:snapToGrid w:val="0"/>
        <w:spacing w:after="0" w:line="300" w:lineRule="auto"/>
        <w:jc w:val="both"/>
        <w:rPr>
          <w:rFonts w:ascii="Times New Roman" w:hAnsi="Times New Roman" w:cs="Times New Roman"/>
          <w:color w:val="000000" w:themeColor="text1"/>
          <w:sz w:val="26"/>
          <w:szCs w:val="26"/>
          <w:lang w:val="en-US"/>
        </w:rPr>
      </w:pPr>
    </w:p>
    <w:p w14:paraId="33175EF0" w14:textId="77777777" w:rsidR="00EF6E62" w:rsidRPr="003F6924" w:rsidRDefault="00B543E4" w:rsidP="000A240D">
      <w:pPr>
        <w:snapToGrid w:val="0"/>
        <w:spacing w:after="0" w:line="300" w:lineRule="auto"/>
        <w:jc w:val="center"/>
        <w:rPr>
          <w:rFonts w:ascii="Times New Roman" w:hAnsi="Times New Roman" w:cs="Times New Roman"/>
          <w:bCs/>
          <w:color w:val="000000" w:themeColor="text1"/>
          <w:sz w:val="26"/>
          <w:szCs w:val="26"/>
          <w:lang w:val="vi-VN"/>
        </w:rPr>
      </w:pPr>
      <w:r w:rsidRPr="003F6924">
        <w:rPr>
          <w:rFonts w:ascii="Times New Roman" w:hAnsi="Times New Roman" w:cs="Times New Roman"/>
          <w:b/>
          <w:color w:val="000000" w:themeColor="text1"/>
          <w:sz w:val="26"/>
          <w:szCs w:val="26"/>
          <w:lang w:val="en-US"/>
        </w:rPr>
        <w:t>IMPLICATIONS</w:t>
      </w:r>
      <w:r w:rsidRPr="003F6924">
        <w:rPr>
          <w:rFonts w:ascii="Times New Roman" w:hAnsi="Times New Roman" w:cs="Times New Roman"/>
          <w:b/>
          <w:color w:val="000000" w:themeColor="text1"/>
          <w:sz w:val="26"/>
          <w:szCs w:val="26"/>
          <w:lang w:val="vi-VN"/>
        </w:rPr>
        <w:t xml:space="preserve"> AND FUTURE STUDY</w:t>
      </w:r>
    </w:p>
    <w:p w14:paraId="22A1E7D1" w14:textId="44477A01" w:rsidR="008E45F9" w:rsidRPr="003F6924" w:rsidRDefault="00B543E4" w:rsidP="000A240D">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Theoretical </w:t>
      </w:r>
      <w:r w:rsidR="00393E96" w:rsidRPr="003F6924">
        <w:rPr>
          <w:rFonts w:ascii="Times New Roman" w:hAnsi="Times New Roman" w:cs="Times New Roman"/>
          <w:b/>
          <w:bCs/>
          <w:color w:val="000000" w:themeColor="text1"/>
          <w:sz w:val="26"/>
          <w:szCs w:val="26"/>
          <w:lang w:val="en-US"/>
        </w:rPr>
        <w:t xml:space="preserve">Implications </w:t>
      </w:r>
    </w:p>
    <w:p w14:paraId="38471378" w14:textId="64EFCBA4"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This study </w:t>
      </w:r>
      <w:r w:rsidR="00855C76" w:rsidRPr="003F6924">
        <w:rPr>
          <w:rFonts w:ascii="Times New Roman" w:hAnsi="Times New Roman" w:cs="Times New Roman"/>
          <w:color w:val="000000" w:themeColor="text1"/>
          <w:sz w:val="26"/>
          <w:szCs w:val="26"/>
          <w:lang w:val="en-US" w:eastAsia="zh-TW"/>
        </w:rPr>
        <w:t xml:space="preserve">makes significant </w:t>
      </w:r>
      <w:r w:rsidRPr="003F6924">
        <w:rPr>
          <w:rFonts w:ascii="Times New Roman" w:hAnsi="Times New Roman" w:cs="Times New Roman"/>
          <w:color w:val="000000" w:themeColor="text1"/>
          <w:sz w:val="26"/>
          <w:szCs w:val="26"/>
          <w:lang w:val="en-US"/>
        </w:rPr>
        <w:t xml:space="preserve">contributions to the digital transformation literature in several important ways. First, it integrates multiple </w:t>
      </w:r>
      <w:r w:rsidRPr="003F6924">
        <w:rPr>
          <w:rFonts w:ascii="Times New Roman" w:hAnsi="Times New Roman" w:cs="Times New Roman"/>
          <w:color w:val="000000" w:themeColor="text1"/>
          <w:sz w:val="26"/>
          <w:szCs w:val="26"/>
          <w:lang w:val="vi-VN"/>
        </w:rPr>
        <w:t>theoretical</w:t>
      </w:r>
      <w:r w:rsidRPr="003F6924">
        <w:rPr>
          <w:rFonts w:ascii="Times New Roman" w:hAnsi="Times New Roman" w:cs="Times New Roman"/>
          <w:color w:val="000000" w:themeColor="text1"/>
          <w:sz w:val="26"/>
          <w:szCs w:val="26"/>
          <w:lang w:val="en-US"/>
        </w:rPr>
        <w:t xml:space="preserve"> frameworks—including the Technology–Organization–Environment (TOE) framework, Diffusion of Innovation (DOI) theory, Resource-Based View (RBV), and Dynamic Capabilities (DC)—to examine the combined effects of technological, organizational, and environmental factors on digital transformation. This multi-theoretical approach </w:t>
      </w:r>
      <w:r w:rsidR="00EF488C">
        <w:rPr>
          <w:rFonts w:ascii="Times New Roman" w:hAnsi="Times New Roman" w:cs="Times New Roman"/>
          <w:color w:val="000000" w:themeColor="text1"/>
          <w:sz w:val="26"/>
          <w:szCs w:val="26"/>
          <w:lang w:val="en-US"/>
        </w:rPr>
        <w:t>offers</w:t>
      </w:r>
      <w:r w:rsidRPr="003F6924">
        <w:rPr>
          <w:rFonts w:ascii="Times New Roman" w:hAnsi="Times New Roman" w:cs="Times New Roman"/>
          <w:color w:val="000000" w:themeColor="text1"/>
          <w:sz w:val="26"/>
          <w:szCs w:val="26"/>
          <w:lang w:val="en-US"/>
        </w:rPr>
        <w:t xml:space="preserve"> a more </w:t>
      </w:r>
      <w:r w:rsidR="00EF488C">
        <w:rPr>
          <w:rFonts w:ascii="Times New Roman" w:hAnsi="Times New Roman" w:cs="Times New Roman"/>
          <w:color w:val="000000" w:themeColor="text1"/>
          <w:sz w:val="26"/>
          <w:szCs w:val="26"/>
          <w:lang w:val="en-US"/>
        </w:rPr>
        <w:t>comprehensive</w:t>
      </w:r>
      <w:r w:rsidRPr="003F6924">
        <w:rPr>
          <w:rFonts w:ascii="Times New Roman" w:hAnsi="Times New Roman" w:cs="Times New Roman"/>
          <w:color w:val="000000" w:themeColor="text1"/>
          <w:sz w:val="26"/>
          <w:szCs w:val="26"/>
          <w:lang w:val="en-US"/>
        </w:rPr>
        <w:t xml:space="preserve"> understanding of how these factors interact </w:t>
      </w:r>
      <w:r w:rsidR="003D5415">
        <w:rPr>
          <w:rFonts w:ascii="Times New Roman" w:hAnsi="Times New Roman" w:cs="Times New Roman"/>
          <w:color w:val="000000" w:themeColor="text1"/>
          <w:sz w:val="26"/>
          <w:szCs w:val="26"/>
          <w:lang w:val="en-US"/>
        </w:rPr>
        <w:t xml:space="preserve">to shape digital </w:t>
      </w:r>
      <w:r w:rsidRPr="003F6924">
        <w:rPr>
          <w:rFonts w:ascii="Times New Roman" w:hAnsi="Times New Roman" w:cs="Times New Roman"/>
          <w:color w:val="000000" w:themeColor="text1"/>
          <w:sz w:val="26"/>
          <w:szCs w:val="26"/>
          <w:lang w:val="en-US"/>
        </w:rPr>
        <w:t xml:space="preserve">transformation outcomes. Previous studies mainly relied on TOE and DOI models. Consequently, this fragmented approach limits our understanding of how technological, organizational, and environmental forces interact. </w:t>
      </w:r>
      <w:r w:rsidR="00363008" w:rsidRPr="003F6924">
        <w:rPr>
          <w:rFonts w:ascii="Times New Roman" w:hAnsi="Times New Roman" w:cs="Times New Roman"/>
          <w:color w:val="000000" w:themeColor="text1"/>
          <w:sz w:val="26"/>
          <w:szCs w:val="26"/>
          <w:lang w:val="en-US"/>
        </w:rPr>
        <w:t xml:space="preserve">Previous studies have often integrated the Technology–Organization–Environment (TOE) and Technology Acceptance Model (TAM) frameworks to investigate technological, organizational, and environmental factors influencing technology adoption or initial usage (e.g., Khan et al., 2021; Tajudeen et al., 2018). </w:t>
      </w:r>
      <w:r w:rsidRPr="003F6924">
        <w:rPr>
          <w:rFonts w:ascii="Times New Roman" w:hAnsi="Times New Roman" w:cs="Times New Roman"/>
          <w:color w:val="000000" w:themeColor="text1"/>
          <w:sz w:val="26"/>
          <w:szCs w:val="26"/>
          <w:lang w:val="en-US"/>
        </w:rPr>
        <w:t>While valuable, this integration remains limited to behavioral explanations and does not capture the capability-building and strategic transformation aspects that follow adoption.</w:t>
      </w:r>
    </w:p>
    <w:p w14:paraId="19C2B491" w14:textId="1CE6A931" w:rsidR="00EF6E62" w:rsidRPr="003F6924" w:rsidRDefault="00B543E4" w:rsidP="00B42468">
      <w:pPr>
        <w:snapToGrid w:val="0"/>
        <w:spacing w:after="0" w:line="300" w:lineRule="auto"/>
        <w:ind w:firstLineChars="200" w:firstLine="520"/>
        <w:jc w:val="both"/>
        <w:rPr>
          <w:rFonts w:ascii="Times New Roman" w:hAnsi="Times New Roman" w:cs="Times New Roman"/>
          <w:color w:val="000000" w:themeColor="text1"/>
          <w:sz w:val="26"/>
          <w:szCs w:val="26"/>
        </w:rPr>
      </w:pPr>
      <w:r w:rsidRPr="003F6924">
        <w:rPr>
          <w:rFonts w:ascii="Times New Roman" w:hAnsi="Times New Roman" w:cs="Times New Roman"/>
          <w:color w:val="000000" w:themeColor="text1"/>
          <w:sz w:val="26"/>
          <w:szCs w:val="26"/>
          <w:lang w:val="en-US"/>
        </w:rPr>
        <w:t xml:space="preserve">This current study integrates behavioral intention models (TOE, DOI) with strategic resource theories (RBV, DC), addressing a major critique in existing digital transformation (DT) literature. </w:t>
      </w:r>
      <w:r w:rsidR="00363008" w:rsidRPr="003F6924">
        <w:rPr>
          <w:rFonts w:ascii="Times New Roman" w:hAnsi="Times New Roman" w:cs="Times New Roman"/>
          <w:color w:val="000000" w:themeColor="text1"/>
          <w:sz w:val="26"/>
          <w:szCs w:val="26"/>
          <w:lang w:val="en-US"/>
        </w:rPr>
        <w:t xml:space="preserve">The TOE framework, a widely applied theoretical model, conceptualizes technological innovation as a function of interrelated technological, organizational, and environmental factors that influence both </w:t>
      </w:r>
      <w:r w:rsidR="003D5415">
        <w:rPr>
          <w:rFonts w:ascii="Times New Roman" w:hAnsi="Times New Roman" w:cs="Times New Roman"/>
          <w:color w:val="000000" w:themeColor="text1"/>
          <w:sz w:val="26"/>
          <w:szCs w:val="26"/>
          <w:lang w:val="en-US"/>
        </w:rPr>
        <w:t>adoption</w:t>
      </w:r>
      <w:r w:rsidR="00363008" w:rsidRPr="003F6924">
        <w:rPr>
          <w:rFonts w:ascii="Times New Roman" w:hAnsi="Times New Roman" w:cs="Times New Roman"/>
          <w:color w:val="000000" w:themeColor="text1"/>
          <w:sz w:val="26"/>
          <w:szCs w:val="26"/>
          <w:lang w:val="en-US"/>
        </w:rPr>
        <w:t xml:space="preserve"> and implementation</w:t>
      </w:r>
      <w:r w:rsidRPr="003F6924">
        <w:rPr>
          <w:rFonts w:ascii="Times New Roman" w:hAnsi="Times New Roman" w:cs="Times New Roman"/>
          <w:color w:val="000000" w:themeColor="text1"/>
          <w:sz w:val="26"/>
          <w:szCs w:val="26"/>
        </w:rPr>
        <w:t>. However, TOE fails to analyze internal organizational structures, driving factors, and dynamics.</w:t>
      </w:r>
      <w:r w:rsidRPr="003F6924">
        <w:rPr>
          <w:rFonts w:ascii="Times New Roman" w:hAnsi="Times New Roman" w:cs="Times New Roman"/>
          <w:color w:val="000000" w:themeColor="text1"/>
          <w:sz w:val="26"/>
          <w:szCs w:val="26"/>
          <w:lang w:val="en-US"/>
        </w:rPr>
        <w:t xml:space="preserve"> Meanwhile, </w:t>
      </w:r>
      <w:r w:rsidRPr="003F6924">
        <w:rPr>
          <w:rFonts w:ascii="Times New Roman" w:hAnsi="Times New Roman" w:cs="Times New Roman"/>
          <w:color w:val="000000" w:themeColor="text1"/>
          <w:sz w:val="26"/>
          <w:szCs w:val="26"/>
        </w:rPr>
        <w:t xml:space="preserve">RBV adds an inside viewpoint on competitive advantage. According to RBV, an organization's internal resources drive sustained competitive advantage. Digital transformation in banking requires </w:t>
      </w:r>
      <w:r w:rsidR="00363008" w:rsidRPr="003F6924">
        <w:rPr>
          <w:rFonts w:ascii="Times New Roman" w:hAnsi="Times New Roman" w:cs="Times New Roman"/>
          <w:color w:val="000000" w:themeColor="text1"/>
          <w:sz w:val="26"/>
          <w:szCs w:val="26"/>
          <w:lang w:val="vi-VN"/>
        </w:rPr>
        <w:t xml:space="preserve">a combination of </w:t>
      </w:r>
      <w:r w:rsidRPr="003F6924">
        <w:rPr>
          <w:rFonts w:ascii="Times New Roman" w:hAnsi="Times New Roman" w:cs="Times New Roman"/>
          <w:color w:val="000000" w:themeColor="text1"/>
          <w:sz w:val="26"/>
          <w:szCs w:val="26"/>
        </w:rPr>
        <w:t>technology, leadership, and personnel competenc</w:t>
      </w:r>
      <w:r w:rsidRPr="003F6924">
        <w:rPr>
          <w:rFonts w:ascii="Times New Roman" w:hAnsi="Times New Roman" w:cs="Times New Roman"/>
          <w:color w:val="000000" w:themeColor="text1"/>
          <w:sz w:val="26"/>
          <w:szCs w:val="26"/>
          <w:lang w:val="en-US"/>
        </w:rPr>
        <w:t>ies</w:t>
      </w:r>
      <w:r w:rsidRPr="003F6924">
        <w:rPr>
          <w:rFonts w:ascii="Times New Roman" w:hAnsi="Times New Roman" w:cs="Times New Roman"/>
          <w:color w:val="000000" w:themeColor="text1"/>
          <w:sz w:val="26"/>
          <w:szCs w:val="26"/>
        </w:rPr>
        <w:t>.</w:t>
      </w:r>
    </w:p>
    <w:p w14:paraId="5D95ED93" w14:textId="4CD20115" w:rsidR="00EF6E62" w:rsidRPr="003F6924" w:rsidRDefault="00363008" w:rsidP="00794E60">
      <w:pPr>
        <w:snapToGrid w:val="0"/>
        <w:spacing w:after="0" w:line="300" w:lineRule="auto"/>
        <w:ind w:firstLineChars="200" w:firstLine="520"/>
        <w:jc w:val="both"/>
        <w:rPr>
          <w:rFonts w:ascii="Times New Roman" w:hAnsi="Times New Roman" w:cs="Times New Roman"/>
          <w:color w:val="000000" w:themeColor="text1"/>
          <w:sz w:val="26"/>
          <w:szCs w:val="26"/>
        </w:rPr>
      </w:pPr>
      <w:r w:rsidRPr="003F6924">
        <w:rPr>
          <w:rFonts w:ascii="Times New Roman" w:hAnsi="Times New Roman" w:cs="Times New Roman"/>
          <w:color w:val="000000" w:themeColor="text1"/>
          <w:sz w:val="26"/>
          <w:szCs w:val="26"/>
        </w:rPr>
        <w:t xml:space="preserve">In contrast, dynamic capabilities theory emphasizes an organization's </w:t>
      </w:r>
      <w:r w:rsidR="00EF488C">
        <w:rPr>
          <w:rFonts w:ascii="Times New Roman" w:hAnsi="Times New Roman" w:cs="Times New Roman"/>
          <w:color w:val="000000" w:themeColor="text1"/>
          <w:sz w:val="26"/>
          <w:szCs w:val="26"/>
        </w:rPr>
        <w:t>ability</w:t>
      </w:r>
      <w:r w:rsidRPr="003F6924">
        <w:rPr>
          <w:rFonts w:ascii="Times New Roman" w:hAnsi="Times New Roman" w:cs="Times New Roman"/>
          <w:color w:val="000000" w:themeColor="text1"/>
          <w:sz w:val="26"/>
          <w:szCs w:val="26"/>
        </w:rPr>
        <w:t xml:space="preserve"> to integrate, reconfigure, and adapt its resources to </w:t>
      </w:r>
      <w:r w:rsidR="00EF488C">
        <w:rPr>
          <w:rFonts w:ascii="Times New Roman" w:hAnsi="Times New Roman" w:cs="Times New Roman"/>
          <w:color w:val="000000" w:themeColor="text1"/>
          <w:sz w:val="26"/>
          <w:szCs w:val="26"/>
        </w:rPr>
        <w:t xml:space="preserve">evolving </w:t>
      </w:r>
      <w:r w:rsidRPr="003F6924">
        <w:rPr>
          <w:rFonts w:ascii="Times New Roman" w:hAnsi="Times New Roman" w:cs="Times New Roman"/>
          <w:color w:val="000000" w:themeColor="text1"/>
          <w:sz w:val="26"/>
          <w:szCs w:val="26"/>
        </w:rPr>
        <w:t>technological and market conditions.</w:t>
      </w:r>
      <w:r w:rsidR="00B543E4" w:rsidRPr="003F6924">
        <w:rPr>
          <w:rFonts w:ascii="Times New Roman" w:hAnsi="Times New Roman" w:cs="Times New Roman"/>
          <w:color w:val="000000" w:themeColor="text1"/>
          <w:sz w:val="26"/>
          <w:szCs w:val="26"/>
        </w:rPr>
        <w:t xml:space="preserve"> </w:t>
      </w:r>
      <w:r w:rsidRPr="003F6924">
        <w:rPr>
          <w:rFonts w:ascii="Times New Roman" w:hAnsi="Times New Roman" w:cs="Times New Roman"/>
          <w:color w:val="000000" w:themeColor="text1"/>
          <w:sz w:val="26"/>
          <w:szCs w:val="26"/>
        </w:rPr>
        <w:t>In the context of digital transformation, banks must respond rapidly to technological advancements, market shifts, and evolving customer behaviors to remain competitive</w:t>
      </w:r>
      <w:r w:rsidR="00B543E4" w:rsidRPr="003F6924">
        <w:rPr>
          <w:rFonts w:ascii="Times New Roman" w:hAnsi="Times New Roman" w:cs="Times New Roman"/>
          <w:color w:val="000000" w:themeColor="text1"/>
          <w:sz w:val="26"/>
          <w:szCs w:val="26"/>
        </w:rPr>
        <w:t>.</w:t>
      </w:r>
      <w:r w:rsidR="00B543E4" w:rsidRPr="003F6924">
        <w:rPr>
          <w:rFonts w:ascii="Times New Roman" w:hAnsi="Times New Roman" w:cs="Times New Roman"/>
          <w:color w:val="000000" w:themeColor="text1"/>
          <w:sz w:val="26"/>
          <w:szCs w:val="26"/>
          <w:lang w:val="en-US"/>
        </w:rPr>
        <w:t xml:space="preserve"> </w:t>
      </w:r>
      <w:r w:rsidR="00B543E4" w:rsidRPr="003F6924">
        <w:rPr>
          <w:rFonts w:ascii="Times New Roman" w:hAnsi="Times New Roman" w:cs="Times New Roman"/>
          <w:color w:val="000000" w:themeColor="text1"/>
          <w:sz w:val="26"/>
          <w:szCs w:val="26"/>
        </w:rPr>
        <w:t xml:space="preserve">The </w:t>
      </w:r>
      <w:r w:rsidR="00B543E4" w:rsidRPr="003F6924">
        <w:rPr>
          <w:rFonts w:ascii="Times New Roman" w:hAnsi="Times New Roman" w:cs="Times New Roman"/>
          <w:color w:val="000000" w:themeColor="text1"/>
          <w:sz w:val="26"/>
          <w:szCs w:val="26"/>
          <w:lang w:val="en-US"/>
        </w:rPr>
        <w:t>d</w:t>
      </w:r>
      <w:r w:rsidR="00B543E4" w:rsidRPr="003F6924">
        <w:rPr>
          <w:rFonts w:ascii="Times New Roman" w:hAnsi="Times New Roman" w:cs="Times New Roman"/>
          <w:color w:val="000000" w:themeColor="text1"/>
          <w:sz w:val="26"/>
          <w:szCs w:val="26"/>
        </w:rPr>
        <w:t xml:space="preserve">iffusion of </w:t>
      </w:r>
      <w:r w:rsidR="00B543E4" w:rsidRPr="003F6924">
        <w:rPr>
          <w:rFonts w:ascii="Times New Roman" w:hAnsi="Times New Roman" w:cs="Times New Roman"/>
          <w:color w:val="000000" w:themeColor="text1"/>
          <w:sz w:val="26"/>
          <w:szCs w:val="26"/>
          <w:lang w:val="en-US"/>
        </w:rPr>
        <w:t>i</w:t>
      </w:r>
      <w:r w:rsidR="00B543E4" w:rsidRPr="003F6924">
        <w:rPr>
          <w:rFonts w:ascii="Times New Roman" w:hAnsi="Times New Roman" w:cs="Times New Roman"/>
          <w:color w:val="000000" w:themeColor="text1"/>
          <w:sz w:val="26"/>
          <w:szCs w:val="26"/>
        </w:rPr>
        <w:t xml:space="preserve">nnovation (DOI) hypothesis explains how bank staff </w:t>
      </w:r>
      <w:r w:rsidR="00EF488C">
        <w:rPr>
          <w:rFonts w:ascii="Times New Roman" w:hAnsi="Times New Roman" w:cs="Times New Roman"/>
          <w:color w:val="000000" w:themeColor="text1"/>
          <w:sz w:val="26"/>
          <w:szCs w:val="26"/>
        </w:rPr>
        <w:t>absorb</w:t>
      </w:r>
      <w:r w:rsidR="00EF488C" w:rsidRPr="003F6924">
        <w:rPr>
          <w:rFonts w:ascii="Times New Roman" w:hAnsi="Times New Roman" w:cs="Times New Roman"/>
          <w:color w:val="000000" w:themeColor="text1"/>
          <w:sz w:val="26"/>
          <w:szCs w:val="26"/>
        </w:rPr>
        <w:t xml:space="preserve"> </w:t>
      </w:r>
      <w:r w:rsidR="00B543E4" w:rsidRPr="003F6924">
        <w:rPr>
          <w:rFonts w:ascii="Times New Roman" w:hAnsi="Times New Roman" w:cs="Times New Roman"/>
          <w:color w:val="000000" w:themeColor="text1"/>
          <w:sz w:val="26"/>
          <w:szCs w:val="26"/>
        </w:rPr>
        <w:t xml:space="preserve">and </w:t>
      </w:r>
      <w:r w:rsidR="00EF488C">
        <w:rPr>
          <w:rFonts w:ascii="Times New Roman" w:hAnsi="Times New Roman" w:cs="Times New Roman"/>
          <w:color w:val="000000" w:themeColor="text1"/>
          <w:sz w:val="26"/>
          <w:szCs w:val="26"/>
        </w:rPr>
        <w:t>diffuses</w:t>
      </w:r>
      <w:r w:rsidR="00EF488C" w:rsidRPr="003F6924">
        <w:rPr>
          <w:rFonts w:ascii="Times New Roman" w:hAnsi="Times New Roman" w:cs="Times New Roman"/>
          <w:color w:val="000000" w:themeColor="text1"/>
          <w:sz w:val="26"/>
          <w:szCs w:val="26"/>
        </w:rPr>
        <w:t xml:space="preserve"> </w:t>
      </w:r>
      <w:r w:rsidR="00B543E4" w:rsidRPr="003F6924">
        <w:rPr>
          <w:rFonts w:ascii="Times New Roman" w:hAnsi="Times New Roman" w:cs="Times New Roman"/>
          <w:color w:val="000000" w:themeColor="text1"/>
          <w:sz w:val="26"/>
          <w:szCs w:val="26"/>
        </w:rPr>
        <w:t>technologies.</w:t>
      </w:r>
      <w:r w:rsidR="00B543E4" w:rsidRPr="003F6924">
        <w:rPr>
          <w:rFonts w:ascii="Times New Roman" w:hAnsi="Times New Roman" w:cs="Times New Roman"/>
          <w:color w:val="000000" w:themeColor="text1"/>
          <w:sz w:val="26"/>
          <w:szCs w:val="26"/>
          <w:lang w:val="en-US"/>
        </w:rPr>
        <w:t xml:space="preserve"> This combination also provides a multi-dimensional perspective on digital transformation, recognizing that adoption and success depend not only on resources and technologies but also on institutional context and organizational dynamics. </w:t>
      </w:r>
    </w:p>
    <w:p w14:paraId="5BC80481" w14:textId="7777777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Second, this study advances existing research by providing a multi-level theoretical explanation of digital transformation that moves beyond simple technology adoption to encompass strategic, organizational, and capability-driven dimensions. Specifically, the integration reveals a new context-capability-outcome mechanism, where contextual enablers drive the development of </w:t>
      </w:r>
      <w:r w:rsidRPr="003F6924">
        <w:rPr>
          <w:rFonts w:ascii="Times New Roman" w:hAnsi="Times New Roman" w:cs="Times New Roman"/>
          <w:color w:val="000000" w:themeColor="text1"/>
          <w:sz w:val="26"/>
          <w:szCs w:val="26"/>
          <w:lang w:val="vi-VN"/>
        </w:rPr>
        <w:t>overall</w:t>
      </w:r>
      <w:r w:rsidRPr="003F6924">
        <w:rPr>
          <w:rFonts w:ascii="Times New Roman" w:hAnsi="Times New Roman" w:cs="Times New Roman"/>
          <w:color w:val="000000" w:themeColor="text1"/>
          <w:sz w:val="26"/>
          <w:szCs w:val="26"/>
          <w:lang w:val="en-US"/>
        </w:rPr>
        <w:t xml:space="preserve"> digital transformation capabilities, which in turn determine the level of digital transformation achieved. In other words, we reveal a sequential mechanism linking contextual determinants, digital transformation capability, and the level of digital transformation. The model shows that technological, organizational, and environmental enablers influence transformation outcomes not directly, but through the development of internal digital transformation capability. This capability acts as a conversion mechanism, transforming external pressures and resources into organizational adaptability and innovation. The sequence from determinants → capability → level explains both potential (capability building) and realized (transformation level) aspects of digital transformation. This perspective introduces a novel capability-based pathway that explains how and why contextual factors are converted into sustainable digital transformation outcomes. </w:t>
      </w:r>
    </w:p>
    <w:p w14:paraId="2361BC7B" w14:textId="399F46EC"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Third</w:t>
      </w:r>
      <w:r w:rsidRPr="003F6924">
        <w:rPr>
          <w:rFonts w:ascii="Times New Roman" w:hAnsi="Times New Roman" w:cs="Times New Roman"/>
          <w:color w:val="000000" w:themeColor="text1"/>
          <w:sz w:val="26"/>
          <w:szCs w:val="26"/>
          <w:lang w:val="vi-VN"/>
        </w:rPr>
        <w:t>, th</w:t>
      </w:r>
      <w:r w:rsidRPr="003F6924">
        <w:rPr>
          <w:rFonts w:ascii="Times New Roman" w:hAnsi="Times New Roman" w:cs="Times New Roman"/>
          <w:color w:val="000000" w:themeColor="text1"/>
          <w:sz w:val="26"/>
          <w:szCs w:val="26"/>
          <w:lang w:val="en-US"/>
        </w:rPr>
        <w:t xml:space="preserve">is study </w:t>
      </w:r>
      <w:r w:rsidRPr="003F6924">
        <w:rPr>
          <w:rFonts w:ascii="Times New Roman" w:hAnsi="Times New Roman" w:cs="Times New Roman"/>
          <w:color w:val="000000" w:themeColor="text1"/>
          <w:sz w:val="26"/>
          <w:szCs w:val="26"/>
        </w:rPr>
        <w:t xml:space="preserve">examines the </w:t>
      </w:r>
      <w:r w:rsidRPr="003F6924">
        <w:rPr>
          <w:rFonts w:ascii="Times New Roman" w:hAnsi="Times New Roman" w:cs="Times New Roman"/>
          <w:color w:val="000000" w:themeColor="text1"/>
          <w:sz w:val="26"/>
          <w:szCs w:val="26"/>
          <w:lang w:val="en-US"/>
        </w:rPr>
        <w:t xml:space="preserve">Vietnamese </w:t>
      </w:r>
      <w:r w:rsidRPr="003F6924">
        <w:rPr>
          <w:rFonts w:ascii="Times New Roman" w:hAnsi="Times New Roman" w:cs="Times New Roman"/>
          <w:color w:val="000000" w:themeColor="text1"/>
          <w:sz w:val="26"/>
          <w:szCs w:val="26"/>
        </w:rPr>
        <w:t xml:space="preserve">banking sector, </w:t>
      </w:r>
      <w:r w:rsidRPr="003F6924">
        <w:rPr>
          <w:rFonts w:ascii="Times New Roman" w:hAnsi="Times New Roman" w:cs="Times New Roman"/>
          <w:color w:val="000000" w:themeColor="text1"/>
          <w:sz w:val="26"/>
          <w:szCs w:val="26"/>
          <w:lang w:val="en-US"/>
        </w:rPr>
        <w:t xml:space="preserve">which has been underrepresented in the literature. </w:t>
      </w:r>
      <w:r w:rsidRPr="003F6924">
        <w:rPr>
          <w:rFonts w:ascii="Times New Roman" w:hAnsi="Times New Roman" w:cs="Times New Roman"/>
          <w:color w:val="000000" w:themeColor="text1"/>
          <w:sz w:val="26"/>
          <w:szCs w:val="26"/>
        </w:rPr>
        <w:t xml:space="preserve">Previous studies have predominantly focused on digital transformation in developed economies </w:t>
      </w:r>
      <w:r w:rsidRPr="003F6924">
        <w:rPr>
          <w:rFonts w:ascii="Times New Roman" w:hAnsi="Times New Roman" w:cs="Times New Roman"/>
          <w:color w:val="000000" w:themeColor="text1"/>
          <w:sz w:val="26"/>
          <w:szCs w:val="26"/>
          <w:lang w:val="vi-VN"/>
        </w:rPr>
        <w:t>or</w:t>
      </w:r>
      <w:r w:rsidRPr="003F6924">
        <w:rPr>
          <w:rFonts w:ascii="Times New Roman" w:hAnsi="Times New Roman" w:cs="Times New Roman"/>
          <w:color w:val="000000" w:themeColor="text1"/>
          <w:sz w:val="26"/>
          <w:szCs w:val="26"/>
        </w:rPr>
        <w:t xml:space="preserve"> general industrial contexts, potentially overlooking the distinct institutional, cultural, and infrastructural challenges faced by developing nations.</w:t>
      </w:r>
      <w:r w:rsidRPr="003F6924">
        <w:rPr>
          <w:rFonts w:ascii="Times New Roman" w:hAnsi="Times New Roman" w:cs="Times New Roman"/>
          <w:color w:val="000000" w:themeColor="text1"/>
          <w:sz w:val="26"/>
          <w:szCs w:val="26"/>
          <w:lang w:val="en-US"/>
        </w:rPr>
        <w:t xml:space="preserve"> Therefore, this study may expand the geographical and sectoral scope of the digital transformation field. The study </w:t>
      </w:r>
      <w:r w:rsidR="00363008" w:rsidRPr="003F6924">
        <w:rPr>
          <w:rFonts w:ascii="Times New Roman" w:hAnsi="Times New Roman" w:cs="Times New Roman"/>
          <w:color w:val="000000" w:themeColor="text1"/>
          <w:sz w:val="26"/>
          <w:szCs w:val="26"/>
          <w:lang w:val="en-US"/>
        </w:rPr>
        <w:t>provides</w:t>
      </w:r>
      <w:r w:rsidRPr="003F6924">
        <w:rPr>
          <w:rFonts w:ascii="Times New Roman" w:hAnsi="Times New Roman" w:cs="Times New Roman"/>
          <w:color w:val="000000" w:themeColor="text1"/>
          <w:sz w:val="26"/>
          <w:szCs w:val="26"/>
          <w:lang w:val="en-US"/>
        </w:rPr>
        <w:t xml:space="preserve"> empirical validation of the theoretical model in </w:t>
      </w:r>
      <w:r w:rsidR="00AE0A72">
        <w:rPr>
          <w:rFonts w:ascii="Times New Roman" w:hAnsi="Times New Roman" w:cs="Times New Roman"/>
          <w:color w:val="000000" w:themeColor="text1"/>
          <w:sz w:val="26"/>
          <w:szCs w:val="26"/>
          <w:lang w:val="en-US"/>
        </w:rPr>
        <w:t xml:space="preserve">the </w:t>
      </w:r>
      <w:r w:rsidRPr="003F6924">
        <w:rPr>
          <w:rFonts w:ascii="Times New Roman" w:hAnsi="Times New Roman" w:cs="Times New Roman"/>
          <w:color w:val="000000" w:themeColor="text1"/>
          <w:sz w:val="26"/>
          <w:szCs w:val="26"/>
          <w:lang w:val="en-US"/>
        </w:rPr>
        <w:t>emerging market</w:t>
      </w:r>
      <w:r w:rsidR="00AE0A72">
        <w:rPr>
          <w:rFonts w:ascii="Times New Roman" w:hAnsi="Times New Roman" w:cs="Times New Roman"/>
          <w:color w:val="000000" w:themeColor="text1"/>
          <w:sz w:val="26"/>
          <w:szCs w:val="26"/>
          <w:lang w:val="en-US"/>
        </w:rPr>
        <w:t xml:space="preserve"> context,</w:t>
      </w:r>
      <w:r w:rsidRPr="003F6924">
        <w:rPr>
          <w:rFonts w:ascii="Times New Roman" w:hAnsi="Times New Roman" w:cs="Times New Roman"/>
          <w:color w:val="000000" w:themeColor="text1"/>
          <w:sz w:val="26"/>
          <w:szCs w:val="26"/>
          <w:lang w:val="en-US"/>
        </w:rPr>
        <w:t xml:space="preserve"> such as Vietnam, where digital transformation </w:t>
      </w:r>
      <w:r w:rsidR="003D5415">
        <w:rPr>
          <w:rFonts w:ascii="Times New Roman" w:hAnsi="Times New Roman" w:cs="Times New Roman"/>
          <w:color w:val="000000" w:themeColor="text1"/>
          <w:sz w:val="26"/>
          <w:szCs w:val="26"/>
          <w:lang w:val="en-US"/>
        </w:rPr>
        <w:t>challenges differ</w:t>
      </w:r>
      <w:r w:rsidR="00AE0A72"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 xml:space="preserve">from </w:t>
      </w:r>
      <w:r w:rsidR="003D5415">
        <w:rPr>
          <w:rFonts w:ascii="Times New Roman" w:hAnsi="Times New Roman" w:cs="Times New Roman"/>
          <w:color w:val="000000" w:themeColor="text1"/>
          <w:sz w:val="26"/>
          <w:szCs w:val="26"/>
          <w:lang w:val="en-US"/>
        </w:rPr>
        <w:t xml:space="preserve">those in </w:t>
      </w:r>
      <w:r w:rsidRPr="003F6924">
        <w:rPr>
          <w:rFonts w:ascii="Times New Roman" w:hAnsi="Times New Roman" w:cs="Times New Roman"/>
          <w:color w:val="000000" w:themeColor="text1"/>
          <w:sz w:val="26"/>
          <w:szCs w:val="26"/>
          <w:lang w:val="en-US"/>
        </w:rPr>
        <w:t xml:space="preserve">developed </w:t>
      </w:r>
      <w:r w:rsidR="003D5415">
        <w:rPr>
          <w:rFonts w:ascii="Times New Roman" w:hAnsi="Times New Roman" w:cs="Times New Roman"/>
          <w:color w:val="000000" w:themeColor="text1"/>
          <w:sz w:val="26"/>
          <w:szCs w:val="26"/>
          <w:lang w:val="en-US"/>
        </w:rPr>
        <w:t>economies</w:t>
      </w:r>
      <w:r w:rsidRPr="003F6924">
        <w:rPr>
          <w:rFonts w:ascii="Times New Roman" w:hAnsi="Times New Roman" w:cs="Times New Roman"/>
          <w:color w:val="000000" w:themeColor="text1"/>
          <w:sz w:val="26"/>
          <w:szCs w:val="26"/>
          <w:lang w:val="en-US"/>
        </w:rPr>
        <w:t xml:space="preserve">. Additionally, it also reinforces the need for contextualized theorization in the literature. </w:t>
      </w:r>
    </w:p>
    <w:p w14:paraId="77887892" w14:textId="302BB2D3"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One of the significant contributions of </w:t>
      </w:r>
      <w:r w:rsidRPr="003F6924">
        <w:rPr>
          <w:rFonts w:ascii="Times New Roman" w:hAnsi="Times New Roman" w:cs="Times New Roman"/>
          <w:color w:val="000000" w:themeColor="text1"/>
          <w:sz w:val="26"/>
          <w:szCs w:val="26"/>
          <w:lang w:val="vi-VN"/>
        </w:rPr>
        <w:t>the</w:t>
      </w:r>
      <w:r w:rsidRPr="003F6924">
        <w:rPr>
          <w:rFonts w:ascii="Times New Roman" w:hAnsi="Times New Roman" w:cs="Times New Roman"/>
          <w:color w:val="000000" w:themeColor="text1"/>
          <w:sz w:val="26"/>
          <w:szCs w:val="26"/>
          <w:lang w:val="en-US"/>
        </w:rPr>
        <w:t xml:space="preserve"> study is the identification and prioritization of key determinants via a dual analysis between SEM and fsQCA. </w:t>
      </w:r>
      <w:r w:rsidR="00363008" w:rsidRPr="003F6924">
        <w:rPr>
          <w:rFonts w:ascii="Times New Roman" w:hAnsi="Times New Roman" w:cs="Times New Roman"/>
          <w:color w:val="000000" w:themeColor="text1"/>
          <w:sz w:val="26"/>
          <w:szCs w:val="26"/>
          <w:lang w:val="en-US"/>
        </w:rPr>
        <w:t>Accordingly, the findings underscore the critical role of factors such as technological infrastructure, leadership capability, digital transformation strategy, employee competency, and environmental pressure in enhancing banks’ digital transformation capabilities</w:t>
      </w:r>
      <w:r w:rsidRPr="003F6924">
        <w:rPr>
          <w:rFonts w:ascii="Times New Roman" w:hAnsi="Times New Roman" w:cs="Times New Roman"/>
          <w:color w:val="000000" w:themeColor="text1"/>
          <w:sz w:val="26"/>
          <w:szCs w:val="26"/>
          <w:lang w:val="en-US"/>
        </w:rPr>
        <w:t xml:space="preserve">. Previous models frequently consider these variables as equally weighted or treat them in isolation; however, this study, utilizing fsQCA, elucidates the core and peripheral factors that contribute to high digital transformation capability. The results highlight that internal capabilities (organizational readiness) matter more than external enablers (e.g., government policy), challenging some assumptions in TOE and DOI frameworks. </w:t>
      </w:r>
      <w:r w:rsidR="00C66609" w:rsidRPr="003F6924">
        <w:rPr>
          <w:rFonts w:ascii="Times New Roman" w:hAnsi="Times New Roman" w:cs="Times New Roman"/>
          <w:color w:val="000000" w:themeColor="text1"/>
          <w:sz w:val="26"/>
          <w:szCs w:val="26"/>
          <w:lang w:val="en-US"/>
        </w:rPr>
        <w:t>Notably, the fsQCA findings deepen the understanding of how digital transformation impacts organizational structures and processes by highlighting the interplay of multiple enabling factors rather than single causal relationships</w:t>
      </w:r>
      <w:r w:rsidRPr="003F6924">
        <w:rPr>
          <w:rFonts w:ascii="Times New Roman" w:hAnsi="Times New Roman" w:cs="Times New Roman"/>
          <w:color w:val="000000" w:themeColor="text1"/>
          <w:sz w:val="26"/>
          <w:szCs w:val="26"/>
          <w:lang w:val="en-US"/>
        </w:rPr>
        <w:t xml:space="preserve">. </w:t>
      </w:r>
      <w:r w:rsidR="00C66609" w:rsidRPr="003F6924">
        <w:rPr>
          <w:rFonts w:ascii="Times New Roman" w:hAnsi="Times New Roman" w:cs="Times New Roman"/>
          <w:color w:val="000000" w:themeColor="text1"/>
          <w:sz w:val="26"/>
          <w:szCs w:val="26"/>
          <w:lang w:val="en-US"/>
        </w:rPr>
        <w:t>Previous studies have often relied on linear, single-path causal models that oversimplify the complexity of real-world transformation processes</w:t>
      </w:r>
      <w:r w:rsidRPr="003F6924">
        <w:rPr>
          <w:rFonts w:ascii="Times New Roman" w:hAnsi="Times New Roman" w:cs="Times New Roman"/>
          <w:color w:val="000000" w:themeColor="text1"/>
          <w:sz w:val="26"/>
          <w:szCs w:val="26"/>
          <w:lang w:val="en-US"/>
        </w:rPr>
        <w:t xml:space="preserve">. However, the fsQCA in this study reveals multiple configurations (causal pathways) that lead to high digital transformation capability. This </w:t>
      </w:r>
      <w:r w:rsidR="00C66609" w:rsidRPr="003F6924">
        <w:rPr>
          <w:rFonts w:ascii="Times New Roman" w:hAnsi="Times New Roman" w:cs="Times New Roman"/>
          <w:color w:val="000000" w:themeColor="text1"/>
          <w:sz w:val="26"/>
          <w:szCs w:val="26"/>
          <w:lang w:val="en-US"/>
        </w:rPr>
        <w:t xml:space="preserve">finding </w:t>
      </w:r>
      <w:r w:rsidRPr="003F6924">
        <w:rPr>
          <w:rFonts w:ascii="Times New Roman" w:hAnsi="Times New Roman" w:cs="Times New Roman"/>
          <w:color w:val="000000" w:themeColor="text1"/>
          <w:sz w:val="26"/>
          <w:szCs w:val="26"/>
          <w:lang w:val="en-US"/>
        </w:rPr>
        <w:t>validates the concept of equifinality, which supports that multiple combinations of conditions (configurations 1, 2, 3) can lead to the same successful outcome. Meanwhile, the findings also emphasize a causal asymmetry: the presence of a factor (e.g., leadership) may enable digital transformation in one configuration but be irrelevant in another. In other words, the present investigation is one of the few studies enriching theoretical modeling by aligning with complex systems theory and configuration theory.</w:t>
      </w:r>
    </w:p>
    <w:p w14:paraId="49867A97" w14:textId="270AFC7E"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 xml:space="preserve">Notably, our study reveals the negative association between risk management and digital transformation capability in banks. The result illustrates the phenomenon of the risk-innovation paradox. Prior literature </w:t>
      </w:r>
      <w:r w:rsidR="00C66609" w:rsidRPr="003F6924">
        <w:rPr>
          <w:rFonts w:ascii="Times New Roman" w:hAnsi="Times New Roman" w:cs="Times New Roman"/>
          <w:color w:val="000000" w:themeColor="text1"/>
          <w:sz w:val="26"/>
          <w:szCs w:val="26"/>
          <w:lang w:val="en-US"/>
        </w:rPr>
        <w:t xml:space="preserve">has typically framed </w:t>
      </w:r>
      <w:r w:rsidRPr="003F6924">
        <w:rPr>
          <w:rFonts w:ascii="Times New Roman" w:hAnsi="Times New Roman" w:cs="Times New Roman"/>
          <w:color w:val="000000" w:themeColor="text1"/>
          <w:sz w:val="26"/>
          <w:szCs w:val="26"/>
          <w:lang w:val="en-US"/>
        </w:rPr>
        <w:t xml:space="preserve">risk management as a governance mechanism that </w:t>
      </w:r>
      <w:r w:rsidR="00C66609" w:rsidRPr="003F6924">
        <w:rPr>
          <w:rFonts w:ascii="Times New Roman" w:hAnsi="Times New Roman" w:cs="Times New Roman"/>
          <w:color w:val="000000" w:themeColor="text1"/>
          <w:sz w:val="26"/>
          <w:szCs w:val="26"/>
          <w:lang w:val="en-US"/>
        </w:rPr>
        <w:t>mitigates</w:t>
      </w:r>
      <w:r w:rsidRPr="003F6924">
        <w:rPr>
          <w:rFonts w:ascii="Times New Roman" w:hAnsi="Times New Roman" w:cs="Times New Roman"/>
          <w:color w:val="000000" w:themeColor="text1"/>
          <w:sz w:val="26"/>
          <w:szCs w:val="26"/>
          <w:lang w:val="en-US"/>
        </w:rPr>
        <w:t xml:space="preserve"> uncertainty and </w:t>
      </w:r>
      <w:r w:rsidR="00C66609" w:rsidRPr="003F6924">
        <w:rPr>
          <w:rFonts w:ascii="Times New Roman" w:hAnsi="Times New Roman" w:cs="Times New Roman"/>
          <w:color w:val="000000" w:themeColor="text1"/>
          <w:sz w:val="26"/>
          <w:szCs w:val="26"/>
          <w:lang w:val="en-US"/>
        </w:rPr>
        <w:t>facilitates</w:t>
      </w:r>
      <w:r w:rsidRPr="003F6924">
        <w:rPr>
          <w:rFonts w:ascii="Times New Roman" w:hAnsi="Times New Roman" w:cs="Times New Roman"/>
          <w:color w:val="000000" w:themeColor="text1"/>
          <w:sz w:val="26"/>
          <w:szCs w:val="26"/>
          <w:lang w:val="en-US"/>
        </w:rPr>
        <w:t xml:space="preserve"> digital initiatives (e.g., Boehm et al., 2021; </w:t>
      </w:r>
      <w:r w:rsidR="00EB4C09" w:rsidRPr="003F6924">
        <w:rPr>
          <w:rFonts w:ascii="Times New Roman" w:hAnsi="Times New Roman" w:cs="Times New Roman"/>
          <w:color w:val="000000" w:themeColor="text1"/>
          <w:sz w:val="26"/>
          <w:szCs w:val="26"/>
          <w:lang w:val="en-US"/>
        </w:rPr>
        <w:t xml:space="preserve">T. M. H. </w:t>
      </w:r>
      <w:r w:rsidRPr="003F6924">
        <w:rPr>
          <w:rFonts w:ascii="Times New Roman" w:hAnsi="Times New Roman" w:cs="Times New Roman"/>
          <w:color w:val="000000" w:themeColor="text1"/>
          <w:sz w:val="26"/>
          <w:szCs w:val="26"/>
          <w:lang w:val="en-US"/>
        </w:rPr>
        <w:t xml:space="preserve">Nguyen </w:t>
      </w:r>
      <w:r w:rsidR="009917CB" w:rsidRPr="003F6924">
        <w:rPr>
          <w:rFonts w:ascii="Times New Roman" w:hAnsi="Times New Roman" w:cs="Times New Roman"/>
          <w:color w:val="000000" w:themeColor="text1"/>
          <w:sz w:val="26"/>
          <w:szCs w:val="26"/>
          <w:lang w:val="vi-VN"/>
        </w:rPr>
        <w:t>&amp;</w:t>
      </w:r>
      <w:r w:rsidRPr="003F6924">
        <w:rPr>
          <w:rFonts w:ascii="Times New Roman" w:hAnsi="Times New Roman" w:cs="Times New Roman"/>
          <w:color w:val="000000" w:themeColor="text1"/>
          <w:sz w:val="26"/>
          <w:szCs w:val="26"/>
          <w:lang w:val="en-US"/>
        </w:rPr>
        <w:t xml:space="preserve"> Bui, 2021). </w:t>
      </w:r>
      <w:r w:rsidR="00C66609" w:rsidRPr="003F6924">
        <w:rPr>
          <w:rFonts w:ascii="Times New Roman" w:hAnsi="Times New Roman" w:cs="Times New Roman"/>
          <w:color w:val="000000" w:themeColor="text1"/>
          <w:sz w:val="26"/>
          <w:szCs w:val="26"/>
          <w:lang w:val="en-US"/>
        </w:rPr>
        <w:t>However, the present findings reveal that in the banking sector, overly conservative or rigid risk management frameworks can inadvertently hinder the development of digital transformation capabilities by constraining flexibility and responsiveness</w:t>
      </w:r>
      <w:r w:rsidRPr="003F6924">
        <w:rPr>
          <w:rFonts w:ascii="Times New Roman" w:hAnsi="Times New Roman" w:cs="Times New Roman"/>
          <w:color w:val="000000" w:themeColor="text1"/>
          <w:sz w:val="26"/>
          <w:szCs w:val="26"/>
          <w:lang w:val="en-US"/>
        </w:rPr>
        <w:t xml:space="preserve">. From a dynamic capabilities perspective, this paradox underscores the dual function of risk management. Accordingly, it protects organizations against technology and market uncertainty while potentially inducing organizational inertia that hinders innovation. In the banking sector, this paradox is especially pronounced, as banks operate under stringent regulatory and compliance frameworks. By contrast, digital initiatives often introduce data, cybersecurity, and operational risks, which trigger additional controls and oversight. Therefore, risk management in banking tends to be rule-bound and hierarchical, creating organizational inertia that slows or constrains capability-building. </w:t>
      </w:r>
      <w:r w:rsidR="00C66609" w:rsidRPr="003F6924">
        <w:rPr>
          <w:rFonts w:ascii="Times New Roman" w:hAnsi="Times New Roman" w:cs="Times New Roman"/>
          <w:color w:val="000000" w:themeColor="text1"/>
          <w:sz w:val="26"/>
          <w:szCs w:val="26"/>
          <w:lang w:val="en-US"/>
        </w:rPr>
        <w:t>In other words, although risk management enhances stability and reputation assurance, it may simultaneously limit the agility and adaptability required for rapid and continuous digital transformation</w:t>
      </w:r>
      <w:r w:rsidRPr="003F6924">
        <w:rPr>
          <w:rFonts w:ascii="Times New Roman" w:hAnsi="Times New Roman" w:cs="Times New Roman"/>
          <w:color w:val="000000" w:themeColor="text1"/>
          <w:sz w:val="26"/>
          <w:szCs w:val="26"/>
          <w:lang w:val="en-US"/>
        </w:rPr>
        <w:t xml:space="preserve">. This finding enriches the digital transformation and risk management literature by revealing that the effectiveness of risk governance is contingent on striking a balance between control and flexibility, extending the risk–innovation paradox into the capability-building domain of digital transformation. </w:t>
      </w:r>
    </w:p>
    <w:p w14:paraId="4719CEF1" w14:textId="77777777" w:rsidR="000A240D" w:rsidRPr="003F6924" w:rsidRDefault="000A240D"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p>
    <w:p w14:paraId="4424D675" w14:textId="275D7267" w:rsidR="00EF6E62" w:rsidRPr="003F6924" w:rsidRDefault="00B543E4" w:rsidP="000A240D">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Practical </w:t>
      </w:r>
      <w:r w:rsidR="00D91D58" w:rsidRPr="003F6924">
        <w:rPr>
          <w:rFonts w:ascii="Times New Roman" w:hAnsi="Times New Roman" w:cs="Times New Roman"/>
          <w:b/>
          <w:bCs/>
          <w:color w:val="000000" w:themeColor="text1"/>
          <w:sz w:val="26"/>
          <w:szCs w:val="26"/>
          <w:lang w:val="en-US"/>
        </w:rPr>
        <w:t xml:space="preserve">Implications </w:t>
      </w:r>
    </w:p>
    <w:p w14:paraId="5444175A" w14:textId="7777777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rPr>
      </w:pPr>
      <w:r w:rsidRPr="003F6924">
        <w:rPr>
          <w:rFonts w:ascii="Times New Roman" w:hAnsi="Times New Roman" w:cs="Times New Roman"/>
          <w:color w:val="000000" w:themeColor="text1"/>
          <w:sz w:val="26"/>
          <w:szCs w:val="26"/>
          <w:lang w:val="en-GB"/>
        </w:rPr>
        <w:t>Practically, our study also presents significance for banking managers and decision-makers aiming to successfully implement digital transformation initiatives, particularly in developing country contexts such as Vietnam</w:t>
      </w:r>
      <w:r w:rsidRPr="003F6924">
        <w:rPr>
          <w:rFonts w:ascii="Times New Roman" w:hAnsi="Times New Roman" w:cs="Times New Roman"/>
          <w:color w:val="000000" w:themeColor="text1"/>
          <w:sz w:val="26"/>
          <w:szCs w:val="26"/>
          <w:lang w:val="vi-VN"/>
        </w:rPr>
        <w:t xml:space="preserve">. First, </w:t>
      </w:r>
      <w:r w:rsidRPr="003F6924">
        <w:rPr>
          <w:rFonts w:ascii="Times New Roman" w:hAnsi="Times New Roman" w:cs="Times New Roman"/>
          <w:color w:val="000000" w:themeColor="text1"/>
          <w:sz w:val="26"/>
          <w:szCs w:val="26"/>
          <w:lang w:val="en-US"/>
        </w:rPr>
        <w:t>t</w:t>
      </w:r>
      <w:r w:rsidRPr="003F6924">
        <w:rPr>
          <w:rFonts w:ascii="Times New Roman" w:hAnsi="Times New Roman" w:cs="Times New Roman"/>
          <w:color w:val="000000" w:themeColor="text1"/>
          <w:sz w:val="26"/>
          <w:szCs w:val="26"/>
        </w:rPr>
        <w:t xml:space="preserve">he findings highlight the essential need </w:t>
      </w:r>
      <w:r w:rsidR="00C66609" w:rsidRPr="003F6924">
        <w:rPr>
          <w:rFonts w:ascii="Times New Roman" w:hAnsi="Times New Roman" w:cs="Times New Roman"/>
          <w:color w:val="000000" w:themeColor="text1"/>
          <w:sz w:val="26"/>
          <w:szCs w:val="26"/>
        </w:rPr>
        <w:t>for</w:t>
      </w:r>
      <w:r w:rsidRPr="003F6924">
        <w:rPr>
          <w:rFonts w:ascii="Times New Roman" w:hAnsi="Times New Roman" w:cs="Times New Roman"/>
          <w:color w:val="000000" w:themeColor="text1"/>
          <w:sz w:val="26"/>
          <w:szCs w:val="26"/>
        </w:rPr>
        <w:t xml:space="preserve"> a strong technological infrastructure. The bank</w:t>
      </w:r>
      <w:r w:rsidRPr="003F6924">
        <w:rPr>
          <w:rFonts w:ascii="Times New Roman" w:hAnsi="Times New Roman" w:cs="Times New Roman"/>
          <w:color w:val="000000" w:themeColor="text1"/>
          <w:sz w:val="26"/>
          <w:szCs w:val="26"/>
          <w:lang w:val="en-US"/>
        </w:rPr>
        <w:t>’s</w:t>
      </w:r>
      <w:r w:rsidRPr="003F6924">
        <w:rPr>
          <w:rFonts w:ascii="Times New Roman" w:hAnsi="Times New Roman" w:cs="Times New Roman"/>
          <w:color w:val="000000" w:themeColor="text1"/>
          <w:sz w:val="26"/>
          <w:szCs w:val="26"/>
        </w:rPr>
        <w:t xml:space="preserve"> technological platform proved to be the most significant determinant in influencing digital transformation capability (DTC). </w:t>
      </w:r>
      <w:r w:rsidR="00C66609" w:rsidRPr="003F6924">
        <w:rPr>
          <w:rFonts w:ascii="Times New Roman" w:hAnsi="Times New Roman" w:cs="Times New Roman"/>
          <w:color w:val="000000" w:themeColor="text1"/>
          <w:sz w:val="26"/>
          <w:szCs w:val="26"/>
        </w:rPr>
        <w:t>These results indicate that banks should prioritize the development of scalable, secure, and integrated IT infrastructures—encompassing mobile and internet banking platforms, cloud-based systems, and advanced internal data-sharing architectures—to support sustainable digital transformation</w:t>
      </w:r>
      <w:r w:rsidRPr="003F6924">
        <w:rPr>
          <w:rFonts w:ascii="Times New Roman" w:hAnsi="Times New Roman" w:cs="Times New Roman"/>
          <w:color w:val="000000" w:themeColor="text1"/>
          <w:sz w:val="26"/>
          <w:szCs w:val="26"/>
        </w:rPr>
        <w:t>. In the absence of a robust technology base, other transformation initiatives may be ineffectual or unsustainable.</w:t>
      </w:r>
    </w:p>
    <w:p w14:paraId="5340B129" w14:textId="4663FFD6"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Second</w:t>
      </w:r>
      <w:r w:rsidRPr="003F6924">
        <w:rPr>
          <w:rFonts w:ascii="Times New Roman" w:hAnsi="Times New Roman" w:cs="Times New Roman"/>
          <w:color w:val="000000" w:themeColor="text1"/>
          <w:sz w:val="26"/>
          <w:szCs w:val="26"/>
        </w:rPr>
        <w:t>, leadership skill</w:t>
      </w:r>
      <w:r w:rsidR="00C66609" w:rsidRPr="003F6924">
        <w:rPr>
          <w:rFonts w:ascii="Times New Roman" w:hAnsi="Times New Roman" w:cs="Times New Roman"/>
          <w:color w:val="000000" w:themeColor="text1"/>
          <w:sz w:val="26"/>
          <w:szCs w:val="26"/>
        </w:rPr>
        <w:t>s</w:t>
      </w:r>
      <w:r w:rsidRPr="003F6924">
        <w:rPr>
          <w:rFonts w:ascii="Times New Roman" w:hAnsi="Times New Roman" w:cs="Times New Roman"/>
          <w:color w:val="000000" w:themeColor="text1"/>
          <w:sz w:val="26"/>
          <w:szCs w:val="26"/>
        </w:rPr>
        <w:t xml:space="preserve"> and digital transformation strategy demonstrated a substantial beneficial impact on DTC. </w:t>
      </w:r>
      <w:r w:rsidR="00C66609" w:rsidRPr="003F6924">
        <w:rPr>
          <w:rFonts w:ascii="Times New Roman" w:hAnsi="Times New Roman" w:cs="Times New Roman"/>
          <w:color w:val="000000" w:themeColor="text1"/>
          <w:sz w:val="26"/>
          <w:szCs w:val="26"/>
        </w:rPr>
        <w:t xml:space="preserve">This finding emphasizes the vital function of top management, which must go beyond mere endorsement to lead actively, support, and resource digital transformation initiatives across the organization. </w:t>
      </w:r>
      <w:r w:rsidR="008F170F" w:rsidRPr="003F6924">
        <w:rPr>
          <w:rFonts w:ascii="Times New Roman" w:hAnsi="Times New Roman" w:cs="Times New Roman"/>
          <w:color w:val="000000" w:themeColor="text1"/>
          <w:sz w:val="26"/>
          <w:szCs w:val="26"/>
        </w:rPr>
        <w:t xml:space="preserve">Leaders should articulate a coherent digital vision, foster an adaptive and </w:t>
      </w:r>
      <w:r w:rsidR="008F170F" w:rsidRPr="003F6924">
        <w:rPr>
          <w:rFonts w:ascii="Times New Roman" w:hAnsi="Times New Roman" w:cs="Times New Roman"/>
          <w:color w:val="000000" w:themeColor="text1"/>
          <w:sz w:val="26"/>
          <w:szCs w:val="26"/>
          <w:lang w:val="vi-VN"/>
        </w:rPr>
        <w:t>innovation</w:t>
      </w:r>
      <w:r w:rsidR="008F170F" w:rsidRPr="003F6924">
        <w:rPr>
          <w:rFonts w:ascii="Times New Roman" w:hAnsi="Times New Roman" w:cs="Times New Roman"/>
          <w:color w:val="000000" w:themeColor="text1"/>
          <w:sz w:val="26"/>
          <w:szCs w:val="26"/>
        </w:rPr>
        <w:t>-oriented organizational culture, and embed transformation goals within the firm’s overall strategic agenda</w:t>
      </w:r>
      <w:r w:rsidRPr="003F6924">
        <w:rPr>
          <w:rFonts w:ascii="Times New Roman" w:hAnsi="Times New Roman" w:cs="Times New Roman"/>
          <w:color w:val="000000" w:themeColor="text1"/>
          <w:sz w:val="26"/>
          <w:szCs w:val="26"/>
        </w:rPr>
        <w:t xml:space="preserve">. Creating a specialized digital transformation unit or task force </w:t>
      </w:r>
      <w:r w:rsidRPr="003F6924">
        <w:rPr>
          <w:rFonts w:ascii="Times New Roman" w:hAnsi="Times New Roman" w:cs="Times New Roman"/>
          <w:color w:val="000000" w:themeColor="text1"/>
          <w:sz w:val="26"/>
          <w:szCs w:val="26"/>
          <w:lang w:val="en-US"/>
        </w:rPr>
        <w:t>supports</w:t>
      </w:r>
      <w:r w:rsidRPr="003F6924">
        <w:rPr>
          <w:rFonts w:ascii="Times New Roman" w:hAnsi="Times New Roman" w:cs="Times New Roman"/>
          <w:color w:val="000000" w:themeColor="text1"/>
          <w:sz w:val="26"/>
          <w:szCs w:val="26"/>
        </w:rPr>
        <w:t xml:space="preserve"> enhanc</w:t>
      </w:r>
      <w:r w:rsidR="008F170F" w:rsidRPr="003F6924">
        <w:rPr>
          <w:rFonts w:ascii="Times New Roman" w:hAnsi="Times New Roman" w:cs="Times New Roman"/>
          <w:color w:val="000000" w:themeColor="text1"/>
          <w:sz w:val="26"/>
          <w:szCs w:val="26"/>
        </w:rPr>
        <w:t>ing</w:t>
      </w:r>
      <w:r w:rsidRPr="003F6924">
        <w:rPr>
          <w:rFonts w:ascii="Times New Roman" w:hAnsi="Times New Roman" w:cs="Times New Roman"/>
          <w:color w:val="000000" w:themeColor="text1"/>
          <w:sz w:val="26"/>
          <w:szCs w:val="26"/>
        </w:rPr>
        <w:t xml:space="preserve"> coordinated and targeted implementation.</w:t>
      </w:r>
      <w:r w:rsidRPr="003F6924">
        <w:rPr>
          <w:rFonts w:ascii="Times New Roman" w:hAnsi="Times New Roman" w:cs="Times New Roman"/>
          <w:color w:val="000000" w:themeColor="text1"/>
          <w:sz w:val="26"/>
          <w:szCs w:val="26"/>
          <w:lang w:val="en-US"/>
        </w:rPr>
        <w:t xml:space="preserve"> Additionally, t</w:t>
      </w:r>
      <w:r w:rsidRPr="003F6924">
        <w:rPr>
          <w:rFonts w:ascii="Times New Roman" w:hAnsi="Times New Roman" w:cs="Times New Roman"/>
          <w:color w:val="000000" w:themeColor="text1"/>
          <w:sz w:val="26"/>
          <w:szCs w:val="26"/>
        </w:rPr>
        <w:t>he study highlighted the significance of staff proficiency and understanding. Employees' preparedness for digital competencies and receptiveness to technological change are crucial to improving transformation capabilities. Banks should invest in ongoing training, upskilling initiatives, and change management techniques to guarantee their personnel can proficiently utilize and adapt to new digital tools.</w:t>
      </w:r>
      <w:r w:rsidRPr="003F6924">
        <w:rPr>
          <w:rFonts w:ascii="Times New Roman" w:hAnsi="Times New Roman" w:cs="Times New Roman"/>
          <w:color w:val="000000" w:themeColor="text1"/>
          <w:sz w:val="26"/>
          <w:szCs w:val="26"/>
          <w:lang w:val="en-US"/>
        </w:rPr>
        <w:t xml:space="preserve"> </w:t>
      </w:r>
      <w:r w:rsidR="008F170F" w:rsidRPr="003F6924">
        <w:rPr>
          <w:rFonts w:ascii="Times New Roman" w:hAnsi="Times New Roman" w:cs="Times New Roman"/>
          <w:color w:val="000000" w:themeColor="text1"/>
          <w:sz w:val="26"/>
          <w:szCs w:val="26"/>
        </w:rPr>
        <w:t>Furthermore, the study finds that pressure for digital transformation – stemming from both internal competitiveness and external environmental demands – acts as a catalyst for change, exerting a positive influence on digital transformation capability</w:t>
      </w:r>
      <w:r w:rsidRPr="003F6924">
        <w:rPr>
          <w:rFonts w:ascii="Times New Roman" w:hAnsi="Times New Roman" w:cs="Times New Roman"/>
          <w:color w:val="000000" w:themeColor="text1"/>
          <w:sz w:val="26"/>
          <w:szCs w:val="26"/>
        </w:rPr>
        <w:t xml:space="preserve">. </w:t>
      </w:r>
      <w:r w:rsidR="008F170F" w:rsidRPr="003F6924">
        <w:rPr>
          <w:rFonts w:ascii="Times New Roman" w:hAnsi="Times New Roman" w:cs="Times New Roman"/>
          <w:color w:val="000000" w:themeColor="text1"/>
          <w:sz w:val="26"/>
          <w:szCs w:val="26"/>
        </w:rPr>
        <w:t>Banks should proactively monitor market dynamics and leverage competitive pressures to drive continuous innovation, rather than waiting to respond reactively to crises</w:t>
      </w:r>
      <w:r w:rsidRPr="003F6924">
        <w:rPr>
          <w:rFonts w:ascii="Times New Roman" w:hAnsi="Times New Roman" w:cs="Times New Roman"/>
          <w:color w:val="000000" w:themeColor="text1"/>
          <w:sz w:val="26"/>
          <w:szCs w:val="26"/>
        </w:rPr>
        <w:t>.</w:t>
      </w:r>
    </w:p>
    <w:p w14:paraId="73D94716" w14:textId="24B14FD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rPr>
      </w:pPr>
      <w:r w:rsidRPr="003F6924">
        <w:rPr>
          <w:rFonts w:ascii="Times New Roman" w:hAnsi="Times New Roman" w:cs="Times New Roman"/>
          <w:color w:val="000000" w:themeColor="text1"/>
          <w:sz w:val="26"/>
          <w:szCs w:val="26"/>
        </w:rPr>
        <w:t xml:space="preserve">In contrast, the study revealed that conventional risk management techniques </w:t>
      </w:r>
      <w:r w:rsidR="008F170F" w:rsidRPr="003F6924">
        <w:rPr>
          <w:rFonts w:ascii="Times New Roman" w:hAnsi="Times New Roman" w:cs="Times New Roman"/>
          <w:color w:val="000000" w:themeColor="text1"/>
          <w:sz w:val="26"/>
          <w:szCs w:val="26"/>
        </w:rPr>
        <w:t xml:space="preserve">had an </w:t>
      </w:r>
      <w:r w:rsidRPr="003F6924">
        <w:rPr>
          <w:rFonts w:ascii="Times New Roman" w:hAnsi="Times New Roman" w:cs="Times New Roman"/>
          <w:color w:val="000000" w:themeColor="text1"/>
          <w:sz w:val="26"/>
          <w:szCs w:val="26"/>
        </w:rPr>
        <w:t xml:space="preserve">adverse </w:t>
      </w:r>
      <w:r w:rsidR="008F170F" w:rsidRPr="003F6924">
        <w:rPr>
          <w:rFonts w:ascii="Times New Roman" w:hAnsi="Times New Roman" w:cs="Times New Roman"/>
          <w:color w:val="000000" w:themeColor="text1"/>
          <w:sz w:val="26"/>
          <w:szCs w:val="26"/>
        </w:rPr>
        <w:t>impact on</w:t>
      </w:r>
      <w:r w:rsidRPr="003F6924">
        <w:rPr>
          <w:rFonts w:ascii="Times New Roman" w:hAnsi="Times New Roman" w:cs="Times New Roman"/>
          <w:color w:val="000000" w:themeColor="text1"/>
          <w:sz w:val="26"/>
          <w:szCs w:val="26"/>
        </w:rPr>
        <w:t xml:space="preserve"> digital transformation capabilities. </w:t>
      </w:r>
      <w:r w:rsidR="008F170F" w:rsidRPr="003F6924">
        <w:rPr>
          <w:rFonts w:ascii="Times New Roman" w:hAnsi="Times New Roman" w:cs="Times New Roman"/>
          <w:color w:val="000000" w:themeColor="text1"/>
          <w:sz w:val="26"/>
          <w:szCs w:val="26"/>
        </w:rPr>
        <w:t>These findings indicate that overly conservative risk control mechanisms may inadvertently hinder innovation by creating rigid frameworks that resist organizational change</w:t>
      </w:r>
      <w:r w:rsidRPr="003F6924">
        <w:rPr>
          <w:rFonts w:ascii="Times New Roman" w:hAnsi="Times New Roman" w:cs="Times New Roman"/>
          <w:color w:val="000000" w:themeColor="text1"/>
          <w:sz w:val="26"/>
          <w:szCs w:val="26"/>
        </w:rPr>
        <w:t xml:space="preserve">. Financial institutions must enhance their risk management frameworks to be more adaptable and conducive to agile digital activities. </w:t>
      </w:r>
      <w:r w:rsidR="008F170F" w:rsidRPr="003F6924">
        <w:rPr>
          <w:rFonts w:ascii="Times New Roman" w:hAnsi="Times New Roman" w:cs="Times New Roman"/>
          <w:color w:val="000000" w:themeColor="text1"/>
          <w:sz w:val="26"/>
          <w:szCs w:val="26"/>
        </w:rPr>
        <w:t xml:space="preserve">To mitigate this effect, </w:t>
      </w:r>
      <w:r w:rsidR="008F170F" w:rsidRPr="003F6924">
        <w:rPr>
          <w:rFonts w:ascii="Times New Roman" w:hAnsi="Times New Roman" w:cs="Times New Roman"/>
          <w:color w:val="000000" w:themeColor="text1"/>
          <w:sz w:val="26"/>
          <w:szCs w:val="26"/>
          <w:lang w:val="vi-VN"/>
        </w:rPr>
        <w:t>organizations</w:t>
      </w:r>
      <w:r w:rsidR="008F170F" w:rsidRPr="003F6924">
        <w:rPr>
          <w:rFonts w:ascii="Times New Roman" w:hAnsi="Times New Roman" w:cs="Times New Roman"/>
          <w:color w:val="000000" w:themeColor="text1"/>
          <w:sz w:val="26"/>
          <w:szCs w:val="26"/>
        </w:rPr>
        <w:t xml:space="preserve"> should engage risk management teams early in the digital transformation process to align innovation efforts with regulatory and operational standards, thereby balancing compliance with agility</w:t>
      </w:r>
      <w:r w:rsidRPr="003F6924">
        <w:rPr>
          <w:rFonts w:ascii="Times New Roman" w:hAnsi="Times New Roman" w:cs="Times New Roman"/>
          <w:color w:val="000000" w:themeColor="text1"/>
          <w:sz w:val="26"/>
          <w:szCs w:val="26"/>
        </w:rPr>
        <w:t>.</w:t>
      </w:r>
      <w:r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rPr>
        <w:t>Notably, financial competence and government support</w:t>
      </w:r>
      <w:r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rPr>
        <w:t xml:space="preserve">did not have a substantial impact on DTC in this scenario. This </w:t>
      </w:r>
      <w:r w:rsidR="008F170F" w:rsidRPr="003F6924">
        <w:rPr>
          <w:rFonts w:ascii="Times New Roman" w:hAnsi="Times New Roman" w:cs="Times New Roman"/>
          <w:color w:val="000000" w:themeColor="text1"/>
          <w:sz w:val="26"/>
          <w:szCs w:val="26"/>
        </w:rPr>
        <w:t xml:space="preserve">finding </w:t>
      </w:r>
      <w:r w:rsidRPr="003F6924">
        <w:rPr>
          <w:rFonts w:ascii="Times New Roman" w:hAnsi="Times New Roman" w:cs="Times New Roman"/>
          <w:color w:val="000000" w:themeColor="text1"/>
          <w:sz w:val="26"/>
          <w:szCs w:val="26"/>
        </w:rPr>
        <w:t>suggests that mere access to cash or supporting legislation is inadequate; rather, strategic resource allocation and organizational preparedness are the determinants of success. Organizational culture was not identified as a key facilitator unless accompanied by tangible leadership and technical investments, indicating that abstract cultural ideals must be converted into practical behaviors and processes.</w:t>
      </w:r>
    </w:p>
    <w:p w14:paraId="718904FC" w14:textId="77777777" w:rsidR="00EF6E62"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t>Interestingly, t</w:t>
      </w:r>
      <w:r w:rsidRPr="003F6924">
        <w:rPr>
          <w:rFonts w:ascii="Times New Roman" w:hAnsi="Times New Roman" w:cs="Times New Roman"/>
          <w:color w:val="000000" w:themeColor="text1"/>
          <w:sz w:val="26"/>
          <w:szCs w:val="26"/>
        </w:rPr>
        <w:t>he application of fsQCA show</w:t>
      </w:r>
      <w:r w:rsidR="008F170F" w:rsidRPr="003F6924">
        <w:rPr>
          <w:rFonts w:ascii="Times New Roman" w:hAnsi="Times New Roman" w:cs="Times New Roman"/>
          <w:color w:val="000000" w:themeColor="text1"/>
          <w:sz w:val="26"/>
          <w:szCs w:val="26"/>
        </w:rPr>
        <w:t>s</w:t>
      </w:r>
      <w:r w:rsidRPr="003F6924">
        <w:rPr>
          <w:rFonts w:ascii="Times New Roman" w:hAnsi="Times New Roman" w:cs="Times New Roman"/>
          <w:color w:val="000000" w:themeColor="text1"/>
          <w:sz w:val="26"/>
          <w:szCs w:val="26"/>
        </w:rPr>
        <w:t xml:space="preserve"> that several effective configurations or pathways exist for attaining high digital transformation capabilities. This </w:t>
      </w:r>
      <w:r w:rsidR="008F170F" w:rsidRPr="003F6924">
        <w:rPr>
          <w:rFonts w:ascii="Times New Roman" w:hAnsi="Times New Roman" w:cs="Times New Roman"/>
          <w:color w:val="000000" w:themeColor="text1"/>
          <w:sz w:val="26"/>
          <w:szCs w:val="26"/>
        </w:rPr>
        <w:t xml:space="preserve">result </w:t>
      </w:r>
      <w:r w:rsidRPr="003F6924">
        <w:rPr>
          <w:rFonts w:ascii="Times New Roman" w:hAnsi="Times New Roman" w:cs="Times New Roman"/>
          <w:color w:val="000000" w:themeColor="text1"/>
          <w:sz w:val="26"/>
          <w:szCs w:val="26"/>
        </w:rPr>
        <w:t>underscores the notion that banks are not required to adhere to a uniform model. They should evaluate their own strengths</w:t>
      </w:r>
      <w:r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rPr>
        <w:t>whether in leadership, technology, or human resources</w:t>
      </w:r>
      <w:r w:rsidR="008F170F" w:rsidRPr="003F6924">
        <w:rPr>
          <w:rFonts w:ascii="Times New Roman" w:hAnsi="Times New Roman" w:cs="Times New Roman"/>
          <w:color w:val="000000" w:themeColor="text1"/>
          <w:sz w:val="26"/>
          <w:szCs w:val="26"/>
        </w:rPr>
        <w:t>,</w:t>
      </w:r>
      <w:r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rPr>
        <w:t>and pursue a tailored transformation approach that best fits their context.</w:t>
      </w:r>
      <w:r w:rsidRPr="003F6924">
        <w:rPr>
          <w:rFonts w:ascii="Times New Roman" w:hAnsi="Times New Roman" w:cs="Times New Roman"/>
          <w:color w:val="000000" w:themeColor="text1"/>
          <w:sz w:val="26"/>
          <w:szCs w:val="26"/>
          <w:lang w:val="en-US"/>
        </w:rPr>
        <w:t xml:space="preserve"> </w:t>
      </w:r>
      <w:r w:rsidR="008F170F" w:rsidRPr="003F6924">
        <w:rPr>
          <w:rFonts w:ascii="Times New Roman" w:hAnsi="Times New Roman" w:cs="Times New Roman"/>
          <w:color w:val="000000" w:themeColor="text1"/>
          <w:sz w:val="26"/>
          <w:szCs w:val="26"/>
          <w:lang w:val="en-US"/>
        </w:rPr>
        <w:t>Overall, this study underscores that successful digital transformation in the banking sector depends on the strategic alignment of technological infrastructure, visionary leadership, employee competencies, and adaptive risk management. At the same time, it acknowledges that the optimal transformation strategy may differ across institutions, depending on their organizational culture, resource endowments, and regulatory contexts</w:t>
      </w:r>
      <w:r w:rsidRPr="003F6924">
        <w:rPr>
          <w:rFonts w:ascii="Times New Roman" w:hAnsi="Times New Roman" w:cs="Times New Roman"/>
          <w:color w:val="000000" w:themeColor="text1"/>
          <w:sz w:val="26"/>
          <w:szCs w:val="26"/>
          <w:lang w:val="en-US"/>
        </w:rPr>
        <w:t>.</w:t>
      </w:r>
    </w:p>
    <w:p w14:paraId="30912A43" w14:textId="77777777" w:rsidR="000A240D" w:rsidRPr="003F6924" w:rsidRDefault="000A240D" w:rsidP="000A240D">
      <w:pPr>
        <w:snapToGrid w:val="0"/>
        <w:spacing w:after="0" w:line="300" w:lineRule="auto"/>
        <w:jc w:val="both"/>
        <w:rPr>
          <w:rFonts w:ascii="Times New Roman" w:hAnsi="Times New Roman" w:cs="Times New Roman"/>
          <w:color w:val="000000" w:themeColor="text1"/>
          <w:sz w:val="26"/>
          <w:szCs w:val="26"/>
          <w:lang w:val="en-US"/>
        </w:rPr>
      </w:pPr>
    </w:p>
    <w:p w14:paraId="4C0F29C6" w14:textId="51A7FE0E" w:rsidR="00EF6E62" w:rsidRPr="003F6924" w:rsidRDefault="00B543E4" w:rsidP="000A240D">
      <w:pPr>
        <w:snapToGrid w:val="0"/>
        <w:spacing w:after="0" w:line="300" w:lineRule="auto"/>
        <w:jc w:val="both"/>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 xml:space="preserve">Limitations and </w:t>
      </w:r>
      <w:r w:rsidR="00393E96" w:rsidRPr="003F6924">
        <w:rPr>
          <w:rFonts w:ascii="Times New Roman" w:hAnsi="Times New Roman" w:cs="Times New Roman"/>
          <w:b/>
          <w:bCs/>
          <w:color w:val="000000" w:themeColor="text1"/>
          <w:sz w:val="26"/>
          <w:szCs w:val="26"/>
          <w:lang w:val="en-US"/>
        </w:rPr>
        <w:t>Future Research</w:t>
      </w:r>
      <w:r w:rsidRPr="003F6924">
        <w:rPr>
          <w:rFonts w:ascii="Times New Roman" w:hAnsi="Times New Roman" w:cs="Times New Roman"/>
          <w:b/>
          <w:bCs/>
          <w:color w:val="000000" w:themeColor="text1"/>
          <w:sz w:val="26"/>
          <w:szCs w:val="26"/>
          <w:lang w:val="en-US"/>
        </w:rPr>
        <w:t xml:space="preserve"> </w:t>
      </w:r>
    </w:p>
    <w:p w14:paraId="7CC27E2C" w14:textId="17792B1C" w:rsidR="007E1FAD" w:rsidRPr="003F6924" w:rsidRDefault="00B543E4" w:rsidP="000A240D">
      <w:pPr>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3F6924">
        <w:rPr>
          <w:rFonts w:ascii="Times New Roman" w:hAnsi="Times New Roman" w:cs="Times New Roman"/>
          <w:color w:val="000000" w:themeColor="text1"/>
          <w:sz w:val="26"/>
          <w:szCs w:val="26"/>
          <w:lang w:val="en-GB"/>
        </w:rPr>
        <w:t xml:space="preserve">The paper acknowledges several limitations that can guide future research. First, this study focuses exclusively on the banking </w:t>
      </w:r>
      <w:r w:rsidRPr="003F6924">
        <w:rPr>
          <w:rFonts w:ascii="Times New Roman" w:hAnsi="Times New Roman" w:cs="Times New Roman"/>
          <w:color w:val="000000" w:themeColor="text1"/>
          <w:sz w:val="26"/>
          <w:szCs w:val="26"/>
          <w:lang w:val="vi-VN"/>
        </w:rPr>
        <w:t>sector</w:t>
      </w:r>
      <w:r w:rsidRPr="003F6924">
        <w:rPr>
          <w:rFonts w:ascii="Times New Roman" w:hAnsi="Times New Roman" w:cs="Times New Roman"/>
          <w:color w:val="000000" w:themeColor="text1"/>
          <w:sz w:val="26"/>
          <w:szCs w:val="26"/>
          <w:lang w:val="en-GB"/>
        </w:rPr>
        <w:t xml:space="preserve"> in Vietnam. As a result, it limits the generalizability of the findings to other sectors. </w:t>
      </w:r>
      <w:r w:rsidR="008F170F" w:rsidRPr="003F6924">
        <w:rPr>
          <w:rFonts w:ascii="Times New Roman" w:hAnsi="Times New Roman" w:cs="Times New Roman"/>
          <w:color w:val="000000" w:themeColor="text1"/>
          <w:sz w:val="26"/>
          <w:szCs w:val="26"/>
          <w:lang w:val="en-GB"/>
        </w:rPr>
        <w:t>Future research could extend this framework to other sectors such as fintech, manufacturing, and healthcare to develop a more comprehensive understanding of digital transformation across diverse organizational and industrial settings</w:t>
      </w:r>
      <w:r w:rsidRPr="003F6924">
        <w:rPr>
          <w:rFonts w:ascii="Times New Roman" w:hAnsi="Times New Roman" w:cs="Times New Roman"/>
          <w:color w:val="000000" w:themeColor="text1"/>
          <w:sz w:val="26"/>
          <w:szCs w:val="26"/>
          <w:lang w:val="en-GB"/>
        </w:rPr>
        <w:t xml:space="preserve">. Second, the study is conducted in Vietnam, a developing country with unique economic, technological, and cultural conditions. While this fills a gap in underrepresented contexts, the results may not fully apply </w:t>
      </w:r>
      <w:r w:rsidR="008F170F" w:rsidRPr="003F6924">
        <w:rPr>
          <w:rFonts w:ascii="Times New Roman" w:hAnsi="Times New Roman" w:cs="Times New Roman"/>
          <w:color w:val="000000" w:themeColor="text1"/>
          <w:sz w:val="26"/>
          <w:szCs w:val="26"/>
          <w:lang w:val="en-GB"/>
        </w:rPr>
        <w:t xml:space="preserve">to </w:t>
      </w:r>
      <w:r w:rsidRPr="003F6924">
        <w:rPr>
          <w:rFonts w:ascii="Times New Roman" w:hAnsi="Times New Roman" w:cs="Times New Roman"/>
          <w:color w:val="000000" w:themeColor="text1"/>
          <w:sz w:val="26"/>
          <w:szCs w:val="26"/>
          <w:lang w:val="en-GB"/>
        </w:rPr>
        <w:t>developed markets. Therefore, a comparative analysis across markets may be useful for reflecting difference</w:t>
      </w:r>
      <w:r w:rsidR="008F170F" w:rsidRPr="003F6924">
        <w:rPr>
          <w:rFonts w:ascii="Times New Roman" w:hAnsi="Times New Roman" w:cs="Times New Roman"/>
          <w:color w:val="000000" w:themeColor="text1"/>
          <w:sz w:val="26"/>
          <w:szCs w:val="26"/>
          <w:lang w:val="en-GB"/>
        </w:rPr>
        <w:t>s</w:t>
      </w:r>
      <w:r w:rsidRPr="003F6924">
        <w:rPr>
          <w:rFonts w:ascii="Times New Roman" w:hAnsi="Times New Roman" w:cs="Times New Roman"/>
          <w:color w:val="000000" w:themeColor="text1"/>
          <w:sz w:val="26"/>
          <w:szCs w:val="26"/>
          <w:lang w:val="en-GB"/>
        </w:rPr>
        <w:t xml:space="preserve"> in the digital transformation process. Finally, the authors also designed a cross-sectional research </w:t>
      </w:r>
      <w:r w:rsidR="008F170F" w:rsidRPr="003F6924">
        <w:rPr>
          <w:rFonts w:ascii="Times New Roman" w:hAnsi="Times New Roman" w:cs="Times New Roman"/>
          <w:color w:val="000000" w:themeColor="text1"/>
          <w:sz w:val="26"/>
          <w:szCs w:val="26"/>
          <w:lang w:val="en-GB"/>
        </w:rPr>
        <w:t xml:space="preserve">study </w:t>
      </w:r>
      <w:r w:rsidRPr="003F6924">
        <w:rPr>
          <w:rFonts w:ascii="Times New Roman" w:hAnsi="Times New Roman" w:cs="Times New Roman"/>
          <w:color w:val="000000" w:themeColor="text1"/>
          <w:sz w:val="26"/>
          <w:szCs w:val="26"/>
          <w:lang w:val="en-GB"/>
        </w:rPr>
        <w:t xml:space="preserve">that collected and assessed data at a single point in time. </w:t>
      </w:r>
      <w:r w:rsidR="008F170F" w:rsidRPr="003F6924">
        <w:rPr>
          <w:rFonts w:ascii="Times New Roman" w:hAnsi="Times New Roman" w:cs="Times New Roman"/>
          <w:color w:val="000000" w:themeColor="text1"/>
          <w:sz w:val="26"/>
          <w:szCs w:val="26"/>
          <w:lang w:val="en-GB"/>
        </w:rPr>
        <w:t xml:space="preserve">Therefore, future longitudinal studies could provide valuable insights into the dynamic and iterative nature of digital transformation processes, particularly given the rapid evolution of technological advancements and </w:t>
      </w:r>
      <w:r w:rsidR="003D5415">
        <w:rPr>
          <w:rFonts w:ascii="Times New Roman" w:hAnsi="Times New Roman" w:cs="Times New Roman"/>
          <w:color w:val="000000" w:themeColor="text1"/>
          <w:sz w:val="26"/>
          <w:szCs w:val="26"/>
          <w:lang w:val="en-GB"/>
        </w:rPr>
        <w:t xml:space="preserve">the </w:t>
      </w:r>
      <w:r w:rsidR="008F170F" w:rsidRPr="003F6924">
        <w:rPr>
          <w:rFonts w:ascii="Times New Roman" w:hAnsi="Times New Roman" w:cs="Times New Roman"/>
          <w:color w:val="000000" w:themeColor="text1"/>
          <w:sz w:val="26"/>
          <w:szCs w:val="26"/>
          <w:lang w:val="en-GB"/>
        </w:rPr>
        <w:t>organizational adaptation over time</w:t>
      </w:r>
      <w:r w:rsidRPr="003F6924">
        <w:rPr>
          <w:rFonts w:ascii="Times New Roman" w:hAnsi="Times New Roman" w:cs="Times New Roman"/>
          <w:color w:val="000000" w:themeColor="text1"/>
          <w:sz w:val="26"/>
          <w:szCs w:val="26"/>
          <w:lang w:val="en-GB"/>
        </w:rPr>
        <w:t>.</w:t>
      </w:r>
    </w:p>
    <w:p w14:paraId="4C6F57BE" w14:textId="77777777" w:rsidR="000A240D" w:rsidRPr="003F6924" w:rsidRDefault="000A240D" w:rsidP="000A240D">
      <w:pPr>
        <w:snapToGrid w:val="0"/>
        <w:spacing w:after="0" w:line="300" w:lineRule="auto"/>
        <w:ind w:firstLineChars="200" w:firstLine="520"/>
        <w:jc w:val="both"/>
        <w:rPr>
          <w:rFonts w:ascii="Times New Roman" w:hAnsi="Times New Roman" w:cs="Times New Roman"/>
          <w:color w:val="000000" w:themeColor="text1"/>
          <w:sz w:val="26"/>
          <w:szCs w:val="26"/>
          <w:lang w:val="en-GB"/>
        </w:rPr>
      </w:pPr>
    </w:p>
    <w:p w14:paraId="6685F44E" w14:textId="77777777" w:rsidR="00844F19" w:rsidRPr="003F6924" w:rsidRDefault="00B543E4" w:rsidP="000A240D">
      <w:pPr>
        <w:tabs>
          <w:tab w:val="left" w:pos="1560"/>
        </w:tabs>
        <w:snapToGrid w:val="0"/>
        <w:spacing w:after="0" w:line="300" w:lineRule="auto"/>
        <w:rPr>
          <w:rFonts w:ascii="Times New Roman" w:eastAsia="Calibri" w:hAnsi="Times New Roman" w:cs="Times New Roman"/>
          <w:color w:val="000000" w:themeColor="text1"/>
          <w:sz w:val="26"/>
          <w:szCs w:val="26"/>
          <w:lang w:bidi="fa-IR"/>
        </w:rPr>
      </w:pPr>
      <w:r w:rsidRPr="003F6924">
        <w:rPr>
          <w:rFonts w:ascii="Times New Roman" w:eastAsia="Calibri" w:hAnsi="Times New Roman" w:cs="Times New Roman"/>
          <w:b/>
          <w:bCs/>
          <w:color w:val="000000" w:themeColor="text1"/>
          <w:sz w:val="26"/>
          <w:szCs w:val="26"/>
          <w:lang w:bidi="fa-IR"/>
        </w:rPr>
        <w:t>Disclosure statement:</w:t>
      </w:r>
      <w:r w:rsidRPr="003F6924">
        <w:rPr>
          <w:rFonts w:ascii="Times New Roman" w:eastAsia="Calibri" w:hAnsi="Times New Roman" w:cs="Times New Roman"/>
          <w:color w:val="000000" w:themeColor="text1"/>
          <w:sz w:val="26"/>
          <w:szCs w:val="26"/>
          <w:lang w:bidi="fa-IR"/>
        </w:rPr>
        <w:t xml:space="preserve"> The author has declared no conflicts of interest.</w:t>
      </w:r>
    </w:p>
    <w:p w14:paraId="3BFA3DD6" w14:textId="77777777" w:rsidR="00666973" w:rsidRPr="003F6924" w:rsidRDefault="00666973" w:rsidP="000A240D">
      <w:pPr>
        <w:snapToGrid w:val="0"/>
        <w:spacing w:after="0" w:line="300" w:lineRule="auto"/>
        <w:jc w:val="both"/>
        <w:rPr>
          <w:rFonts w:ascii="Times New Roman" w:hAnsi="Times New Roman" w:cs="Times New Roman"/>
          <w:color w:val="000000" w:themeColor="text1"/>
          <w:sz w:val="26"/>
          <w:szCs w:val="26"/>
          <w:lang w:val="en-US"/>
        </w:rPr>
      </w:pPr>
    </w:p>
    <w:p w14:paraId="0A230AFE" w14:textId="77777777" w:rsidR="00666973" w:rsidRPr="003F6924" w:rsidRDefault="00B543E4" w:rsidP="000A240D">
      <w:pPr>
        <w:snapToGrid w:val="0"/>
        <w:spacing w:after="0" w:line="300" w:lineRule="auto"/>
        <w:rPr>
          <w:rFonts w:ascii="Times New Roman" w:eastAsia="Calibri" w:hAnsi="Times New Roman" w:cs="Times New Roman"/>
          <w:color w:val="000000" w:themeColor="text1"/>
          <w:sz w:val="26"/>
          <w:szCs w:val="26"/>
          <w:lang w:bidi="fa-IR"/>
        </w:rPr>
      </w:pPr>
      <w:r w:rsidRPr="003F6924">
        <w:rPr>
          <w:rFonts w:ascii="Times New Roman" w:eastAsia="Calibri" w:hAnsi="Times New Roman" w:cs="Times New Roman"/>
          <w:b/>
          <w:bCs/>
          <w:color w:val="000000" w:themeColor="text1"/>
          <w:sz w:val="26"/>
          <w:szCs w:val="26"/>
          <w:lang w:bidi="fa-IR"/>
        </w:rPr>
        <w:t>Funding:</w:t>
      </w:r>
      <w:r w:rsidRPr="003F6924">
        <w:rPr>
          <w:rFonts w:ascii="Times New Roman" w:eastAsia="Calibri" w:hAnsi="Times New Roman" w:cs="Times New Roman"/>
          <w:color w:val="000000" w:themeColor="text1"/>
          <w:sz w:val="26"/>
          <w:szCs w:val="26"/>
          <w:lang w:bidi="fa-IR"/>
        </w:rPr>
        <w:t xml:space="preserve"> No specific funding was received from the public, commercial, or not-for-profit sectors to carry out the work described in this manuscript.</w:t>
      </w:r>
    </w:p>
    <w:p w14:paraId="48F516F9" w14:textId="77777777" w:rsidR="00893D1B" w:rsidRPr="003F6924" w:rsidRDefault="00893D1B" w:rsidP="00893D1B">
      <w:pPr>
        <w:snapToGrid w:val="0"/>
        <w:spacing w:after="0" w:line="300" w:lineRule="auto"/>
        <w:rPr>
          <w:rFonts w:ascii="Times New Roman" w:hAnsi="Times New Roman" w:cs="Times New Roman"/>
          <w:color w:val="000000" w:themeColor="text1"/>
          <w:sz w:val="26"/>
          <w:szCs w:val="26"/>
          <w:lang w:val="en-US"/>
        </w:rPr>
      </w:pPr>
    </w:p>
    <w:p w14:paraId="7D7F2C57" w14:textId="77777777" w:rsidR="00893D1B" w:rsidRPr="003F6924" w:rsidRDefault="00893D1B" w:rsidP="00893D1B">
      <w:pPr>
        <w:snapToGrid w:val="0"/>
        <w:spacing w:after="0" w:line="300" w:lineRule="auto"/>
        <w:jc w:val="center"/>
        <w:rPr>
          <w:rFonts w:ascii="Times New Roman" w:hAnsi="Times New Roman" w:cs="Times New Roman"/>
          <w:b/>
          <w:bCs/>
          <w:color w:val="000000" w:themeColor="text1"/>
          <w:sz w:val="26"/>
          <w:szCs w:val="26"/>
          <w:lang w:val="en-US"/>
        </w:rPr>
      </w:pPr>
      <w:r w:rsidRPr="003F6924">
        <w:rPr>
          <w:rFonts w:ascii="Times New Roman" w:hAnsi="Times New Roman" w:cs="Times New Roman"/>
          <w:b/>
          <w:bCs/>
          <w:color w:val="000000" w:themeColor="text1"/>
          <w:sz w:val="26"/>
          <w:szCs w:val="26"/>
          <w:lang w:val="en-US"/>
        </w:rPr>
        <w:t>REFERENCES</w:t>
      </w:r>
    </w:p>
    <w:p w14:paraId="12D4F64D"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color w:val="000000" w:themeColor="text1"/>
          <w:sz w:val="26"/>
          <w:szCs w:val="26"/>
          <w:lang w:val="en-US"/>
        </w:rPr>
        <w:fldChar w:fldCharType="begin"/>
      </w:r>
      <w:r w:rsidRPr="003F6924">
        <w:rPr>
          <w:color w:val="000000" w:themeColor="text1"/>
          <w:sz w:val="26"/>
          <w:szCs w:val="26"/>
          <w:lang w:val="en-US"/>
        </w:rPr>
        <w:instrText xml:space="preserve"> ADDIN ZOTERO_BIBL {"uncited":[],"omitted":[],"custom":[]} CSL_BIBLIOGRAPHY </w:instrText>
      </w:r>
      <w:r w:rsidRPr="003F6924">
        <w:rPr>
          <w:color w:val="000000" w:themeColor="text1"/>
          <w:sz w:val="26"/>
          <w:szCs w:val="26"/>
          <w:lang w:val="en-US"/>
        </w:rPr>
        <w:fldChar w:fldCharType="separate"/>
      </w:r>
      <w:r w:rsidRPr="003F6924">
        <w:rPr>
          <w:rFonts w:eastAsiaTheme="minorHAnsi"/>
          <w:color w:val="000000" w:themeColor="text1"/>
          <w:sz w:val="26"/>
          <w:szCs w:val="26"/>
          <w:lang w:val="en-US"/>
        </w:rPr>
        <w:t xml:space="preserve">Abdurrahman, A., Gustomo, A., &amp; Prasetio, E. A. (2024). Impact of dynamic capabilities on digital transformation and innovation to improve banking performance: A TOE framework study. </w:t>
      </w:r>
      <w:r w:rsidRPr="003F6924">
        <w:rPr>
          <w:rFonts w:eastAsiaTheme="minorHAnsi"/>
          <w:i/>
          <w:iCs/>
          <w:color w:val="000000" w:themeColor="text1"/>
          <w:sz w:val="26"/>
          <w:szCs w:val="26"/>
          <w:lang w:val="en-US"/>
        </w:rPr>
        <w:t>Journal of Open Innovation: Technology, Market, and Complexity</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10</w:t>
      </w:r>
      <w:r w:rsidRPr="003F6924">
        <w:rPr>
          <w:rFonts w:eastAsiaTheme="minorHAnsi"/>
          <w:color w:val="000000" w:themeColor="text1"/>
          <w:sz w:val="26"/>
          <w:szCs w:val="26"/>
          <w:lang w:val="en-US"/>
        </w:rPr>
        <w:t>(1), 100215. https://doi.org/10.1016/j.joitmc.2024.100215</w:t>
      </w:r>
    </w:p>
    <w:p w14:paraId="0EF9A2A5"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AlBar, A. M., &amp; Hoque, Md. R. (2019). Factors affecting the adoption of information and communication technology in small and medium enterprises: A perspective from rural Saudi Arabia. </w:t>
      </w:r>
      <w:r w:rsidRPr="003F6924">
        <w:rPr>
          <w:rFonts w:eastAsiaTheme="minorHAnsi"/>
          <w:i/>
          <w:iCs/>
          <w:color w:val="000000" w:themeColor="text1"/>
          <w:sz w:val="26"/>
          <w:szCs w:val="26"/>
          <w:lang w:val="en-US"/>
        </w:rPr>
        <w:t>Information Technology for Development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25</w:t>
      </w:r>
      <w:r w:rsidRPr="003F6924">
        <w:rPr>
          <w:rFonts w:eastAsiaTheme="minorHAnsi"/>
          <w:color w:val="000000" w:themeColor="text1"/>
          <w:sz w:val="26"/>
          <w:szCs w:val="26"/>
          <w:lang w:val="en-US"/>
        </w:rPr>
        <w:t>(4), 715–738. https://doi.org/10.1080/02681102.2017.1390437</w:t>
      </w:r>
    </w:p>
    <w:p w14:paraId="19E15009"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Alcácer, V., &amp; Cruz-Machado, V. (2019). Scanning the industry 4.0: A literature review on technologies for manufacturing systems. </w:t>
      </w:r>
      <w:r w:rsidRPr="003F6924">
        <w:rPr>
          <w:rFonts w:eastAsiaTheme="minorHAnsi"/>
          <w:i/>
          <w:iCs/>
          <w:color w:val="000000" w:themeColor="text1"/>
          <w:sz w:val="26"/>
          <w:szCs w:val="26"/>
          <w:lang w:val="en-US"/>
        </w:rPr>
        <w:t>Engineering Science and Technology, an International Journal</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22</w:t>
      </w:r>
      <w:r w:rsidRPr="003F6924">
        <w:rPr>
          <w:rFonts w:eastAsiaTheme="minorHAnsi"/>
          <w:color w:val="000000" w:themeColor="text1"/>
          <w:sz w:val="26"/>
          <w:szCs w:val="26"/>
          <w:lang w:val="en-US"/>
        </w:rPr>
        <w:t>(3), 899–919. https://doi.org/10.1016/j.jestch.2019.01.006</w:t>
      </w:r>
    </w:p>
    <w:p w14:paraId="73C836AB"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Al-Faihani, M., &amp; Al-Alawi, A. I. (2020). A literature review of organizational cultural drivers affecting the digital transformation of the banking sector. </w:t>
      </w:r>
      <w:r w:rsidRPr="003F6924">
        <w:rPr>
          <w:rFonts w:eastAsiaTheme="minorHAnsi"/>
          <w:i/>
          <w:iCs/>
          <w:color w:val="000000" w:themeColor="text1"/>
          <w:sz w:val="26"/>
          <w:szCs w:val="26"/>
          <w:lang w:val="en-US"/>
        </w:rPr>
        <w:t>2020 International Conference on Data Analytics for Business and Industry: Way Towards a Sustainable Economy (ICDABI)</w:t>
      </w:r>
      <w:r w:rsidRPr="003F6924">
        <w:rPr>
          <w:rFonts w:eastAsiaTheme="minorHAnsi"/>
          <w:color w:val="000000" w:themeColor="text1"/>
          <w:sz w:val="26"/>
          <w:szCs w:val="26"/>
          <w:lang w:val="en-US"/>
        </w:rPr>
        <w:t>, 1–6. https://doi.org/10.1109/ICDABI51230.2020.9325596</w:t>
      </w:r>
    </w:p>
    <w:p w14:paraId="62E6304F"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Al-Moaid, N. A. A., &amp; Almarhdi, S. G. (2024). Developing dynamic capabilities for successful digital transformation projects: The mediating role of change management. </w:t>
      </w:r>
      <w:r w:rsidRPr="003F6924">
        <w:rPr>
          <w:rFonts w:eastAsiaTheme="minorHAnsi"/>
          <w:i/>
          <w:iCs/>
          <w:color w:val="000000" w:themeColor="text1"/>
          <w:sz w:val="26"/>
          <w:szCs w:val="26"/>
          <w:lang w:val="en-US"/>
        </w:rPr>
        <w:t>Journal of Innovation and Entrepreneurship</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13</w:t>
      </w:r>
      <w:r w:rsidRPr="003F6924">
        <w:rPr>
          <w:rFonts w:eastAsiaTheme="minorHAnsi"/>
          <w:color w:val="000000" w:themeColor="text1"/>
          <w:sz w:val="26"/>
          <w:szCs w:val="26"/>
          <w:lang w:val="en-US"/>
        </w:rPr>
        <w:t>(1), 85. https://doi.org/10.1186/s13731-024-00446-9</w:t>
      </w:r>
    </w:p>
    <w:p w14:paraId="33D84002"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Al-Somali, S. A., Gholami, R., &amp; Clegg, B. (2011). Determinants of B2B e-commerce adoption in Saudi Arabian firms. </w:t>
      </w:r>
      <w:r w:rsidRPr="003F6924">
        <w:rPr>
          <w:rFonts w:eastAsiaTheme="minorHAnsi"/>
          <w:i/>
          <w:iCs/>
          <w:color w:val="000000" w:themeColor="text1"/>
          <w:sz w:val="26"/>
          <w:szCs w:val="26"/>
          <w:lang w:val="en-US"/>
        </w:rPr>
        <w:t>International Journal for Digital Society</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2</w:t>
      </w:r>
      <w:r w:rsidRPr="003F6924">
        <w:rPr>
          <w:rFonts w:eastAsiaTheme="minorHAnsi"/>
          <w:color w:val="000000" w:themeColor="text1"/>
          <w:sz w:val="26"/>
          <w:szCs w:val="26"/>
          <w:lang w:val="en-US"/>
        </w:rPr>
        <w:t>(2), 406–415. https://doi.org/10.20533/ijds.2040.2570.2011.0049</w:t>
      </w:r>
    </w:p>
    <w:p w14:paraId="0A1C697E"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Alsufyani, N., &amp; Gill, A. Q. (2022). Digitalisation performance assessment: A systematic review. </w:t>
      </w:r>
      <w:r w:rsidRPr="003F6924">
        <w:rPr>
          <w:rFonts w:eastAsiaTheme="minorHAnsi"/>
          <w:i/>
          <w:iCs/>
          <w:color w:val="000000" w:themeColor="text1"/>
          <w:sz w:val="26"/>
          <w:szCs w:val="26"/>
          <w:lang w:val="en-US"/>
        </w:rPr>
        <w:t>Technology in Society</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68</w:t>
      </w:r>
      <w:r w:rsidRPr="003F6924">
        <w:rPr>
          <w:rFonts w:eastAsiaTheme="minorHAnsi"/>
          <w:color w:val="000000" w:themeColor="text1"/>
          <w:sz w:val="26"/>
          <w:szCs w:val="26"/>
          <w:lang w:val="en-US"/>
        </w:rPr>
        <w:t>, 101894. https://doi.org/10.1016/j.techsoc.2022.101894</w:t>
      </w:r>
    </w:p>
    <w:p w14:paraId="7F07B54D" w14:textId="3982D52A"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Ánh, N. T. K., &amp; Nương, N. T. X. (2022). Factors</w:t>
      </w:r>
      <w:r w:rsidRPr="003F6924">
        <w:rPr>
          <w:rFonts w:eastAsiaTheme="minorHAnsi"/>
          <w:color w:val="000000" w:themeColor="text1"/>
          <w:sz w:val="26"/>
          <w:szCs w:val="26"/>
          <w:lang w:val="vi-VN"/>
        </w:rPr>
        <w:t xml:space="preserve"> </w:t>
      </w:r>
      <w:r w:rsidR="00D91D58">
        <w:rPr>
          <w:rFonts w:eastAsiaTheme="minorHAnsi"/>
          <w:color w:val="000000" w:themeColor="text1"/>
          <w:sz w:val="26"/>
          <w:szCs w:val="26"/>
          <w:lang w:val="vi-VN"/>
        </w:rPr>
        <w:t>affecting</w:t>
      </w:r>
      <w:r w:rsidRPr="003F6924">
        <w:rPr>
          <w:rFonts w:eastAsiaTheme="minorHAnsi"/>
          <w:color w:val="000000" w:themeColor="text1"/>
          <w:sz w:val="26"/>
          <w:szCs w:val="26"/>
          <w:lang w:val="vi-VN"/>
        </w:rPr>
        <w:t xml:space="preserve"> digital transformation </w:t>
      </w:r>
      <w:r w:rsidRPr="003F6924">
        <w:rPr>
          <w:rFonts w:eastAsiaTheme="minorHAnsi"/>
          <w:color w:val="000000" w:themeColor="text1"/>
          <w:sz w:val="26"/>
          <w:szCs w:val="26"/>
          <w:lang w:val="en-US"/>
        </w:rPr>
        <w:t xml:space="preserve">of enterprises: case study of Binh Dinh. </w:t>
      </w:r>
      <w:r w:rsidRPr="003F6924">
        <w:rPr>
          <w:rFonts w:eastAsiaTheme="minorHAnsi"/>
          <w:i/>
          <w:iCs/>
          <w:color w:val="000000" w:themeColor="text1"/>
          <w:sz w:val="26"/>
          <w:szCs w:val="26"/>
          <w:lang w:val="en-US"/>
        </w:rPr>
        <w:t>Journal of Economics and Development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304</w:t>
      </w:r>
      <w:r w:rsidRPr="003F6924">
        <w:rPr>
          <w:rFonts w:eastAsiaTheme="minorHAnsi"/>
          <w:color w:val="000000" w:themeColor="text1"/>
          <w:sz w:val="26"/>
          <w:szCs w:val="26"/>
          <w:lang w:val="en-US"/>
        </w:rPr>
        <w:t xml:space="preserve">(2), 65–74. https://ktpt.neu.edu.vn/Uploads/Bai%20bao/2022/So%20304%20tap%202/380733.pdf </w:t>
      </w:r>
    </w:p>
    <w:p w14:paraId="65C34375"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Bagheri, M., Mitchelmore, S., Bamiatzi, V., &amp; Nikolopoulos, K. (2019). Internationalization Orientation in SMEs: The mediating role of technological innovation. </w:t>
      </w:r>
      <w:r w:rsidRPr="003F6924">
        <w:rPr>
          <w:rFonts w:eastAsiaTheme="minorHAnsi"/>
          <w:i/>
          <w:iCs/>
          <w:color w:val="000000" w:themeColor="text1"/>
          <w:sz w:val="26"/>
          <w:szCs w:val="26"/>
          <w:lang w:val="en-US"/>
        </w:rPr>
        <w:t>Journal of International Management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25</w:t>
      </w:r>
      <w:r w:rsidRPr="003F6924">
        <w:rPr>
          <w:rFonts w:eastAsiaTheme="minorHAnsi"/>
          <w:color w:val="000000" w:themeColor="text1"/>
          <w:sz w:val="26"/>
          <w:szCs w:val="26"/>
          <w:lang w:val="en-US"/>
        </w:rPr>
        <w:t>(1), 121–139. https://doi.org/10.1016/j.intman.2018.08.002</w:t>
      </w:r>
    </w:p>
    <w:p w14:paraId="0EFFBC58"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Barney, J., Wright, M., &amp; Ketchen, D. J. (2001). The resource-based view of the firm: Ten years after 1991. </w:t>
      </w:r>
      <w:r w:rsidRPr="003F6924">
        <w:rPr>
          <w:rFonts w:eastAsiaTheme="minorHAnsi"/>
          <w:i/>
          <w:iCs/>
          <w:color w:val="000000" w:themeColor="text1"/>
          <w:sz w:val="26"/>
          <w:szCs w:val="26"/>
          <w:lang w:val="en-US"/>
        </w:rPr>
        <w:t>Journal of Management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27</w:t>
      </w:r>
      <w:r w:rsidRPr="003F6924">
        <w:rPr>
          <w:rFonts w:eastAsiaTheme="minorHAnsi"/>
          <w:color w:val="000000" w:themeColor="text1"/>
          <w:sz w:val="26"/>
          <w:szCs w:val="26"/>
          <w:lang w:val="en-US"/>
        </w:rPr>
        <w:t>(6), 625–641. https://doi.org/10.1177/014920630102700601</w:t>
      </w:r>
    </w:p>
    <w:p w14:paraId="03E93179"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BCG. (2025, May 1). </w:t>
      </w:r>
      <w:r w:rsidRPr="003F6924">
        <w:rPr>
          <w:rFonts w:eastAsiaTheme="minorHAnsi"/>
          <w:i/>
          <w:iCs/>
          <w:color w:val="000000" w:themeColor="text1"/>
          <w:sz w:val="26"/>
          <w:szCs w:val="26"/>
          <w:lang w:val="en-US"/>
        </w:rPr>
        <w:t>Tech in Banking 2025: Transformation starts with smarter tech investment</w:t>
      </w:r>
      <w:r w:rsidRPr="003F6924">
        <w:rPr>
          <w:rFonts w:eastAsiaTheme="minorHAnsi"/>
          <w:color w:val="000000" w:themeColor="text1"/>
          <w:sz w:val="26"/>
          <w:szCs w:val="26"/>
          <w:lang w:val="en-US"/>
        </w:rPr>
        <w:t>. BCG Global. https://www.bcg.com/publications/2025/tech-banking-transformation-starts-with-smarter-tech-investment</w:t>
      </w:r>
    </w:p>
    <w:p w14:paraId="241B9699"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Blanka, C., Krumay, B., &amp; Rueckel, D. (2022). The interplay of digital transformation and employee competency: A design science approach. </w:t>
      </w:r>
      <w:r w:rsidRPr="003F6924">
        <w:rPr>
          <w:rFonts w:eastAsiaTheme="minorHAnsi"/>
          <w:i/>
          <w:iCs/>
          <w:color w:val="000000" w:themeColor="text1"/>
          <w:sz w:val="26"/>
          <w:szCs w:val="26"/>
          <w:lang w:val="en-US"/>
        </w:rPr>
        <w:t>Technological Forecasting and Social Change</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178</w:t>
      </w:r>
      <w:r w:rsidRPr="003F6924">
        <w:rPr>
          <w:rFonts w:eastAsiaTheme="minorHAnsi"/>
          <w:color w:val="000000" w:themeColor="text1"/>
          <w:sz w:val="26"/>
          <w:szCs w:val="26"/>
          <w:lang w:val="en-US"/>
        </w:rPr>
        <w:t>, 121575. https://doi.org/10.1016/j.techfore.2022.121575</w:t>
      </w:r>
    </w:p>
    <w:p w14:paraId="516D226E"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Boehm, J., Brown, J. S., Sabbagh, L., &amp; Thomas, K. (2021). </w:t>
      </w:r>
      <w:r w:rsidRPr="003F6924">
        <w:rPr>
          <w:rFonts w:eastAsiaTheme="minorHAnsi"/>
          <w:i/>
          <w:iCs/>
          <w:color w:val="000000" w:themeColor="text1"/>
          <w:sz w:val="26"/>
          <w:szCs w:val="26"/>
          <w:lang w:val="en-US"/>
        </w:rPr>
        <w:t>Better risk controls to accelerate digital transformation</w:t>
      </w:r>
      <w:r w:rsidRPr="003F6924">
        <w:rPr>
          <w:rFonts w:eastAsiaTheme="minorHAnsi"/>
          <w:color w:val="000000" w:themeColor="text1"/>
          <w:sz w:val="26"/>
          <w:szCs w:val="26"/>
          <w:lang w:val="en-US"/>
        </w:rPr>
        <w:t>. McKinsey.Com. https://www.mckinsey.com/capabilities/mckinsey-digital/our-insights/lessons-from-banking-to-improve-risk-and-compliance-and-speed-up-digital-transformations?utm_source=chatgpt.com</w:t>
      </w:r>
    </w:p>
    <w:p w14:paraId="62CEAE4D" w14:textId="220C4BB3"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Byrne, B. M. (1998). </w:t>
      </w:r>
      <w:r w:rsidRPr="003F6924">
        <w:rPr>
          <w:rFonts w:eastAsiaTheme="minorHAnsi"/>
          <w:i/>
          <w:iCs/>
          <w:color w:val="000000" w:themeColor="text1"/>
          <w:sz w:val="26"/>
          <w:szCs w:val="26"/>
          <w:lang w:val="en-US"/>
        </w:rPr>
        <w:t>Structural equation modeling with</w:t>
      </w:r>
      <w:r w:rsidR="008E378C" w:rsidRPr="003F6924">
        <w:rPr>
          <w:rFonts w:eastAsiaTheme="minorHAnsi"/>
          <w:i/>
          <w:iCs/>
          <w:color w:val="000000" w:themeColor="text1"/>
          <w:sz w:val="26"/>
          <w:szCs w:val="26"/>
          <w:lang w:val="en-US"/>
        </w:rPr>
        <w:t xml:space="preserve"> LISREL</w:t>
      </w:r>
      <w:r w:rsidRPr="003F6924">
        <w:rPr>
          <w:rFonts w:eastAsiaTheme="minorHAnsi"/>
          <w:i/>
          <w:iCs/>
          <w:color w:val="000000" w:themeColor="text1"/>
          <w:sz w:val="26"/>
          <w:szCs w:val="26"/>
          <w:lang w:val="en-US"/>
        </w:rPr>
        <w:t>, PRELIS, and SIMPLIS: basic concepts, applications, and programming</w:t>
      </w:r>
      <w:r w:rsidRPr="003F6924">
        <w:rPr>
          <w:rFonts w:eastAsiaTheme="minorHAnsi"/>
          <w:color w:val="000000" w:themeColor="text1"/>
          <w:sz w:val="26"/>
          <w:szCs w:val="26"/>
          <w:lang w:val="en-US"/>
        </w:rPr>
        <w:t>. Psychology Press. https://doi.org/10.4324/9780203774762</w:t>
      </w:r>
    </w:p>
    <w:p w14:paraId="2E019FBC"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Cao, X., Han, B., Huang, Y., &amp; Xie, X. (2022). Digital transformation and risk differentiation in the banking industry: Evidence from Chinese commercial banks. </w:t>
      </w:r>
      <w:r w:rsidRPr="003F6924">
        <w:rPr>
          <w:rFonts w:eastAsiaTheme="minorHAnsi"/>
          <w:i/>
          <w:iCs/>
          <w:color w:val="000000" w:themeColor="text1"/>
          <w:sz w:val="26"/>
          <w:szCs w:val="26"/>
          <w:lang w:val="en-US"/>
        </w:rPr>
        <w:t>Asian Economic Papers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21</w:t>
      </w:r>
      <w:r w:rsidRPr="003F6924">
        <w:rPr>
          <w:rFonts w:eastAsiaTheme="minorHAnsi"/>
          <w:color w:val="000000" w:themeColor="text1"/>
          <w:sz w:val="26"/>
          <w:szCs w:val="26"/>
          <w:lang w:val="en-US"/>
        </w:rPr>
        <w:t>(3), 1–21. https://doi.org/10.1162/asep_a_00853</w:t>
      </w:r>
    </w:p>
    <w:p w14:paraId="0F59A805"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Carbó-Valverde, S., Cuadros-Solas, P. J., Rodríguez-Fernández, F., &amp; Sánchez-Béjar, J. J. (2024). Digital innovation and de-branching in the banking industry: Customer perception and satisfaction. </w:t>
      </w:r>
      <w:r w:rsidRPr="003F6924">
        <w:rPr>
          <w:rFonts w:eastAsiaTheme="minorHAnsi"/>
          <w:i/>
          <w:iCs/>
          <w:color w:val="000000" w:themeColor="text1"/>
          <w:sz w:val="26"/>
          <w:szCs w:val="26"/>
          <w:lang w:val="en-US"/>
        </w:rPr>
        <w:t>Global Policy</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15</w:t>
      </w:r>
      <w:r w:rsidRPr="003F6924">
        <w:rPr>
          <w:rFonts w:eastAsiaTheme="minorHAnsi"/>
          <w:color w:val="000000" w:themeColor="text1"/>
          <w:sz w:val="26"/>
          <w:szCs w:val="26"/>
          <w:lang w:val="en-US"/>
        </w:rPr>
        <w:t>(S1), 8–20. https://doi.org/10.1111/1758-5899.13313</w:t>
      </w:r>
    </w:p>
    <w:p w14:paraId="7D8F8E8C"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Chen, W., &amp; Kamal, F. (2016). The impact of information and communication technology adoption on multinational firm boundary decisions. </w:t>
      </w:r>
      <w:r w:rsidRPr="003F6924">
        <w:rPr>
          <w:rFonts w:eastAsiaTheme="minorHAnsi"/>
          <w:i/>
          <w:iCs/>
          <w:color w:val="000000" w:themeColor="text1"/>
          <w:sz w:val="26"/>
          <w:szCs w:val="26"/>
          <w:lang w:val="en-US"/>
        </w:rPr>
        <w:t>Journal of International Business Studies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47</w:t>
      </w:r>
      <w:r w:rsidRPr="003F6924">
        <w:rPr>
          <w:rFonts w:eastAsiaTheme="minorHAnsi"/>
          <w:color w:val="000000" w:themeColor="text1"/>
          <w:sz w:val="26"/>
          <w:szCs w:val="26"/>
          <w:lang w:val="en-US"/>
        </w:rPr>
        <w:t>(5), 563–576. https://doi.org/10.1057/jibs.2016.6</w:t>
      </w:r>
    </w:p>
    <w:p w14:paraId="075C7CAF"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Citterio, A., King, T., &amp; Locatelli, R. (2024). Is digital transformation profitable for banks? Evidence from Europe. </w:t>
      </w:r>
      <w:r w:rsidRPr="003F6924">
        <w:rPr>
          <w:rFonts w:eastAsiaTheme="minorHAnsi"/>
          <w:i/>
          <w:iCs/>
          <w:color w:val="000000" w:themeColor="text1"/>
          <w:sz w:val="26"/>
          <w:szCs w:val="26"/>
          <w:lang w:val="en-US"/>
        </w:rPr>
        <w:t>Finance Research Letters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70</w:t>
      </w:r>
      <w:r w:rsidRPr="003F6924">
        <w:rPr>
          <w:rFonts w:eastAsiaTheme="minorHAnsi"/>
          <w:color w:val="000000" w:themeColor="text1"/>
          <w:sz w:val="26"/>
          <w:szCs w:val="26"/>
          <w:lang w:val="en-US"/>
        </w:rPr>
        <w:t>, 106269. https://doi.org/10.1016/j.frl.2024.106269</w:t>
      </w:r>
    </w:p>
    <w:p w14:paraId="022807BD"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sz w:val="26"/>
          <w:szCs w:val="26"/>
          <w:lang w:val="en-US"/>
        </w:rPr>
        <w:t xml:space="preserve">Cohen, J. (1988). </w:t>
      </w:r>
      <w:r w:rsidRPr="003F6924">
        <w:rPr>
          <w:i/>
          <w:iCs/>
          <w:sz w:val="26"/>
          <w:szCs w:val="26"/>
          <w:lang w:val="en-US"/>
        </w:rPr>
        <w:t>Statistical power analysis for the behavioral sciences</w:t>
      </w:r>
      <w:r w:rsidRPr="003F6924">
        <w:rPr>
          <w:sz w:val="26"/>
          <w:szCs w:val="26"/>
          <w:lang w:val="en-US"/>
        </w:rPr>
        <w:t>. Routledge.</w:t>
      </w:r>
    </w:p>
    <w:p w14:paraId="54BDA00C"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Correani, A., De Massis, A., Frattini, F., Petruzzelli, A. M., &amp; Natalicchio, A. (2020). Implementing a digital strategy: Learning from the experience of three digital transformation projects. </w:t>
      </w:r>
      <w:r w:rsidRPr="003F6924">
        <w:rPr>
          <w:rFonts w:eastAsiaTheme="minorHAnsi"/>
          <w:i/>
          <w:iCs/>
          <w:color w:val="000000" w:themeColor="text1"/>
          <w:sz w:val="26"/>
          <w:szCs w:val="26"/>
          <w:lang w:val="en-US"/>
        </w:rPr>
        <w:t>California Management Review</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62</w:t>
      </w:r>
      <w:r w:rsidRPr="003F6924">
        <w:rPr>
          <w:rFonts w:eastAsiaTheme="minorHAnsi"/>
          <w:color w:val="000000" w:themeColor="text1"/>
          <w:sz w:val="26"/>
          <w:szCs w:val="26"/>
          <w:lang w:val="en-US"/>
        </w:rPr>
        <w:t>(4), 37–56. https://doi.org/10.1177/0008125620934864</w:t>
      </w:r>
    </w:p>
    <w:p w14:paraId="09B1C3A8"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Cotterman, W. W., &amp; Senn, J. A. (1992). </w:t>
      </w:r>
      <w:r w:rsidRPr="003F6924">
        <w:rPr>
          <w:rFonts w:eastAsiaTheme="minorHAnsi"/>
          <w:i/>
          <w:iCs/>
          <w:color w:val="000000" w:themeColor="text1"/>
          <w:sz w:val="26"/>
          <w:szCs w:val="26"/>
          <w:lang w:val="en-US"/>
        </w:rPr>
        <w:t>Challenges and strategies for research in systems development</w:t>
      </w:r>
      <w:r w:rsidRPr="003F6924">
        <w:rPr>
          <w:rFonts w:eastAsiaTheme="minorHAnsi"/>
          <w:color w:val="000000" w:themeColor="text1"/>
          <w:sz w:val="26"/>
          <w:szCs w:val="26"/>
          <w:lang w:val="en-US"/>
        </w:rPr>
        <w:t xml:space="preserve">. Wiley. </w:t>
      </w:r>
    </w:p>
    <w:p w14:paraId="03ABBF9A"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Cronbach, L. J. (1951). Coefficient alpha and the internal structure of tests. </w:t>
      </w:r>
      <w:r w:rsidRPr="003F6924">
        <w:rPr>
          <w:rFonts w:eastAsiaTheme="minorHAnsi"/>
          <w:i/>
          <w:iCs/>
          <w:color w:val="000000" w:themeColor="text1"/>
          <w:sz w:val="26"/>
          <w:szCs w:val="26"/>
          <w:lang w:val="en-US"/>
        </w:rPr>
        <w:t>Psychometrika</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16</w:t>
      </w:r>
      <w:r w:rsidRPr="003F6924">
        <w:rPr>
          <w:rFonts w:eastAsiaTheme="minorHAnsi"/>
          <w:color w:val="000000" w:themeColor="text1"/>
          <w:sz w:val="26"/>
          <w:szCs w:val="26"/>
          <w:lang w:val="en-US"/>
        </w:rPr>
        <w:t>(3), 297–334. https://doi.org/10.1007/BF02310555</w:t>
      </w:r>
    </w:p>
    <w:p w14:paraId="6EE239EE" w14:textId="7388B52C"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DePietro, R., Wiarda, E., &amp; Fleischer, M. (1990). </w:t>
      </w:r>
      <w:r w:rsidRPr="003F6924">
        <w:rPr>
          <w:rFonts w:eastAsiaTheme="minorHAnsi"/>
          <w:i/>
          <w:iCs/>
          <w:color w:val="000000" w:themeColor="text1"/>
          <w:sz w:val="26"/>
          <w:szCs w:val="26"/>
          <w:lang w:val="en-US"/>
        </w:rPr>
        <w:t xml:space="preserve">The context for change: Organization, </w:t>
      </w:r>
      <w:proofErr w:type="gramStart"/>
      <w:r w:rsidRPr="003F6924">
        <w:rPr>
          <w:rFonts w:eastAsiaTheme="minorHAnsi"/>
          <w:i/>
          <w:iCs/>
          <w:color w:val="000000" w:themeColor="text1"/>
          <w:sz w:val="26"/>
          <w:szCs w:val="26"/>
          <w:lang w:val="en-US"/>
        </w:rPr>
        <w:t>technology</w:t>
      </w:r>
      <w:proofErr w:type="gramEnd"/>
      <w:r w:rsidRPr="003F6924">
        <w:rPr>
          <w:rFonts w:eastAsiaTheme="minorHAnsi"/>
          <w:i/>
          <w:iCs/>
          <w:color w:val="000000" w:themeColor="text1"/>
          <w:sz w:val="26"/>
          <w:szCs w:val="26"/>
          <w:lang w:val="en-US"/>
        </w:rPr>
        <w:t xml:space="preserve"> and environment</w:t>
      </w:r>
      <w:r w:rsidRPr="003F6924">
        <w:rPr>
          <w:rFonts w:eastAsiaTheme="minorHAnsi"/>
          <w:color w:val="000000" w:themeColor="text1"/>
          <w:sz w:val="26"/>
          <w:szCs w:val="26"/>
          <w:lang w:val="en-US"/>
        </w:rPr>
        <w:t xml:space="preserve"> (</w:t>
      </w:r>
      <w:r w:rsidR="00D91D58">
        <w:rPr>
          <w:rFonts w:eastAsiaTheme="minorHAnsi"/>
          <w:color w:val="000000" w:themeColor="text1"/>
          <w:sz w:val="26"/>
          <w:szCs w:val="26"/>
          <w:lang w:val="en-US"/>
        </w:rPr>
        <w:t>pp. 151-175</w:t>
      </w:r>
      <w:r w:rsidRPr="003F6924">
        <w:rPr>
          <w:rFonts w:eastAsiaTheme="minorHAnsi"/>
          <w:color w:val="000000" w:themeColor="text1"/>
          <w:sz w:val="26"/>
          <w:szCs w:val="26"/>
          <w:lang w:val="en-US"/>
        </w:rPr>
        <w:t>). Lexington, MA: Lexington Books.</w:t>
      </w:r>
    </w:p>
    <w:p w14:paraId="77D54822"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Dethine, B., Enjolras, M., &amp; Monticolo, D. (2020). Digitalization and SMEs’ export management: Impacts on resources and capabilities. </w:t>
      </w:r>
      <w:r w:rsidRPr="003F6924">
        <w:rPr>
          <w:rFonts w:eastAsiaTheme="minorHAnsi"/>
          <w:i/>
          <w:iCs/>
          <w:color w:val="000000" w:themeColor="text1"/>
          <w:sz w:val="26"/>
          <w:szCs w:val="26"/>
          <w:lang w:val="en-US"/>
        </w:rPr>
        <w:t>Technology Innovation Management Review</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10</w:t>
      </w:r>
      <w:r w:rsidRPr="003F6924">
        <w:rPr>
          <w:rFonts w:eastAsiaTheme="minorHAnsi"/>
          <w:color w:val="000000" w:themeColor="text1"/>
          <w:sz w:val="26"/>
          <w:szCs w:val="26"/>
          <w:lang w:val="en-US"/>
        </w:rPr>
        <w:t>(4), 18–34. https://doi.org/10.22215/timreview/1344</w:t>
      </w:r>
    </w:p>
    <w:p w14:paraId="4C3D371D"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sz w:val="26"/>
          <w:szCs w:val="26"/>
          <w:lang w:val="en-US"/>
        </w:rPr>
        <w:t xml:space="preserve">Dijkstra, T. K., &amp; Henseler, J. (2015). Consistent partial least squares path modeling. </w:t>
      </w:r>
      <w:r w:rsidRPr="003F6924">
        <w:rPr>
          <w:i/>
          <w:iCs/>
          <w:sz w:val="26"/>
          <w:szCs w:val="26"/>
          <w:lang w:val="en-US"/>
        </w:rPr>
        <w:t>MIS Quarterly, 39</w:t>
      </w:r>
      <w:r w:rsidRPr="003F6924">
        <w:rPr>
          <w:sz w:val="26"/>
          <w:szCs w:val="26"/>
          <w:lang w:val="en-US"/>
        </w:rPr>
        <w:t>(2), 297-316. https://www.jstor.org/stable/26628355</w:t>
      </w:r>
    </w:p>
    <w:p w14:paraId="637829A0"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Du, Z., &amp; Wang, Q. (2024). The power of financial support in accelerating digital transformation and corporate innovation in China: Evidence from banking and capital markets. </w:t>
      </w:r>
      <w:r w:rsidRPr="003F6924">
        <w:rPr>
          <w:rFonts w:eastAsiaTheme="minorHAnsi"/>
          <w:i/>
          <w:iCs/>
          <w:color w:val="000000" w:themeColor="text1"/>
          <w:sz w:val="26"/>
          <w:szCs w:val="26"/>
          <w:lang w:val="en-US"/>
        </w:rPr>
        <w:t>Financial Innovation</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10</w:t>
      </w:r>
      <w:r w:rsidRPr="003F6924">
        <w:rPr>
          <w:rFonts w:eastAsiaTheme="minorHAnsi"/>
          <w:color w:val="000000" w:themeColor="text1"/>
          <w:sz w:val="26"/>
          <w:szCs w:val="26"/>
          <w:lang w:val="en-US"/>
        </w:rPr>
        <w:t>(1), 76. https://doi.org/10.1186/s40854-023-00584-1</w:t>
      </w:r>
    </w:p>
    <w:p w14:paraId="13E1D404"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Eggers, J. P., &amp; Park, K. F. (2018). Incumbent adaptation to technological change: The past, present, and future of research on heterogeneous incumbent response. </w:t>
      </w:r>
      <w:r w:rsidRPr="003F6924">
        <w:rPr>
          <w:rFonts w:eastAsiaTheme="minorHAnsi"/>
          <w:i/>
          <w:iCs/>
          <w:color w:val="000000" w:themeColor="text1"/>
          <w:sz w:val="26"/>
          <w:szCs w:val="26"/>
          <w:lang w:val="en-US"/>
        </w:rPr>
        <w:t>Academy of Management Annals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12</w:t>
      </w:r>
      <w:r w:rsidRPr="003F6924">
        <w:rPr>
          <w:rFonts w:eastAsiaTheme="minorHAnsi"/>
          <w:color w:val="000000" w:themeColor="text1"/>
          <w:sz w:val="26"/>
          <w:szCs w:val="26"/>
          <w:lang w:val="en-US"/>
        </w:rPr>
        <w:t>(1), 357–389. https://doi.org/10.5465/annals.2016.0051</w:t>
      </w:r>
    </w:p>
    <w:p w14:paraId="598F5EB7" w14:textId="256DF00D"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sz w:val="26"/>
          <w:szCs w:val="26"/>
          <w:lang w:val="en-US"/>
        </w:rPr>
        <w:t xml:space="preserve">Etikan, I., &amp; Babatope, O. (2019). A basic approach in sampling methodology and sample size calculation. </w:t>
      </w:r>
      <w:r w:rsidRPr="003F6924">
        <w:rPr>
          <w:i/>
          <w:iCs/>
          <w:sz w:val="26"/>
          <w:szCs w:val="26"/>
          <w:lang w:val="en-US"/>
        </w:rPr>
        <w:t>MedLife Clin</w:t>
      </w:r>
      <w:r w:rsidR="00005012">
        <w:rPr>
          <w:i/>
          <w:iCs/>
          <w:sz w:val="26"/>
          <w:szCs w:val="26"/>
          <w:lang w:val="en-US"/>
        </w:rPr>
        <w:t>ics</w:t>
      </w:r>
      <w:r w:rsidRPr="003F6924">
        <w:rPr>
          <w:i/>
          <w:iCs/>
          <w:sz w:val="26"/>
          <w:szCs w:val="26"/>
          <w:lang w:val="en-US"/>
        </w:rPr>
        <w:t>, 1</w:t>
      </w:r>
      <w:r w:rsidRPr="003F6924">
        <w:rPr>
          <w:sz w:val="26"/>
          <w:szCs w:val="26"/>
          <w:lang w:val="en-US"/>
        </w:rPr>
        <w:t>(2), 1006.</w:t>
      </w:r>
      <w:r w:rsidRPr="003F6924">
        <w:rPr>
          <w:sz w:val="26"/>
          <w:szCs w:val="26"/>
          <w:lang w:val="vi-VN"/>
        </w:rPr>
        <w:t xml:space="preserve"> https://www.medtextpublications.com/open-access/a-basic-approach-in-sampling-methodology-and-sample-size-calculation-249.pdf </w:t>
      </w:r>
    </w:p>
    <w:p w14:paraId="6C317456"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Fainshmidt, S., Witt, M. A., Aguilera, R. V., &amp; Verbeke, A. (2020). The contributions of qualitative comparative analysis (QCA) to international business research. </w:t>
      </w:r>
      <w:r w:rsidRPr="003F6924">
        <w:rPr>
          <w:rFonts w:eastAsiaTheme="minorHAnsi"/>
          <w:i/>
          <w:iCs/>
          <w:color w:val="000000" w:themeColor="text1"/>
          <w:sz w:val="26"/>
          <w:szCs w:val="26"/>
          <w:lang w:val="en-US"/>
        </w:rPr>
        <w:t>Journal of International Business Studies, 51</w:t>
      </w:r>
      <w:r w:rsidRPr="003F6924">
        <w:rPr>
          <w:rFonts w:eastAsiaTheme="minorHAnsi"/>
          <w:color w:val="000000" w:themeColor="text1"/>
          <w:sz w:val="26"/>
          <w:szCs w:val="26"/>
          <w:lang w:val="en-US"/>
        </w:rPr>
        <w:t>(4), 455–466. https://doi.org/10.1057/s41267-020-00313-1</w:t>
      </w:r>
    </w:p>
    <w:p w14:paraId="4048E9A0"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Fairooz, H. M. M., &amp; Wickramasinghe, C. N. (2019). Innovation and development of digital finance: A review on digital transformation in banking &amp; financial sector of Sri Lanka. </w:t>
      </w:r>
      <w:r w:rsidRPr="003F6924">
        <w:rPr>
          <w:rFonts w:eastAsiaTheme="minorHAnsi"/>
          <w:i/>
          <w:iCs/>
          <w:color w:val="000000" w:themeColor="text1"/>
          <w:sz w:val="26"/>
          <w:szCs w:val="26"/>
          <w:lang w:val="en-US"/>
        </w:rPr>
        <w:t>Asian Journal of Economics, Finance and Management</w:t>
      </w:r>
      <w:r w:rsidRPr="003F6924">
        <w:rPr>
          <w:rFonts w:eastAsiaTheme="minorHAnsi"/>
          <w:color w:val="000000" w:themeColor="text1"/>
          <w:sz w:val="26"/>
          <w:szCs w:val="26"/>
          <w:lang w:val="en-US"/>
        </w:rPr>
        <w:t xml:space="preserve">, 69–78. https://www.journaleconomics.org/index.php/AJEFM/article/view/9 </w:t>
      </w:r>
    </w:p>
    <w:p w14:paraId="483765A2"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Feliciano-Cestero, M. M., Ameen, N., Kotabe, M., Paul, J., &amp; Signoret, M. (2023). Is digital transformation threatened? A systematic literature review of the factors influencing firms’ digital transformation and internationalization. </w:t>
      </w:r>
      <w:r w:rsidRPr="003F6924">
        <w:rPr>
          <w:rFonts w:eastAsiaTheme="minorHAnsi"/>
          <w:i/>
          <w:iCs/>
          <w:color w:val="000000" w:themeColor="text1"/>
          <w:sz w:val="26"/>
          <w:szCs w:val="26"/>
          <w:lang w:val="en-US"/>
        </w:rPr>
        <w:t>Journal of Business Research</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157</w:t>
      </w:r>
      <w:r w:rsidRPr="003F6924">
        <w:rPr>
          <w:rFonts w:eastAsiaTheme="minorHAnsi"/>
          <w:color w:val="000000" w:themeColor="text1"/>
          <w:sz w:val="26"/>
          <w:szCs w:val="26"/>
          <w:lang w:val="en-US"/>
        </w:rPr>
        <w:t>, 113546. https://doi.org/10.1016/j.jbusres.2022.113546</w:t>
      </w:r>
    </w:p>
    <w:p w14:paraId="1042CEC6"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Felipe, T., Torres de Oliveira, R., Toth-Peter, A., Mathews, S., &amp; Dulleck, U. (2025). Digital transformation in commercial banks: Unraveling the flow of Industry 4.0. </w:t>
      </w:r>
      <w:r w:rsidRPr="003F6924">
        <w:rPr>
          <w:rFonts w:eastAsiaTheme="minorHAnsi"/>
          <w:i/>
          <w:iCs/>
          <w:color w:val="000000" w:themeColor="text1"/>
          <w:sz w:val="26"/>
          <w:szCs w:val="26"/>
          <w:lang w:val="en-US"/>
        </w:rPr>
        <w:t>Digital Business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5</w:t>
      </w:r>
      <w:r w:rsidRPr="003F6924">
        <w:rPr>
          <w:rFonts w:eastAsiaTheme="minorHAnsi"/>
          <w:color w:val="000000" w:themeColor="text1"/>
          <w:sz w:val="26"/>
          <w:szCs w:val="26"/>
          <w:lang w:val="en-US"/>
        </w:rPr>
        <w:t>(2), 100129. https://doi.org/10.1016/j.digbus.2025.100129</w:t>
      </w:r>
    </w:p>
    <w:p w14:paraId="6E032A04"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Fiss, P. C. (2011). Building better causal theories: A fuzzy set approach to typologies in organization research. </w:t>
      </w:r>
      <w:r w:rsidRPr="003F6924">
        <w:rPr>
          <w:rFonts w:eastAsiaTheme="minorHAnsi"/>
          <w:i/>
          <w:iCs/>
          <w:color w:val="000000" w:themeColor="text1"/>
          <w:sz w:val="26"/>
          <w:szCs w:val="26"/>
          <w:lang w:val="en-US"/>
        </w:rPr>
        <w:t>Academy of Management Journal</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54</w:t>
      </w:r>
      <w:r w:rsidRPr="003F6924">
        <w:rPr>
          <w:rFonts w:eastAsiaTheme="minorHAnsi"/>
          <w:color w:val="000000" w:themeColor="text1"/>
          <w:sz w:val="26"/>
          <w:szCs w:val="26"/>
          <w:lang w:val="en-US"/>
        </w:rPr>
        <w:t>(2), 393–420. https://doi.org/10.5465/amj.2011.60263120</w:t>
      </w:r>
    </w:p>
    <w:p w14:paraId="0A6FBC1D"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Fornell, C., &amp; Larcker, D. F. (1981). Evaluating structural equation models with unobservable variables and measurement error. </w:t>
      </w:r>
      <w:r w:rsidRPr="003F6924">
        <w:rPr>
          <w:rFonts w:eastAsiaTheme="minorHAnsi"/>
          <w:i/>
          <w:iCs/>
          <w:color w:val="000000" w:themeColor="text1"/>
          <w:sz w:val="26"/>
          <w:szCs w:val="26"/>
          <w:lang w:val="en-US"/>
        </w:rPr>
        <w:t>Journal of Marketing Research</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18</w:t>
      </w:r>
      <w:r w:rsidRPr="003F6924">
        <w:rPr>
          <w:rFonts w:eastAsiaTheme="minorHAnsi"/>
          <w:color w:val="000000" w:themeColor="text1"/>
          <w:sz w:val="26"/>
          <w:szCs w:val="26"/>
          <w:lang w:val="en-US"/>
        </w:rPr>
        <w:t>(1), 39–50. https://doi.org/10.2307/3151312</w:t>
      </w:r>
    </w:p>
    <w:p w14:paraId="7B90644C" w14:textId="55E8C11A"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Ha, M. S., &amp; Nguyen, T. L. (2022). Digital transformation in banking: A case from Vietnam. In T. Phan &amp; D. Damian (Eds.), </w:t>
      </w:r>
      <w:r w:rsidRPr="003F6924">
        <w:rPr>
          <w:rFonts w:eastAsiaTheme="minorHAnsi"/>
          <w:i/>
          <w:iCs/>
          <w:color w:val="000000" w:themeColor="text1"/>
          <w:sz w:val="26"/>
          <w:szCs w:val="26"/>
          <w:lang w:val="en-US"/>
        </w:rPr>
        <w:t xml:space="preserve">Smart </w:t>
      </w:r>
      <w:r w:rsidR="008E378C" w:rsidRPr="003F6924">
        <w:rPr>
          <w:rFonts w:eastAsiaTheme="minorHAnsi"/>
          <w:i/>
          <w:iCs/>
          <w:color w:val="000000" w:themeColor="text1"/>
          <w:sz w:val="26"/>
          <w:szCs w:val="26"/>
          <w:lang w:val="en-US"/>
        </w:rPr>
        <w:t xml:space="preserve">cities </w:t>
      </w:r>
      <w:r w:rsidRPr="003F6924">
        <w:rPr>
          <w:rFonts w:eastAsiaTheme="minorHAnsi"/>
          <w:i/>
          <w:iCs/>
          <w:color w:val="000000" w:themeColor="text1"/>
          <w:sz w:val="26"/>
          <w:szCs w:val="26"/>
          <w:lang w:val="en-US"/>
        </w:rPr>
        <w:t xml:space="preserve">in Asia: Regulations, </w:t>
      </w:r>
      <w:r w:rsidR="008E378C" w:rsidRPr="003F6924">
        <w:rPr>
          <w:rFonts w:eastAsiaTheme="minorHAnsi"/>
          <w:i/>
          <w:iCs/>
          <w:color w:val="000000" w:themeColor="text1"/>
          <w:sz w:val="26"/>
          <w:szCs w:val="26"/>
          <w:lang w:val="en-US"/>
        </w:rPr>
        <w:t>problems, and development</w:t>
      </w:r>
      <w:r w:rsidRPr="003F6924">
        <w:rPr>
          <w:rFonts w:eastAsiaTheme="minorHAnsi"/>
          <w:color w:val="000000" w:themeColor="text1"/>
          <w:sz w:val="26"/>
          <w:szCs w:val="26"/>
          <w:lang w:val="en-US"/>
        </w:rPr>
        <w:t xml:space="preserve"> (pp. 103–114). Springer Nature. https://doi.org/10.1007/978-981-19-1701-1_9</w:t>
      </w:r>
    </w:p>
    <w:p w14:paraId="6D64A78D" w14:textId="18F7FE12"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Hair, J. F., Hult, G. T. M., Ringle, C. M., &amp; Sarstedt, M. (2017). </w:t>
      </w:r>
      <w:r w:rsidRPr="003F6924">
        <w:rPr>
          <w:rFonts w:eastAsiaTheme="minorHAnsi"/>
          <w:i/>
          <w:iCs/>
          <w:color w:val="000000" w:themeColor="text1"/>
          <w:sz w:val="26"/>
          <w:szCs w:val="26"/>
          <w:lang w:val="en-US"/>
        </w:rPr>
        <w:t xml:space="preserve">A </w:t>
      </w:r>
      <w:r w:rsidR="008E378C" w:rsidRPr="003F6924">
        <w:rPr>
          <w:rFonts w:eastAsiaTheme="minorHAnsi"/>
          <w:i/>
          <w:iCs/>
          <w:color w:val="000000" w:themeColor="text1"/>
          <w:sz w:val="26"/>
          <w:szCs w:val="26"/>
          <w:lang w:val="en-US"/>
        </w:rPr>
        <w:t>primer on partial least squares structural equation modeling</w:t>
      </w:r>
      <w:r w:rsidRPr="003F6924">
        <w:rPr>
          <w:rFonts w:eastAsiaTheme="minorHAnsi"/>
          <w:i/>
          <w:iCs/>
          <w:color w:val="000000" w:themeColor="text1"/>
          <w:sz w:val="26"/>
          <w:szCs w:val="26"/>
          <w:lang w:val="en-US"/>
        </w:rPr>
        <w:t xml:space="preserve"> (PLS-SEM)</w:t>
      </w:r>
      <w:r w:rsidRPr="003F6924">
        <w:rPr>
          <w:rFonts w:eastAsiaTheme="minorHAnsi"/>
          <w:color w:val="000000" w:themeColor="text1"/>
          <w:sz w:val="26"/>
          <w:szCs w:val="26"/>
          <w:lang w:val="en-US"/>
        </w:rPr>
        <w:t>. Thousand Oaks: Sage. https://doi.org/10.1016/j.lrp.2013.01.002</w:t>
      </w:r>
    </w:p>
    <w:p w14:paraId="497CB473"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Hair, J. F., Risher, J. J., Sarstedt, M., &amp; Ringle, C. M. (2019). When to use and how to report the results of PLS-SEM. </w:t>
      </w:r>
      <w:r w:rsidRPr="003F6924">
        <w:rPr>
          <w:rFonts w:eastAsiaTheme="minorHAnsi"/>
          <w:i/>
          <w:iCs/>
          <w:color w:val="000000" w:themeColor="text1"/>
          <w:sz w:val="26"/>
          <w:szCs w:val="26"/>
          <w:lang w:val="en-US"/>
        </w:rPr>
        <w:t>European Business Review</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31</w:t>
      </w:r>
      <w:r w:rsidRPr="003F6924">
        <w:rPr>
          <w:rFonts w:eastAsiaTheme="minorHAnsi"/>
          <w:color w:val="000000" w:themeColor="text1"/>
          <w:sz w:val="26"/>
          <w:szCs w:val="26"/>
          <w:lang w:val="en-US"/>
        </w:rPr>
        <w:t>(1), 2–24. https://doi.org/10.1108/EBR-11-2018-0203</w:t>
      </w:r>
    </w:p>
    <w:p w14:paraId="50236CBA"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Hannan, M. T., &amp; Freeman, J. (1984). Structural inertia and organizational change. </w:t>
      </w:r>
      <w:r w:rsidRPr="003F6924">
        <w:rPr>
          <w:rFonts w:eastAsiaTheme="minorHAnsi"/>
          <w:i/>
          <w:iCs/>
          <w:color w:val="000000" w:themeColor="text1"/>
          <w:sz w:val="26"/>
          <w:szCs w:val="26"/>
          <w:lang w:val="en-US"/>
        </w:rPr>
        <w:t>American Sociological Review</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49</w:t>
      </w:r>
      <w:r w:rsidRPr="003F6924">
        <w:rPr>
          <w:rFonts w:eastAsiaTheme="minorHAnsi"/>
          <w:color w:val="000000" w:themeColor="text1"/>
          <w:sz w:val="26"/>
          <w:szCs w:val="26"/>
          <w:lang w:val="en-US"/>
        </w:rPr>
        <w:t>(2), 149–164. https://doi.org/10.2307/2095567</w:t>
      </w:r>
    </w:p>
    <w:p w14:paraId="7A0F0A50"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Hashimy, L., Jain, G., &amp; Grifell-Tatjé, E. (2023). Determinants of blockchain adoption as decentralized business model by Spanish firms – An innovation theory perspective. </w:t>
      </w:r>
      <w:r w:rsidRPr="003F6924">
        <w:rPr>
          <w:rFonts w:eastAsiaTheme="minorHAnsi"/>
          <w:i/>
          <w:iCs/>
          <w:color w:val="000000" w:themeColor="text1"/>
          <w:sz w:val="26"/>
          <w:szCs w:val="26"/>
          <w:lang w:val="en-US"/>
        </w:rPr>
        <w:t>Industrial Management &amp; Data Systems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123</w:t>
      </w:r>
      <w:r w:rsidRPr="003F6924">
        <w:rPr>
          <w:rFonts w:eastAsiaTheme="minorHAnsi"/>
          <w:color w:val="000000" w:themeColor="text1"/>
          <w:sz w:val="26"/>
          <w:szCs w:val="26"/>
          <w:lang w:val="en-US"/>
        </w:rPr>
        <w:t>(1), 204–228. https://doi.org/10.1108/IMDS-01-2022-0030</w:t>
      </w:r>
    </w:p>
    <w:p w14:paraId="2E0B8ABC"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Hassan Al‐Tamimi, H. A., &amp; Mohammed Al‐Mazrooei, F. (2007). Banks’ risk management: A comparison study of UAE national and foreign banks. </w:t>
      </w:r>
      <w:r w:rsidRPr="003F6924">
        <w:rPr>
          <w:rFonts w:eastAsiaTheme="minorHAnsi"/>
          <w:i/>
          <w:iCs/>
          <w:color w:val="000000" w:themeColor="text1"/>
          <w:sz w:val="26"/>
          <w:szCs w:val="26"/>
          <w:lang w:val="en-US"/>
        </w:rPr>
        <w:t>The Journal of Risk Finance</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8</w:t>
      </w:r>
      <w:r w:rsidRPr="003F6924">
        <w:rPr>
          <w:rFonts w:eastAsiaTheme="minorHAnsi"/>
          <w:color w:val="000000" w:themeColor="text1"/>
          <w:sz w:val="26"/>
          <w:szCs w:val="26"/>
          <w:lang w:val="en-US"/>
        </w:rPr>
        <w:t>(4), 394–409. https://doi.org/10.1108/15265940710777333</w:t>
      </w:r>
    </w:p>
    <w:p w14:paraId="0BD628E4"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Hassouneh, D., &amp; Brengman, M. (2011). Virtual worlds: A gateway for SMEs toward internationalization. </w:t>
      </w:r>
      <w:r w:rsidRPr="003F6924">
        <w:rPr>
          <w:rFonts w:eastAsiaTheme="minorHAnsi"/>
          <w:i/>
          <w:iCs/>
          <w:color w:val="000000" w:themeColor="text1"/>
          <w:sz w:val="26"/>
          <w:szCs w:val="26"/>
          <w:lang w:val="en-US"/>
        </w:rPr>
        <w:t>Journal of Brand Management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19</w:t>
      </w:r>
      <w:r w:rsidRPr="003F6924">
        <w:rPr>
          <w:rFonts w:eastAsiaTheme="minorHAnsi"/>
          <w:color w:val="000000" w:themeColor="text1"/>
          <w:sz w:val="26"/>
          <w:szCs w:val="26"/>
          <w:lang w:val="en-US"/>
        </w:rPr>
        <w:t>(1), 72–90. https://doi.org/10.1057/bm.2011.24</w:t>
      </w:r>
    </w:p>
    <w:p w14:paraId="31EB5718"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Henseler, J. (2021). </w:t>
      </w:r>
      <w:r w:rsidRPr="003F6924">
        <w:rPr>
          <w:rFonts w:eastAsiaTheme="minorHAnsi"/>
          <w:i/>
          <w:iCs/>
          <w:color w:val="000000" w:themeColor="text1"/>
          <w:sz w:val="26"/>
          <w:szCs w:val="26"/>
          <w:lang w:val="en-US"/>
        </w:rPr>
        <w:t>Composite-based structural equation modeling: Analyzing latent and emergent variables</w:t>
      </w:r>
      <w:r w:rsidRPr="003F6924">
        <w:rPr>
          <w:rFonts w:eastAsiaTheme="minorHAnsi"/>
          <w:color w:val="000000" w:themeColor="text1"/>
          <w:sz w:val="26"/>
          <w:szCs w:val="26"/>
          <w:lang w:val="en-US"/>
        </w:rPr>
        <w:t xml:space="preserve"> (pp. xiv, 364). The Guilford Press.</w:t>
      </w:r>
    </w:p>
    <w:p w14:paraId="2C790A43"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Henseler, J., Ringle, C. M., &amp; Sarstedt, M. (2015). A new criterion for assessing discriminant validity in variance-based structural equation modeling. </w:t>
      </w:r>
      <w:r w:rsidRPr="003F6924">
        <w:rPr>
          <w:rFonts w:eastAsiaTheme="minorHAnsi"/>
          <w:i/>
          <w:iCs/>
          <w:color w:val="000000" w:themeColor="text1"/>
          <w:sz w:val="26"/>
          <w:szCs w:val="26"/>
          <w:lang w:val="en-US"/>
        </w:rPr>
        <w:t>Journal of the Academy of Marketing Science</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43</w:t>
      </w:r>
      <w:r w:rsidRPr="003F6924">
        <w:rPr>
          <w:rFonts w:eastAsiaTheme="minorHAnsi"/>
          <w:color w:val="000000" w:themeColor="text1"/>
          <w:sz w:val="26"/>
          <w:szCs w:val="26"/>
          <w:lang w:val="en-US"/>
        </w:rPr>
        <w:t>(1), 115–135. https://doi.org/10.1007/s11747-014-0403-8</w:t>
      </w:r>
    </w:p>
    <w:p w14:paraId="3A8B7E50" w14:textId="1C116382"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Henseler, J., Ringle, C. M., &amp; Sinkovics, R. R. (2009). The use of partial least squares path modeling in international marketing. In R. R. Sinkovics &amp; P. N. Ghauri (Eds.), </w:t>
      </w:r>
      <w:r w:rsidRPr="003F6924">
        <w:rPr>
          <w:rFonts w:eastAsiaTheme="minorHAnsi"/>
          <w:i/>
          <w:iCs/>
          <w:color w:val="000000" w:themeColor="text1"/>
          <w:sz w:val="26"/>
          <w:szCs w:val="26"/>
          <w:lang w:val="en-US"/>
        </w:rPr>
        <w:t>New</w:t>
      </w:r>
      <w:r w:rsidR="00E70046" w:rsidRPr="003F6924">
        <w:rPr>
          <w:rFonts w:eastAsiaTheme="minorHAnsi"/>
          <w:i/>
          <w:iCs/>
          <w:color w:val="000000" w:themeColor="text1"/>
          <w:sz w:val="26"/>
          <w:szCs w:val="26"/>
          <w:lang w:val="en-US"/>
        </w:rPr>
        <w:t xml:space="preserve"> challenges to international marketing</w:t>
      </w:r>
      <w:r w:rsidRPr="003F6924">
        <w:rPr>
          <w:rFonts w:eastAsiaTheme="minorHAnsi"/>
          <w:color w:val="000000" w:themeColor="text1"/>
          <w:sz w:val="26"/>
          <w:szCs w:val="26"/>
          <w:lang w:val="en-US"/>
        </w:rPr>
        <w:t xml:space="preserve"> (Vol. 20, pp. 277–319). Emerald Group Publishing Limited. https://doi.org/10.1108/S1474-7979(2009)0000020014</w:t>
      </w:r>
    </w:p>
    <w:p w14:paraId="147991F7"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Hoque, A., Le, D. T., &amp; Le, T. (2024). Does digital transformation reduce bank’s risk-taking? Evidence from Vietnamese commercial banks. </w:t>
      </w:r>
      <w:r w:rsidRPr="003F6924">
        <w:rPr>
          <w:rFonts w:eastAsiaTheme="minorHAnsi"/>
          <w:i/>
          <w:iCs/>
          <w:color w:val="000000" w:themeColor="text1"/>
          <w:sz w:val="26"/>
          <w:szCs w:val="26"/>
          <w:lang w:val="en-US"/>
        </w:rPr>
        <w:t>Journal of Open Innovation: Technology, Market, and Complexity</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10</w:t>
      </w:r>
      <w:r w:rsidRPr="003F6924">
        <w:rPr>
          <w:rFonts w:eastAsiaTheme="minorHAnsi"/>
          <w:color w:val="000000" w:themeColor="text1"/>
          <w:sz w:val="26"/>
          <w:szCs w:val="26"/>
          <w:lang w:val="en-US"/>
        </w:rPr>
        <w:t>(2), 100260. https://doi.org/10.1016/j.joitmc.2024.100260</w:t>
      </w:r>
    </w:p>
    <w:p w14:paraId="16E16E79"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Huong, D. T. T., &amp; Hoa, H. T. T. (2024). Digital transformation in expess enterprises: A case study in Thai Nguyen province, Vietnam. </w:t>
      </w:r>
      <w:r w:rsidRPr="003F6924">
        <w:rPr>
          <w:rFonts w:eastAsiaTheme="minorHAnsi"/>
          <w:i/>
          <w:iCs/>
          <w:color w:val="000000" w:themeColor="text1"/>
          <w:sz w:val="26"/>
          <w:szCs w:val="26"/>
          <w:lang w:val="en-US"/>
        </w:rPr>
        <w:t>International Journal of Business Marketing and Management (IJBMM)</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9</w:t>
      </w:r>
      <w:r w:rsidRPr="003F6924">
        <w:rPr>
          <w:rFonts w:eastAsiaTheme="minorHAnsi"/>
          <w:color w:val="000000" w:themeColor="text1"/>
          <w:sz w:val="26"/>
          <w:szCs w:val="26"/>
          <w:lang w:val="en-US"/>
        </w:rPr>
        <w:t xml:space="preserve">(2), 82–88. https://www.ijbmm.com/paper/Mar2024/8340436614.pdf </w:t>
      </w:r>
    </w:p>
    <w:p w14:paraId="6157E535"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Huynh, J. (2025). Digital transformation and bank liquidity creation: Evidence from a bank-based market. </w:t>
      </w:r>
      <w:r w:rsidRPr="003F6924">
        <w:rPr>
          <w:rFonts w:eastAsiaTheme="minorHAnsi"/>
          <w:i/>
          <w:iCs/>
          <w:color w:val="000000" w:themeColor="text1"/>
          <w:sz w:val="26"/>
          <w:szCs w:val="26"/>
          <w:lang w:val="en-US"/>
        </w:rPr>
        <w:t>Sage Open</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15</w:t>
      </w:r>
      <w:r w:rsidRPr="003F6924">
        <w:rPr>
          <w:rFonts w:eastAsiaTheme="minorHAnsi"/>
          <w:color w:val="000000" w:themeColor="text1"/>
          <w:sz w:val="26"/>
          <w:szCs w:val="26"/>
          <w:lang w:val="en-US"/>
        </w:rPr>
        <w:t>(4), 21582440251390670. https://doi.org/10.1177/21582440251390670</w:t>
      </w:r>
    </w:p>
    <w:p w14:paraId="04010683"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Ifinedo, P. (2012). Understanding information systems security policy compliance: An integration of the theory of planned behavior and the protection motivation theory. </w:t>
      </w:r>
      <w:r w:rsidRPr="003F6924">
        <w:rPr>
          <w:rFonts w:eastAsiaTheme="minorHAnsi"/>
          <w:i/>
          <w:iCs/>
          <w:color w:val="000000" w:themeColor="text1"/>
          <w:sz w:val="26"/>
          <w:szCs w:val="26"/>
          <w:lang w:val="en-US"/>
        </w:rPr>
        <w:t>Computers &amp; Security</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31</w:t>
      </w:r>
      <w:r w:rsidRPr="003F6924">
        <w:rPr>
          <w:rFonts w:eastAsiaTheme="minorHAnsi"/>
          <w:color w:val="000000" w:themeColor="text1"/>
          <w:sz w:val="26"/>
          <w:szCs w:val="26"/>
          <w:lang w:val="en-US"/>
        </w:rPr>
        <w:t>(1), 83–95. https://doi.org/10.1016/j.cose.2011.10.007</w:t>
      </w:r>
    </w:p>
    <w:p w14:paraId="3663846A"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Jayawardena, C., Ahmad, A., Valeri, M., &amp; Jaharadak, A. A. (2023). Technology acceptance antecedents in digital transformation in hospitality industry. </w:t>
      </w:r>
      <w:r w:rsidRPr="003F6924">
        <w:rPr>
          <w:rFonts w:eastAsiaTheme="minorHAnsi"/>
          <w:i/>
          <w:iCs/>
          <w:color w:val="000000" w:themeColor="text1"/>
          <w:sz w:val="26"/>
          <w:szCs w:val="26"/>
          <w:lang w:val="en-US"/>
        </w:rPr>
        <w:t>International Journal of Hospitality Management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108</w:t>
      </w:r>
      <w:r w:rsidRPr="003F6924">
        <w:rPr>
          <w:rFonts w:eastAsiaTheme="minorHAnsi"/>
          <w:color w:val="000000" w:themeColor="text1"/>
          <w:sz w:val="26"/>
          <w:szCs w:val="26"/>
          <w:lang w:val="en-US"/>
        </w:rPr>
        <w:t>, 103350. https://doi.org/10.1016/j.ijhm.2022.103350</w:t>
      </w:r>
    </w:p>
    <w:p w14:paraId="22DBB286"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Jia, K., &amp; Liu, X. (2024). Bank digital transformation, bank competitiveness and systemic risk. </w:t>
      </w:r>
      <w:r w:rsidRPr="003F6924">
        <w:rPr>
          <w:rFonts w:eastAsiaTheme="minorHAnsi"/>
          <w:i/>
          <w:iCs/>
          <w:color w:val="000000" w:themeColor="text1"/>
          <w:sz w:val="26"/>
          <w:szCs w:val="26"/>
          <w:lang w:val="en-US"/>
        </w:rPr>
        <w:t>Frontiers in Physics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11</w:t>
      </w:r>
      <w:r w:rsidRPr="003F6924">
        <w:rPr>
          <w:rFonts w:eastAsiaTheme="minorHAnsi"/>
          <w:color w:val="000000" w:themeColor="text1"/>
          <w:sz w:val="26"/>
          <w:szCs w:val="26"/>
          <w:lang w:val="en-US"/>
        </w:rPr>
        <w:t>. https://doi.org/10.3389/fphy.2023.1297912</w:t>
      </w:r>
    </w:p>
    <w:p w14:paraId="615C7440"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Khan, N. A., Khan, A. N., Bahadur, W., &amp; Ali, M. (2021). Mobile payment adoption: A multi-theory model, multi-method approach and multi-country study. </w:t>
      </w:r>
      <w:r w:rsidRPr="003F6924">
        <w:rPr>
          <w:rFonts w:eastAsiaTheme="minorHAnsi"/>
          <w:i/>
          <w:iCs/>
          <w:color w:val="000000" w:themeColor="text1"/>
          <w:sz w:val="26"/>
          <w:szCs w:val="26"/>
          <w:lang w:val="en-US"/>
        </w:rPr>
        <w:t>International Journal of Mobile Communications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19</w:t>
      </w:r>
      <w:r w:rsidRPr="003F6924">
        <w:rPr>
          <w:rFonts w:eastAsiaTheme="minorHAnsi"/>
          <w:color w:val="000000" w:themeColor="text1"/>
          <w:sz w:val="26"/>
          <w:szCs w:val="26"/>
          <w:lang w:val="en-US"/>
        </w:rPr>
        <w:t>(4), 467–491. https://doi.org/10.1504/IJMC.2021.116119</w:t>
      </w:r>
    </w:p>
    <w:p w14:paraId="32E4B695"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Kindermann, B., Beutel, S., Garcia de Lomana, G., Strese, S., Bendig, D., &amp; Brettel, M. (2021). Digital orientation: Conceptualization and operationalization of a new strategic orientation. </w:t>
      </w:r>
      <w:r w:rsidRPr="003F6924">
        <w:rPr>
          <w:rFonts w:eastAsiaTheme="minorHAnsi"/>
          <w:i/>
          <w:iCs/>
          <w:color w:val="000000" w:themeColor="text1"/>
          <w:sz w:val="26"/>
          <w:szCs w:val="26"/>
          <w:lang w:val="en-US"/>
        </w:rPr>
        <w:t>European Management Journal</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39</w:t>
      </w:r>
      <w:r w:rsidRPr="003F6924">
        <w:rPr>
          <w:rFonts w:eastAsiaTheme="minorHAnsi"/>
          <w:color w:val="000000" w:themeColor="text1"/>
          <w:sz w:val="26"/>
          <w:szCs w:val="26"/>
          <w:lang w:val="en-US"/>
        </w:rPr>
        <w:t>(5), 645–657. https://doi.org/10.1016/j.emj.2020.10.009</w:t>
      </w:r>
    </w:p>
    <w:p w14:paraId="0B3D4B39"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Krüger, N., &amp; Teuteberg, F. (2016). IT consultants as change agents in digital transformation initiatives. </w:t>
      </w:r>
      <w:r w:rsidRPr="003F6924">
        <w:rPr>
          <w:rFonts w:eastAsiaTheme="minorHAnsi"/>
          <w:i/>
          <w:iCs/>
          <w:color w:val="000000" w:themeColor="text1"/>
          <w:sz w:val="26"/>
          <w:szCs w:val="26"/>
          <w:lang w:val="en-US"/>
        </w:rPr>
        <w:t>In MKWI</w:t>
      </w:r>
      <w:r w:rsidRPr="003F6924">
        <w:rPr>
          <w:rFonts w:eastAsiaTheme="minorHAnsi"/>
          <w:color w:val="000000" w:themeColor="text1"/>
          <w:sz w:val="26"/>
          <w:szCs w:val="26"/>
          <w:lang w:val="en-US"/>
        </w:rPr>
        <w:t xml:space="preserve">, 1019–1039. https://www.researchgate.net/profile/Nicolai-Krueger-2/publication/297737458_IT_Consultants_as_Change_Agents_in_Digital_Transformation_Initiatives/links/56e2705c08aebc9edb19d5f4/IT-Consultants-as-Change-Agents-in-Digital-Transformation-Initiatives.pdf </w:t>
      </w:r>
    </w:p>
    <w:p w14:paraId="497B7C0F"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Lai, H., Pitafi, A. H., Hasany, N., &amp; Islam, T. (2021). Enhancing employee agility through information technology competency: An empirical study of China. </w:t>
      </w:r>
      <w:r w:rsidRPr="003F6924">
        <w:rPr>
          <w:rFonts w:eastAsiaTheme="minorHAnsi"/>
          <w:i/>
          <w:iCs/>
          <w:color w:val="000000" w:themeColor="text1"/>
          <w:sz w:val="26"/>
          <w:szCs w:val="26"/>
          <w:lang w:val="en-US"/>
        </w:rPr>
        <w:t>SAGE Open</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11</w:t>
      </w:r>
      <w:r w:rsidRPr="003F6924">
        <w:rPr>
          <w:rFonts w:eastAsiaTheme="minorHAnsi"/>
          <w:color w:val="000000" w:themeColor="text1"/>
          <w:sz w:val="26"/>
          <w:szCs w:val="26"/>
          <w:lang w:val="en-US"/>
        </w:rPr>
        <w:t>(2), 21582440211006687. https://doi.org/10.1177/21582440211006687</w:t>
      </w:r>
    </w:p>
    <w:p w14:paraId="215327B0"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Li, Y., Dai, J., &amp; Cui, L. (2020). The impact of digital technologies on economic and environmental performance in the context of Industry 4.0: A moderated mediation model. </w:t>
      </w:r>
      <w:r w:rsidRPr="003F6924">
        <w:rPr>
          <w:rFonts w:eastAsiaTheme="minorHAnsi"/>
          <w:i/>
          <w:iCs/>
          <w:color w:val="000000" w:themeColor="text1"/>
          <w:sz w:val="26"/>
          <w:szCs w:val="26"/>
          <w:lang w:val="en-US"/>
        </w:rPr>
        <w:t>International Journal of Production Economics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229</w:t>
      </w:r>
      <w:r w:rsidRPr="003F6924">
        <w:rPr>
          <w:rFonts w:eastAsiaTheme="minorHAnsi"/>
          <w:color w:val="000000" w:themeColor="text1"/>
          <w:sz w:val="26"/>
          <w:szCs w:val="26"/>
          <w:lang w:val="en-US"/>
        </w:rPr>
        <w:t>, 107777. https://doi.org/10.1016/j.ijpe.2020.107777</w:t>
      </w:r>
    </w:p>
    <w:p w14:paraId="0E26556B"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Linh, D. H., Chau, L. P., Huong, N. M., Huyen, P. T. N., Khue, T. M., Mai, N. T. T., &amp; Yen, N. T. H. (2025). Digital transformation in Vietnam commercial banks: Moderating effect of COVID-19 pandemic. </w:t>
      </w:r>
      <w:r w:rsidRPr="003F6924">
        <w:rPr>
          <w:rFonts w:eastAsiaTheme="minorHAnsi"/>
          <w:i/>
          <w:iCs/>
          <w:color w:val="000000" w:themeColor="text1"/>
          <w:sz w:val="26"/>
          <w:szCs w:val="26"/>
          <w:lang w:val="en-US"/>
        </w:rPr>
        <w:t>Journal of Organizational Behavior Research</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10</w:t>
      </w:r>
      <w:r w:rsidRPr="003F6924">
        <w:rPr>
          <w:rFonts w:eastAsiaTheme="minorHAnsi"/>
          <w:color w:val="000000" w:themeColor="text1"/>
          <w:sz w:val="26"/>
          <w:szCs w:val="26"/>
          <w:lang w:val="en-US"/>
        </w:rPr>
        <w:t>(1), 83–96. https://doi.org/10.51847/7zp2D0z0iJ</w:t>
      </w:r>
    </w:p>
    <w:p w14:paraId="6FA7B279"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Long, J. S., &amp; Freese, J. (2001). </w:t>
      </w:r>
      <w:r w:rsidRPr="003F6924">
        <w:rPr>
          <w:rFonts w:eastAsiaTheme="minorHAnsi"/>
          <w:i/>
          <w:iCs/>
          <w:color w:val="000000" w:themeColor="text1"/>
          <w:sz w:val="26"/>
          <w:szCs w:val="26"/>
          <w:lang w:val="en-US"/>
        </w:rPr>
        <w:t>Regression models for categorical dependent variables using Stata</w:t>
      </w:r>
      <w:r w:rsidRPr="003F6924">
        <w:rPr>
          <w:rFonts w:eastAsiaTheme="minorHAnsi"/>
          <w:color w:val="000000" w:themeColor="text1"/>
          <w:sz w:val="26"/>
          <w:szCs w:val="26"/>
          <w:lang w:val="en-US"/>
        </w:rPr>
        <w:t>. Stata Press.</w:t>
      </w:r>
    </w:p>
    <w:p w14:paraId="0F76CC8A"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Lutfi, A. A., Idris, K. M., &amp; Mohamad, R. (2016). The Influence of technological, organizational and environmental factors on accounting information system usage among Jordanian small and medium-sized enterprises. </w:t>
      </w:r>
      <w:r w:rsidRPr="003F6924">
        <w:rPr>
          <w:rFonts w:eastAsiaTheme="minorHAnsi"/>
          <w:i/>
          <w:iCs/>
          <w:color w:val="000000" w:themeColor="text1"/>
          <w:sz w:val="26"/>
          <w:szCs w:val="26"/>
          <w:lang w:val="en-US"/>
        </w:rPr>
        <w:t>International Journal of Economics and Financial Issues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6</w:t>
      </w:r>
      <w:r w:rsidRPr="003F6924">
        <w:rPr>
          <w:rFonts w:eastAsiaTheme="minorHAnsi"/>
          <w:color w:val="000000" w:themeColor="text1"/>
          <w:sz w:val="26"/>
          <w:szCs w:val="26"/>
          <w:lang w:val="en-US"/>
        </w:rPr>
        <w:t xml:space="preserve">(7S), Article 7S. https://www.econjournals.com/index.php/ijefi/article/view/3615 </w:t>
      </w:r>
    </w:p>
    <w:p w14:paraId="5B9171EB"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MacLean, D., &amp; Titah, R. (2023). Implementation and impacts of IT Service management in the IT function. </w:t>
      </w:r>
      <w:r w:rsidRPr="003F6924">
        <w:rPr>
          <w:rFonts w:eastAsiaTheme="minorHAnsi"/>
          <w:i/>
          <w:iCs/>
          <w:color w:val="000000" w:themeColor="text1"/>
          <w:sz w:val="26"/>
          <w:szCs w:val="26"/>
          <w:lang w:val="en-US"/>
        </w:rPr>
        <w:t>International Journal of Information Management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70</w:t>
      </w:r>
      <w:r w:rsidRPr="003F6924">
        <w:rPr>
          <w:rFonts w:eastAsiaTheme="minorHAnsi"/>
          <w:color w:val="000000" w:themeColor="text1"/>
          <w:sz w:val="26"/>
          <w:szCs w:val="26"/>
          <w:lang w:val="en-US"/>
        </w:rPr>
        <w:t>, 102628. https://doi.org/10.1016/j.ijinfomgt.2023.102628</w:t>
      </w:r>
    </w:p>
    <w:p w14:paraId="75CC2F84"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Mazzei, M. J., &amp; Noble, D. (2017). Big data dreams: A framework for corporate strategy. </w:t>
      </w:r>
      <w:r w:rsidRPr="003F6924">
        <w:rPr>
          <w:rFonts w:eastAsiaTheme="minorHAnsi"/>
          <w:i/>
          <w:iCs/>
          <w:color w:val="000000" w:themeColor="text1"/>
          <w:sz w:val="26"/>
          <w:szCs w:val="26"/>
          <w:lang w:val="en-US"/>
        </w:rPr>
        <w:t>Business Horizons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60</w:t>
      </w:r>
      <w:r w:rsidRPr="003F6924">
        <w:rPr>
          <w:rFonts w:eastAsiaTheme="minorHAnsi"/>
          <w:color w:val="000000" w:themeColor="text1"/>
          <w:sz w:val="26"/>
          <w:szCs w:val="26"/>
          <w:lang w:val="en-US"/>
        </w:rPr>
        <w:t>(3), 405–414. https://doi.org/10.1016/j.bushor.2017.01.010</w:t>
      </w:r>
    </w:p>
    <w:p w14:paraId="3547D16A"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Mo Bin, G. H., Wei, Q., &amp; Yang, K. (2021). A systematic review of factors influencing digital transformation of SMEs. </w:t>
      </w:r>
      <w:r w:rsidRPr="003F6924">
        <w:rPr>
          <w:rFonts w:eastAsiaTheme="minorHAnsi"/>
          <w:i/>
          <w:iCs/>
          <w:color w:val="000000" w:themeColor="text1"/>
          <w:sz w:val="26"/>
          <w:szCs w:val="26"/>
          <w:lang w:val="en-US"/>
        </w:rPr>
        <w:t>Turkish Journal of Computer and Mathematics Education (TURCOMAT)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12</w:t>
      </w:r>
      <w:r w:rsidRPr="003F6924">
        <w:rPr>
          <w:rFonts w:eastAsiaTheme="minorHAnsi"/>
          <w:color w:val="000000" w:themeColor="text1"/>
          <w:sz w:val="26"/>
          <w:szCs w:val="26"/>
          <w:lang w:val="en-US"/>
        </w:rPr>
        <w:t>(11), 1673–1686. https://doi.org/10.17762/turcomat.v12i11.6102</w:t>
      </w:r>
    </w:p>
    <w:p w14:paraId="1F39B018"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Nguyen, T. H., Le, X. C., &amp; Vu, T. H. L. (2022). An extended Technology-Organization-Environment (TOE) framework for online retailing utilization in digital transformation: Empirical evidence from Vietnam. </w:t>
      </w:r>
      <w:r w:rsidRPr="003F6924">
        <w:rPr>
          <w:rFonts w:eastAsiaTheme="minorHAnsi"/>
          <w:i/>
          <w:iCs/>
          <w:color w:val="000000" w:themeColor="text1"/>
          <w:sz w:val="26"/>
          <w:szCs w:val="26"/>
          <w:lang w:val="en-US"/>
        </w:rPr>
        <w:t>Journal of Open Innovation: Technology, Market, and Complexity</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8</w:t>
      </w:r>
      <w:r w:rsidRPr="003F6924">
        <w:rPr>
          <w:rFonts w:eastAsiaTheme="minorHAnsi"/>
          <w:color w:val="000000" w:themeColor="text1"/>
          <w:sz w:val="26"/>
          <w:szCs w:val="26"/>
          <w:lang w:val="en-US"/>
        </w:rPr>
        <w:t>(4), 200. https://doi.org/10.3390/joitmc8040200</w:t>
      </w:r>
    </w:p>
    <w:p w14:paraId="0325415E"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Nguyen, T. M. H., &amp; Bui, T. S. (2021). Factors affecting the intention to implement digital transformation in SMEs in Hanoi City. </w:t>
      </w:r>
      <w:r w:rsidRPr="003F6924">
        <w:rPr>
          <w:rFonts w:eastAsiaTheme="minorHAnsi"/>
          <w:i/>
          <w:iCs/>
          <w:color w:val="000000" w:themeColor="text1"/>
          <w:sz w:val="26"/>
          <w:szCs w:val="26"/>
          <w:lang w:val="en-US"/>
        </w:rPr>
        <w:t>TNU Journal of Science and Technology</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266</w:t>
      </w:r>
      <w:r w:rsidRPr="003F6924">
        <w:rPr>
          <w:rFonts w:eastAsiaTheme="minorHAnsi"/>
          <w:color w:val="000000" w:themeColor="text1"/>
          <w:sz w:val="26"/>
          <w:szCs w:val="26"/>
          <w:lang w:val="en-US"/>
        </w:rPr>
        <w:t>(18), 347–355. https://doi.org/10.34238/tnu-jst.5263</w:t>
      </w:r>
    </w:p>
    <w:p w14:paraId="474972EA"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Nwankpa, J. K., &amp; Roumani, Y. (2016). IT capability and digital transformation: A firm performance perspective. </w:t>
      </w:r>
      <w:r w:rsidRPr="003F6924">
        <w:rPr>
          <w:rFonts w:eastAsiaTheme="minorHAnsi"/>
          <w:i/>
          <w:iCs/>
          <w:color w:val="000000" w:themeColor="text1"/>
          <w:sz w:val="26"/>
          <w:szCs w:val="26"/>
          <w:lang w:val="en-US"/>
        </w:rPr>
        <w:t>IT Capability, Digital Transformation and Firm Performance</w:t>
      </w:r>
      <w:r w:rsidRPr="003F6924">
        <w:rPr>
          <w:rFonts w:eastAsiaTheme="minorHAnsi"/>
          <w:color w:val="000000" w:themeColor="text1"/>
          <w:sz w:val="26"/>
          <w:szCs w:val="26"/>
          <w:lang w:val="en-US"/>
        </w:rPr>
        <w:t xml:space="preserve">. Thirty Seventh International Conference on Information Systems, Dublin. https://www.researchgate.net/publication/362751432_IT_Capability_and_Digital_Transformation_A_Firm_Performance_Perspective_Completed_Research_Paper </w:t>
      </w:r>
    </w:p>
    <w:p w14:paraId="67CA4496"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Papathomas, A., &amp; Konteos, G. (2024). Financial institutions digital transformation: The stages of the journey and business metrics to follow. </w:t>
      </w:r>
      <w:r w:rsidRPr="003F6924">
        <w:rPr>
          <w:rFonts w:eastAsiaTheme="minorHAnsi"/>
          <w:i/>
          <w:iCs/>
          <w:color w:val="000000" w:themeColor="text1"/>
          <w:sz w:val="26"/>
          <w:szCs w:val="26"/>
          <w:lang w:val="en-US"/>
        </w:rPr>
        <w:t>Journal of Financial Services Marketing</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29</w:t>
      </w:r>
      <w:r w:rsidRPr="003F6924">
        <w:rPr>
          <w:rFonts w:eastAsiaTheme="minorHAnsi"/>
          <w:color w:val="000000" w:themeColor="text1"/>
          <w:sz w:val="26"/>
          <w:szCs w:val="26"/>
          <w:lang w:val="en-US"/>
        </w:rPr>
        <w:t>(2), 590–606. https://doi.org/10.1057/s41264-023-00223-x</w:t>
      </w:r>
    </w:p>
    <w:p w14:paraId="55B62D92" w14:textId="3057FD10"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Pappas, I. O., &amp; Woodside, A. G. (2021). Fuzzy-set</w:t>
      </w:r>
      <w:r w:rsidR="00B9683B" w:rsidRPr="003F6924">
        <w:rPr>
          <w:rFonts w:eastAsiaTheme="minorHAnsi"/>
          <w:color w:val="000000" w:themeColor="text1"/>
          <w:sz w:val="26"/>
          <w:szCs w:val="26"/>
          <w:lang w:val="en-US"/>
        </w:rPr>
        <w:t xml:space="preserve"> qualitative comparative analysis</w:t>
      </w:r>
      <w:r w:rsidRPr="003F6924">
        <w:rPr>
          <w:rFonts w:eastAsiaTheme="minorHAnsi"/>
          <w:color w:val="000000" w:themeColor="text1"/>
          <w:sz w:val="26"/>
          <w:szCs w:val="26"/>
          <w:lang w:val="en-US"/>
        </w:rPr>
        <w:t xml:space="preserve"> (</w:t>
      </w:r>
      <w:proofErr w:type="spellStart"/>
      <w:r w:rsidRPr="003F6924">
        <w:rPr>
          <w:rFonts w:eastAsiaTheme="minorHAnsi"/>
          <w:color w:val="000000" w:themeColor="text1"/>
          <w:sz w:val="26"/>
          <w:szCs w:val="26"/>
          <w:lang w:val="en-US"/>
        </w:rPr>
        <w:t>fsQCA</w:t>
      </w:r>
      <w:proofErr w:type="spellEnd"/>
      <w:r w:rsidRPr="003F6924">
        <w:rPr>
          <w:rFonts w:eastAsiaTheme="minorHAnsi"/>
          <w:color w:val="000000" w:themeColor="text1"/>
          <w:sz w:val="26"/>
          <w:szCs w:val="26"/>
          <w:lang w:val="en-US"/>
        </w:rPr>
        <w:t xml:space="preserve">): Guidelines for research practice in information systems and marketing. </w:t>
      </w:r>
      <w:r w:rsidRPr="003F6924">
        <w:rPr>
          <w:rFonts w:eastAsiaTheme="minorHAnsi"/>
          <w:i/>
          <w:iCs/>
          <w:color w:val="000000" w:themeColor="text1"/>
          <w:sz w:val="26"/>
          <w:szCs w:val="26"/>
          <w:lang w:val="en-US"/>
        </w:rPr>
        <w:t>International Journal of Information Management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58</w:t>
      </w:r>
      <w:r w:rsidRPr="003F6924">
        <w:rPr>
          <w:rFonts w:eastAsiaTheme="minorHAnsi"/>
          <w:color w:val="000000" w:themeColor="text1"/>
          <w:sz w:val="26"/>
          <w:szCs w:val="26"/>
          <w:lang w:val="en-US"/>
        </w:rPr>
        <w:t>, 102310. https://doi.org/10.1016/j.ijinfomgt.2021.102310</w:t>
      </w:r>
    </w:p>
    <w:p w14:paraId="48FF1647"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Pathan, Z. H., Jianqiu, Z., Akram, U., Latif, Z., Khan, M. K., &amp; Tunio, M. Z. (2017). Essential factors in cloud-computing adoption by SMEs. </w:t>
      </w:r>
      <w:r w:rsidRPr="003F6924">
        <w:rPr>
          <w:rFonts w:eastAsiaTheme="minorHAnsi"/>
          <w:i/>
          <w:iCs/>
          <w:color w:val="000000" w:themeColor="text1"/>
          <w:sz w:val="26"/>
          <w:szCs w:val="26"/>
          <w:lang w:val="en-US"/>
        </w:rPr>
        <w:t>Human Systems Management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36</w:t>
      </w:r>
      <w:r w:rsidRPr="003F6924">
        <w:rPr>
          <w:rFonts w:eastAsiaTheme="minorHAnsi"/>
          <w:color w:val="000000" w:themeColor="text1"/>
          <w:sz w:val="26"/>
          <w:szCs w:val="26"/>
          <w:lang w:val="en-US"/>
        </w:rPr>
        <w:t>(4), 261–275. https://doi.org/10.3233/HSM-17133</w:t>
      </w:r>
    </w:p>
    <w:p w14:paraId="7D066C45"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Podder, B., &amp; Ghosh, J. (2025). Digital transformation: How it impacts bank performance for emerging economies. </w:t>
      </w:r>
      <w:r w:rsidRPr="003F6924">
        <w:rPr>
          <w:rFonts w:eastAsiaTheme="minorHAnsi"/>
          <w:i/>
          <w:iCs/>
          <w:color w:val="000000" w:themeColor="text1"/>
          <w:sz w:val="26"/>
          <w:szCs w:val="26"/>
          <w:lang w:val="en-US"/>
        </w:rPr>
        <w:t>International Journal of Emerging Markets</w:t>
      </w:r>
      <w:r w:rsidRPr="003F6924">
        <w:rPr>
          <w:rFonts w:eastAsiaTheme="minorHAnsi"/>
          <w:color w:val="000000" w:themeColor="text1"/>
          <w:sz w:val="26"/>
          <w:szCs w:val="26"/>
          <w:lang w:val="en-US"/>
        </w:rPr>
        <w:t>, 1–21. https://doi.org/10.1108/IJOEM-05-2025-1108</w:t>
      </w:r>
    </w:p>
    <w:p w14:paraId="7A748208"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Porfírio, A. J., Felício, A. J., &amp; Carrilho, T. (2024). Factors affecting digital transformation in banking. </w:t>
      </w:r>
      <w:r w:rsidRPr="003F6924">
        <w:rPr>
          <w:rFonts w:eastAsiaTheme="minorHAnsi"/>
          <w:i/>
          <w:iCs/>
          <w:color w:val="000000" w:themeColor="text1"/>
          <w:sz w:val="26"/>
          <w:szCs w:val="26"/>
          <w:lang w:val="en-US"/>
        </w:rPr>
        <w:t>Journal of Business Research</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171</w:t>
      </w:r>
      <w:r w:rsidRPr="003F6924">
        <w:rPr>
          <w:rFonts w:eastAsiaTheme="minorHAnsi"/>
          <w:color w:val="000000" w:themeColor="text1"/>
          <w:sz w:val="26"/>
          <w:szCs w:val="26"/>
          <w:lang w:val="en-US"/>
        </w:rPr>
        <w:t>, 114393. https://doi.org/10.1016/j.jbusres.2023.114393</w:t>
      </w:r>
    </w:p>
    <w:p w14:paraId="62AD6D8E" w14:textId="2F626808" w:rsidR="00893D1B" w:rsidRPr="003F6924" w:rsidRDefault="00893D1B" w:rsidP="00893D1B">
      <w:pPr>
        <w:snapToGrid w:val="0"/>
        <w:spacing w:after="0" w:line="300" w:lineRule="auto"/>
        <w:rPr>
          <w:rFonts w:ascii="Times New Roman" w:hAnsi="Times New Roman" w:cs="Times New Roman"/>
          <w:sz w:val="26"/>
          <w:szCs w:val="26"/>
          <w:lang w:val="en-US"/>
        </w:rPr>
      </w:pPr>
      <w:r w:rsidRPr="003F6924">
        <w:rPr>
          <w:rFonts w:ascii="Times New Roman" w:hAnsi="Times New Roman" w:cs="Times New Roman"/>
          <w:sz w:val="26"/>
          <w:szCs w:val="26"/>
          <w:lang w:val="en-US"/>
        </w:rPr>
        <w:t xml:space="preserve">Rogers, E.M. (1995). </w:t>
      </w:r>
      <w:r w:rsidRPr="003F6924">
        <w:rPr>
          <w:rFonts w:ascii="Times New Roman" w:hAnsi="Times New Roman" w:cs="Times New Roman"/>
          <w:i/>
          <w:iCs/>
          <w:sz w:val="26"/>
          <w:szCs w:val="26"/>
          <w:lang w:val="en-US"/>
        </w:rPr>
        <w:t>Diffusion of Innovations</w:t>
      </w:r>
      <w:r w:rsidRPr="003F6924">
        <w:rPr>
          <w:rFonts w:ascii="Times New Roman" w:hAnsi="Times New Roman" w:cs="Times New Roman"/>
          <w:sz w:val="26"/>
          <w:szCs w:val="26"/>
          <w:lang w:val="en-US"/>
        </w:rPr>
        <w:t xml:space="preserve"> </w:t>
      </w:r>
      <w:r w:rsidR="00B9683B">
        <w:rPr>
          <w:rFonts w:ascii="Times New Roman" w:hAnsi="Times New Roman" w:cs="Times New Roman" w:hint="eastAsia"/>
          <w:sz w:val="26"/>
          <w:szCs w:val="26"/>
          <w:lang w:val="en-US" w:eastAsia="zh-TW"/>
        </w:rPr>
        <w:t>(</w:t>
      </w:r>
      <w:r w:rsidRPr="003F6924">
        <w:rPr>
          <w:rFonts w:ascii="Times New Roman" w:hAnsi="Times New Roman" w:cs="Times New Roman"/>
          <w:sz w:val="26"/>
          <w:szCs w:val="26"/>
          <w:lang w:val="en-US"/>
        </w:rPr>
        <w:t>4th ed</w:t>
      </w:r>
      <w:r w:rsidR="00B9683B">
        <w:rPr>
          <w:rFonts w:ascii="Times New Roman" w:hAnsi="Times New Roman" w:cs="Times New Roman" w:hint="eastAsia"/>
          <w:sz w:val="26"/>
          <w:szCs w:val="26"/>
          <w:lang w:val="en-US" w:eastAsia="zh-TW"/>
        </w:rPr>
        <w:t>.)</w:t>
      </w:r>
      <w:r w:rsidRPr="003F6924">
        <w:rPr>
          <w:rFonts w:ascii="Times New Roman" w:hAnsi="Times New Roman" w:cs="Times New Roman"/>
          <w:sz w:val="26"/>
          <w:szCs w:val="26"/>
          <w:lang w:val="en-US"/>
        </w:rPr>
        <w:t>. The Free Press, New York.</w:t>
      </w:r>
    </w:p>
    <w:p w14:paraId="3250DC25"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Rubio-Andrés, M., Linuesa-Langreo, J., Gutiérrez-Broncano, S., &amp; Sastre-Castillo, M. Á. (2024). Tackling digital transformation strategy: How it affects firm innovation and organizational effectiveness. </w:t>
      </w:r>
      <w:r w:rsidRPr="003F6924">
        <w:rPr>
          <w:rFonts w:eastAsiaTheme="minorHAnsi"/>
          <w:i/>
          <w:iCs/>
          <w:color w:val="000000" w:themeColor="text1"/>
          <w:sz w:val="26"/>
          <w:szCs w:val="26"/>
          <w:lang w:val="en-US"/>
        </w:rPr>
        <w:t>The Journal of Technology Transfer</w:t>
      </w:r>
      <w:r w:rsidRPr="003F6924">
        <w:rPr>
          <w:rFonts w:eastAsiaTheme="minorHAnsi"/>
          <w:color w:val="000000" w:themeColor="text1"/>
          <w:sz w:val="26"/>
          <w:szCs w:val="26"/>
          <w:lang w:val="en-US"/>
        </w:rPr>
        <w:t>. https://doi.org/10.1007/s10961-024-10164-9</w:t>
      </w:r>
    </w:p>
    <w:p w14:paraId="631A3F12"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Saarikko, T., Westergren, U. H., &amp; Blomquist, T. (2020). Digital transformation: Five recommendations for the digitally conscious firm. </w:t>
      </w:r>
      <w:r w:rsidRPr="003F6924">
        <w:rPr>
          <w:rFonts w:eastAsiaTheme="minorHAnsi"/>
          <w:i/>
          <w:iCs/>
          <w:color w:val="000000" w:themeColor="text1"/>
          <w:sz w:val="26"/>
          <w:szCs w:val="26"/>
          <w:lang w:val="en-US"/>
        </w:rPr>
        <w:t>Business Horizons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63</w:t>
      </w:r>
      <w:r w:rsidRPr="003F6924">
        <w:rPr>
          <w:rFonts w:eastAsiaTheme="minorHAnsi"/>
          <w:color w:val="000000" w:themeColor="text1"/>
          <w:sz w:val="26"/>
          <w:szCs w:val="26"/>
          <w:lang w:val="en-US"/>
        </w:rPr>
        <w:t>(6), 825–839. https://doi.org/10.1016/j.bushor.2020.07.005</w:t>
      </w:r>
    </w:p>
    <w:p w14:paraId="00F28842" w14:textId="249CE7B4"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Schmitt, G., Mladenow, A., Strauss, C., &amp; Schaffhauser-Linzatti, M. (2019). Smart contracts and </w:t>
      </w:r>
      <w:r w:rsidR="00794E60" w:rsidRPr="003F6924">
        <w:rPr>
          <w:rFonts w:eastAsiaTheme="minorHAnsi"/>
          <w:color w:val="000000" w:themeColor="text1"/>
          <w:sz w:val="26"/>
          <w:szCs w:val="26"/>
          <w:lang w:val="en-US"/>
        </w:rPr>
        <w:t xml:space="preserve">Internet </w:t>
      </w:r>
      <w:r w:rsidRPr="003F6924">
        <w:rPr>
          <w:rFonts w:eastAsiaTheme="minorHAnsi"/>
          <w:color w:val="000000" w:themeColor="text1"/>
          <w:sz w:val="26"/>
          <w:szCs w:val="26"/>
          <w:lang w:val="en-US"/>
        </w:rPr>
        <w:t xml:space="preserve">of </w:t>
      </w:r>
      <w:r w:rsidR="00794E60" w:rsidRPr="003F6924">
        <w:rPr>
          <w:rFonts w:eastAsiaTheme="minorHAnsi"/>
          <w:color w:val="000000" w:themeColor="text1"/>
          <w:sz w:val="26"/>
          <w:szCs w:val="26"/>
          <w:lang w:val="en-US"/>
        </w:rPr>
        <w:t>Things</w:t>
      </w:r>
      <w:r w:rsidRPr="003F6924">
        <w:rPr>
          <w:rFonts w:eastAsiaTheme="minorHAnsi"/>
          <w:color w:val="000000" w:themeColor="text1"/>
          <w:sz w:val="26"/>
          <w:szCs w:val="26"/>
          <w:lang w:val="en-US"/>
        </w:rPr>
        <w:t xml:space="preserve">: A qualitative content analysis using the technology-organization-environment framework to identify key determinants. </w:t>
      </w:r>
      <w:r w:rsidRPr="003F6924">
        <w:rPr>
          <w:rFonts w:eastAsiaTheme="minorHAnsi"/>
          <w:i/>
          <w:iCs/>
          <w:color w:val="000000" w:themeColor="text1"/>
          <w:sz w:val="26"/>
          <w:szCs w:val="26"/>
          <w:lang w:val="en-US"/>
        </w:rPr>
        <w:t>Procedia Computer Science</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160</w:t>
      </w:r>
      <w:r w:rsidRPr="003F6924">
        <w:rPr>
          <w:rFonts w:eastAsiaTheme="minorHAnsi"/>
          <w:color w:val="000000" w:themeColor="text1"/>
          <w:sz w:val="26"/>
          <w:szCs w:val="26"/>
          <w:lang w:val="en-US"/>
        </w:rPr>
        <w:t>, 189–196. https://doi.org/10.1016/j.procs.2019.09.460</w:t>
      </w:r>
    </w:p>
    <w:p w14:paraId="736202F9" w14:textId="59C3230D"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Soper, D. S. (2023). </w:t>
      </w:r>
      <w:r w:rsidRPr="003F6924">
        <w:rPr>
          <w:rFonts w:eastAsiaTheme="minorHAnsi"/>
          <w:i/>
          <w:iCs/>
          <w:color w:val="000000" w:themeColor="text1"/>
          <w:sz w:val="26"/>
          <w:szCs w:val="26"/>
          <w:lang w:val="en-US"/>
        </w:rPr>
        <w:t>A-</w:t>
      </w:r>
      <w:r w:rsidR="00E70046" w:rsidRPr="003F6924">
        <w:rPr>
          <w:rFonts w:eastAsiaTheme="minorHAnsi"/>
          <w:i/>
          <w:iCs/>
          <w:color w:val="000000" w:themeColor="text1"/>
          <w:sz w:val="26"/>
          <w:szCs w:val="26"/>
          <w:lang w:val="en-US"/>
        </w:rPr>
        <w:t>priori sample size calculator for structural equation models</w:t>
      </w:r>
      <w:r w:rsidRPr="003F6924">
        <w:rPr>
          <w:rFonts w:eastAsiaTheme="minorHAnsi"/>
          <w:i/>
          <w:iCs/>
          <w:color w:val="000000" w:themeColor="text1"/>
          <w:sz w:val="26"/>
          <w:szCs w:val="26"/>
          <w:lang w:val="en-US"/>
        </w:rPr>
        <w:t xml:space="preserve"> [Software]</w:t>
      </w:r>
      <w:r w:rsidRPr="003F6924">
        <w:rPr>
          <w:rFonts w:eastAsiaTheme="minorHAnsi"/>
          <w:color w:val="000000" w:themeColor="text1"/>
          <w:sz w:val="26"/>
          <w:szCs w:val="26"/>
          <w:lang w:val="en-US"/>
        </w:rPr>
        <w:t>. Danielsoper.Com. https://www.danielsoper.com/statcalc/calculator.aspx?id=89</w:t>
      </w:r>
    </w:p>
    <w:p w14:paraId="1218F0BD"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Sousa-Zomer, T. T., Neely, A., &amp; Martinez, V. (2020). Digital transforming capability and performance: A microfoundational perspective. </w:t>
      </w:r>
      <w:r w:rsidRPr="003F6924">
        <w:rPr>
          <w:rFonts w:eastAsiaTheme="minorHAnsi"/>
          <w:i/>
          <w:iCs/>
          <w:color w:val="000000" w:themeColor="text1"/>
          <w:sz w:val="26"/>
          <w:szCs w:val="26"/>
          <w:lang w:val="en-US"/>
        </w:rPr>
        <w:t>International Journal of Operations &amp; Production Management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40</w:t>
      </w:r>
      <w:r w:rsidRPr="003F6924">
        <w:rPr>
          <w:rFonts w:eastAsiaTheme="minorHAnsi"/>
          <w:color w:val="000000" w:themeColor="text1"/>
          <w:sz w:val="26"/>
          <w:szCs w:val="26"/>
          <w:lang w:val="en-US"/>
        </w:rPr>
        <w:t>(7/8), 1095–1128. https://doi.org/10.1108/IJOPM-06-2019-0444</w:t>
      </w:r>
    </w:p>
    <w:p w14:paraId="61D83F6D"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Tajudeen, F. P., Jaafar, N. I., &amp; Ainin, S. (2018). Understanding the impact of social media usage among organizations. </w:t>
      </w:r>
      <w:r w:rsidRPr="003F6924">
        <w:rPr>
          <w:rFonts w:eastAsiaTheme="minorHAnsi"/>
          <w:i/>
          <w:iCs/>
          <w:color w:val="000000" w:themeColor="text1"/>
          <w:sz w:val="26"/>
          <w:szCs w:val="26"/>
          <w:lang w:val="en-US"/>
        </w:rPr>
        <w:t>Information &amp; Management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55</w:t>
      </w:r>
      <w:r w:rsidRPr="003F6924">
        <w:rPr>
          <w:rFonts w:eastAsiaTheme="minorHAnsi"/>
          <w:color w:val="000000" w:themeColor="text1"/>
          <w:sz w:val="26"/>
          <w:szCs w:val="26"/>
          <w:lang w:val="en-US"/>
        </w:rPr>
        <w:t>(3), 308–321. https://doi.org/10.1016/j.im.2017.08.004</w:t>
      </w:r>
    </w:p>
    <w:p w14:paraId="40061E5A"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Teece, D. J. (2018). Business models and dynamic capabilities. </w:t>
      </w:r>
      <w:r w:rsidRPr="003F6924">
        <w:rPr>
          <w:rFonts w:eastAsiaTheme="minorHAnsi"/>
          <w:i/>
          <w:iCs/>
          <w:color w:val="000000" w:themeColor="text1"/>
          <w:sz w:val="26"/>
          <w:szCs w:val="26"/>
          <w:lang w:val="en-US"/>
        </w:rPr>
        <w:t>Long Range Planning</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51</w:t>
      </w:r>
      <w:r w:rsidRPr="003F6924">
        <w:rPr>
          <w:rFonts w:eastAsiaTheme="minorHAnsi"/>
          <w:color w:val="000000" w:themeColor="text1"/>
          <w:sz w:val="26"/>
          <w:szCs w:val="26"/>
          <w:lang w:val="en-US"/>
        </w:rPr>
        <w:t>(1), 40–49. https://doi.org/10.1016/j.lrp.2017.06.007</w:t>
      </w:r>
    </w:p>
    <w:p w14:paraId="45C72FCC"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Teece, D. J., Pisano, G., &amp; Shuen, A. (1997). Dynamic capabilities and strategic management. </w:t>
      </w:r>
      <w:r w:rsidRPr="003F6924">
        <w:rPr>
          <w:rFonts w:eastAsiaTheme="minorHAnsi"/>
          <w:i/>
          <w:iCs/>
          <w:color w:val="000000" w:themeColor="text1"/>
          <w:sz w:val="26"/>
          <w:szCs w:val="26"/>
          <w:lang w:val="en-US"/>
        </w:rPr>
        <w:t>Strategic Management Journal</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18</w:t>
      </w:r>
      <w:r w:rsidRPr="003F6924">
        <w:rPr>
          <w:rFonts w:eastAsiaTheme="minorHAnsi"/>
          <w:color w:val="000000" w:themeColor="text1"/>
          <w:sz w:val="26"/>
          <w:szCs w:val="26"/>
          <w:lang w:val="en-US"/>
        </w:rPr>
        <w:t xml:space="preserve">(7), 509–533. https://www.jstor.org/stable/3088148 </w:t>
      </w:r>
    </w:p>
    <w:p w14:paraId="05817B6E"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Trang</w:t>
      </w:r>
      <w:r w:rsidRPr="003F6924">
        <w:rPr>
          <w:rFonts w:eastAsiaTheme="minorHAnsi"/>
          <w:color w:val="000000" w:themeColor="text1"/>
          <w:sz w:val="26"/>
          <w:szCs w:val="26"/>
          <w:lang w:val="vi-VN"/>
        </w:rPr>
        <w:t>,</w:t>
      </w:r>
      <w:r w:rsidRPr="003F6924">
        <w:rPr>
          <w:rFonts w:eastAsiaTheme="minorHAnsi"/>
          <w:color w:val="000000" w:themeColor="text1"/>
          <w:sz w:val="26"/>
          <w:szCs w:val="26"/>
          <w:lang w:val="en-US"/>
        </w:rPr>
        <w:t xml:space="preserve"> C. N. H., Anh</w:t>
      </w:r>
      <w:r w:rsidRPr="003F6924">
        <w:rPr>
          <w:rFonts w:eastAsiaTheme="minorHAnsi"/>
          <w:color w:val="000000" w:themeColor="text1"/>
          <w:sz w:val="26"/>
          <w:szCs w:val="26"/>
          <w:lang w:val="vi-VN"/>
        </w:rPr>
        <w:t>,</w:t>
      </w:r>
      <w:r w:rsidRPr="003F6924">
        <w:rPr>
          <w:rFonts w:eastAsiaTheme="minorHAnsi"/>
          <w:color w:val="000000" w:themeColor="text1"/>
          <w:sz w:val="26"/>
          <w:szCs w:val="26"/>
          <w:lang w:val="en-US"/>
        </w:rPr>
        <w:t xml:space="preserve"> T. L., Anh</w:t>
      </w:r>
      <w:r w:rsidRPr="003F6924">
        <w:rPr>
          <w:rFonts w:eastAsiaTheme="minorHAnsi"/>
          <w:color w:val="000000" w:themeColor="text1"/>
          <w:sz w:val="26"/>
          <w:szCs w:val="26"/>
          <w:lang w:val="vi-VN"/>
        </w:rPr>
        <w:t>,</w:t>
      </w:r>
      <w:r w:rsidRPr="003F6924">
        <w:rPr>
          <w:rFonts w:eastAsiaTheme="minorHAnsi"/>
          <w:color w:val="000000" w:themeColor="text1"/>
          <w:sz w:val="26"/>
          <w:szCs w:val="26"/>
          <w:lang w:val="en-US"/>
        </w:rPr>
        <w:t xml:space="preserve"> L. M., &amp; Huyen</w:t>
      </w:r>
      <w:r w:rsidRPr="003F6924">
        <w:rPr>
          <w:rFonts w:eastAsiaTheme="minorHAnsi"/>
          <w:color w:val="000000" w:themeColor="text1"/>
          <w:sz w:val="26"/>
          <w:szCs w:val="26"/>
          <w:lang w:val="vi-VN"/>
        </w:rPr>
        <w:t>,</w:t>
      </w:r>
      <w:r w:rsidRPr="003F6924">
        <w:rPr>
          <w:rFonts w:eastAsiaTheme="minorHAnsi"/>
          <w:color w:val="000000" w:themeColor="text1"/>
          <w:sz w:val="26"/>
          <w:szCs w:val="26"/>
          <w:lang w:val="en-US"/>
        </w:rPr>
        <w:t xml:space="preserve"> N. T. T. (2024). Digital transformation: The impact of information technology application on commercial bank risks. </w:t>
      </w:r>
      <w:r w:rsidRPr="003F6924">
        <w:rPr>
          <w:rFonts w:eastAsiaTheme="minorHAnsi"/>
          <w:i/>
          <w:iCs/>
          <w:color w:val="000000" w:themeColor="text1"/>
          <w:sz w:val="26"/>
          <w:szCs w:val="26"/>
          <w:lang w:val="en-US"/>
        </w:rPr>
        <w:t>VNU Journal of Economics and Business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4</w:t>
      </w:r>
      <w:r w:rsidRPr="003F6924">
        <w:rPr>
          <w:rFonts w:eastAsiaTheme="minorHAnsi"/>
          <w:color w:val="000000" w:themeColor="text1"/>
          <w:sz w:val="26"/>
          <w:szCs w:val="26"/>
          <w:lang w:val="en-US"/>
        </w:rPr>
        <w:t>(1), Article 1. https://doi.org/10.57110/jebvn.v4i1.248</w:t>
      </w:r>
    </w:p>
    <w:p w14:paraId="5368E807"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Tungpantong, C., Nilsook, P., &amp; Wannapiroon, P. (2022). Factors influencing digital transformation adoption among higher education institutions during digital disruption. </w:t>
      </w:r>
      <w:r w:rsidRPr="003F6924">
        <w:rPr>
          <w:rFonts w:eastAsiaTheme="minorHAnsi"/>
          <w:i/>
          <w:iCs/>
          <w:color w:val="000000" w:themeColor="text1"/>
          <w:sz w:val="26"/>
          <w:szCs w:val="26"/>
          <w:lang w:val="en-US"/>
        </w:rPr>
        <w:t>Higher Education Studies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12</w:t>
      </w:r>
      <w:r w:rsidRPr="003F6924">
        <w:rPr>
          <w:rFonts w:eastAsiaTheme="minorHAnsi"/>
          <w:color w:val="000000" w:themeColor="text1"/>
          <w:sz w:val="26"/>
          <w:szCs w:val="26"/>
          <w:lang w:val="en-US"/>
        </w:rPr>
        <w:t>(2), Article 2. https://doi.org/10.5539/hes.v12n2p9</w:t>
      </w:r>
    </w:p>
    <w:p w14:paraId="7A9A2FCD"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Vafaei-Zadeh, A., Madhuri, J., Hanifah, H., &amp; Thurasamy, R. (2024). The interactive effects of capabilities and data-driven culture on sustained competitive advantage. </w:t>
      </w:r>
      <w:r w:rsidRPr="003F6924">
        <w:rPr>
          <w:rFonts w:eastAsiaTheme="minorHAnsi"/>
          <w:i/>
          <w:iCs/>
          <w:color w:val="000000" w:themeColor="text1"/>
          <w:sz w:val="26"/>
          <w:szCs w:val="26"/>
          <w:lang w:val="en-US"/>
        </w:rPr>
        <w:t>IEEE Transactions on Engineering Management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71</w:t>
      </w:r>
      <w:r w:rsidRPr="003F6924">
        <w:rPr>
          <w:rFonts w:eastAsiaTheme="minorHAnsi"/>
          <w:color w:val="000000" w:themeColor="text1"/>
          <w:sz w:val="26"/>
          <w:szCs w:val="26"/>
          <w:lang w:val="en-US"/>
        </w:rPr>
        <w:t>, 8444–8458. https://doi.org/10.1109/tem.2024.3355775</w:t>
      </w:r>
    </w:p>
    <w:p w14:paraId="0828D4D2"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Verhoef, P. C., Broekhuizen, T., Bart, Y., Bhattacharya, A., Qi Dong, J., Fabian, N., &amp; Haenlein, M. (2021). Digital transformation: A multidisciplinary reflection and research agenda. </w:t>
      </w:r>
      <w:r w:rsidRPr="003F6924">
        <w:rPr>
          <w:rFonts w:eastAsiaTheme="minorHAnsi"/>
          <w:i/>
          <w:iCs/>
          <w:color w:val="000000" w:themeColor="text1"/>
          <w:sz w:val="26"/>
          <w:szCs w:val="26"/>
          <w:lang w:val="en-US"/>
        </w:rPr>
        <w:t>Journal of Business Research</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122</w:t>
      </w:r>
      <w:r w:rsidRPr="003F6924">
        <w:rPr>
          <w:rFonts w:eastAsiaTheme="minorHAnsi"/>
          <w:color w:val="000000" w:themeColor="text1"/>
          <w:sz w:val="26"/>
          <w:szCs w:val="26"/>
          <w:lang w:val="en-US"/>
        </w:rPr>
        <w:t>, 889–901. https://doi.org/10.1016/j.jbusres.2019.09.022</w:t>
      </w:r>
    </w:p>
    <w:p w14:paraId="21792DD2"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Voorhees, C. M., Brady, M. K., Calantone, R., &amp; Ramirez, E. (2016). Discriminant validity testing in marketing: An analysis, causes for concern, and proposed remedies. </w:t>
      </w:r>
      <w:r w:rsidRPr="003F6924">
        <w:rPr>
          <w:rFonts w:eastAsiaTheme="minorHAnsi"/>
          <w:i/>
          <w:iCs/>
          <w:color w:val="000000" w:themeColor="text1"/>
          <w:sz w:val="26"/>
          <w:szCs w:val="26"/>
          <w:lang w:val="en-US"/>
        </w:rPr>
        <w:t>Journal of the Academy of Marketing Science</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44</w:t>
      </w:r>
      <w:r w:rsidRPr="003F6924">
        <w:rPr>
          <w:rFonts w:eastAsiaTheme="minorHAnsi"/>
          <w:color w:val="000000" w:themeColor="text1"/>
          <w:sz w:val="26"/>
          <w:szCs w:val="26"/>
          <w:lang w:val="en-US"/>
        </w:rPr>
        <w:t>(1), 119–134. https://doi.org/10.1007/s11747-015-0455-4</w:t>
      </w:r>
    </w:p>
    <w:p w14:paraId="40DF873D"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Wang, W., Wen, J., Liu, M., &amp; Du, M. (2025). Can digital transformation reduce bank violations? Evidence from China. </w:t>
      </w:r>
      <w:r w:rsidRPr="003F6924">
        <w:rPr>
          <w:rFonts w:eastAsiaTheme="minorHAnsi"/>
          <w:i/>
          <w:iCs/>
          <w:color w:val="000000" w:themeColor="text1"/>
          <w:sz w:val="26"/>
          <w:szCs w:val="26"/>
          <w:lang w:val="en-US"/>
        </w:rPr>
        <w:t>International Review of Economics &amp; Finance</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104</w:t>
      </w:r>
      <w:r w:rsidRPr="003F6924">
        <w:rPr>
          <w:rFonts w:eastAsiaTheme="minorHAnsi"/>
          <w:color w:val="000000" w:themeColor="text1"/>
          <w:sz w:val="26"/>
          <w:szCs w:val="26"/>
          <w:lang w:val="en-US"/>
        </w:rPr>
        <w:t>, 104707. https://doi.org/10.1016/j.iref.2025.104707</w:t>
      </w:r>
    </w:p>
    <w:p w14:paraId="5A54009B"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Wang, X., Wang, N., Sun, W., Xu, A., &amp; Zhang, Z. (2024). Digital transformation and enterprise violation risk: A ‘motivation-opportunity-attitude’ framework. </w:t>
      </w:r>
      <w:r w:rsidRPr="003F6924">
        <w:rPr>
          <w:rFonts w:eastAsiaTheme="minorHAnsi"/>
          <w:i/>
          <w:iCs/>
          <w:color w:val="000000" w:themeColor="text1"/>
          <w:sz w:val="26"/>
          <w:szCs w:val="26"/>
          <w:lang w:val="en-US"/>
        </w:rPr>
        <w:t>Heliyon</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10</w:t>
      </w:r>
      <w:r w:rsidRPr="003F6924">
        <w:rPr>
          <w:rFonts w:eastAsiaTheme="minorHAnsi"/>
          <w:color w:val="000000" w:themeColor="text1"/>
          <w:sz w:val="26"/>
          <w:szCs w:val="26"/>
          <w:lang w:val="en-US"/>
        </w:rPr>
        <w:t>(20), e39125. https://doi.org/10.1016/j.heliyon.2024.e39125</w:t>
      </w:r>
    </w:p>
    <w:p w14:paraId="63A82528"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Werth, O., Schwarzbach, C., Rodríguez Cardona, D., Breitner, M. H., &amp; Graf von der Schulenburg, J. M. (2020). Influencing factors for the digital transformation in the financial services sector. </w:t>
      </w:r>
      <w:r w:rsidRPr="003F6924">
        <w:rPr>
          <w:rFonts w:eastAsiaTheme="minorHAnsi"/>
          <w:i/>
          <w:iCs/>
          <w:color w:val="000000" w:themeColor="text1"/>
          <w:sz w:val="26"/>
          <w:szCs w:val="26"/>
          <w:lang w:val="en-US"/>
        </w:rPr>
        <w:t>Zeitschrift Für Die Gesamte Versicherungswissenschaft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109</w:t>
      </w:r>
      <w:r w:rsidRPr="003F6924">
        <w:rPr>
          <w:rFonts w:eastAsiaTheme="minorHAnsi"/>
          <w:color w:val="000000" w:themeColor="text1"/>
          <w:sz w:val="26"/>
          <w:szCs w:val="26"/>
          <w:lang w:val="en-US"/>
        </w:rPr>
        <w:t>, 155–179. https://doi.org/10.1007/s12297-020-00486-6</w:t>
      </w:r>
    </w:p>
    <w:p w14:paraId="44A64A1F"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Werts, C. E., Rock, D. R., Linn, R. L., &amp; Jöreskog, K. G. (1978). A general method of estimating the reliability of a composite. </w:t>
      </w:r>
      <w:r w:rsidRPr="003F6924">
        <w:rPr>
          <w:rFonts w:eastAsiaTheme="minorHAnsi"/>
          <w:i/>
          <w:iCs/>
          <w:color w:val="000000" w:themeColor="text1"/>
          <w:sz w:val="26"/>
          <w:szCs w:val="26"/>
          <w:lang w:val="en-US"/>
        </w:rPr>
        <w:t>Educational and Psychological Measurement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38</w:t>
      </w:r>
      <w:r w:rsidRPr="003F6924">
        <w:rPr>
          <w:rFonts w:eastAsiaTheme="minorHAnsi"/>
          <w:color w:val="000000" w:themeColor="text1"/>
          <w:sz w:val="26"/>
          <w:szCs w:val="26"/>
          <w:lang w:val="en-US"/>
        </w:rPr>
        <w:t>(4), 933–938. https://doi.org/10.1177/001316447803800412</w:t>
      </w:r>
    </w:p>
    <w:p w14:paraId="3A7651E4"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Wintarto, R., Meiliani, M., &amp; Carolin, A. (2024). Digital organisational culture: capturing local banking in digital transformation. </w:t>
      </w:r>
      <w:r w:rsidRPr="003F6924">
        <w:rPr>
          <w:rFonts w:eastAsiaTheme="minorHAnsi"/>
          <w:i/>
          <w:iCs/>
          <w:color w:val="000000" w:themeColor="text1"/>
          <w:sz w:val="26"/>
          <w:szCs w:val="26"/>
          <w:lang w:val="en-US"/>
        </w:rPr>
        <w:t>International Journal of Social Science and Business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7</w:t>
      </w:r>
      <w:r w:rsidRPr="003F6924">
        <w:rPr>
          <w:rFonts w:eastAsiaTheme="minorHAnsi"/>
          <w:color w:val="000000" w:themeColor="text1"/>
          <w:sz w:val="26"/>
          <w:szCs w:val="26"/>
          <w:lang w:val="en-US"/>
        </w:rPr>
        <w:t>(4), 1022–1029. https://doi.org/10.23887/ijssb.v7i4.72306</w:t>
      </w:r>
    </w:p>
    <w:p w14:paraId="68306E5E"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Xu, Y., Mohsein bt Abdul Mohsin, A., &amp; Yang, F. (2025). Market concentration, digital transformation, and bank credit risk in China: Evidence from GMM estimation. </w:t>
      </w:r>
      <w:r w:rsidRPr="003F6924">
        <w:rPr>
          <w:rFonts w:eastAsiaTheme="minorHAnsi"/>
          <w:i/>
          <w:iCs/>
          <w:color w:val="000000" w:themeColor="text1"/>
          <w:sz w:val="26"/>
          <w:szCs w:val="26"/>
          <w:lang w:val="en-US"/>
        </w:rPr>
        <w:t>Humanities and Social Sciences Communications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12</w:t>
      </w:r>
      <w:r w:rsidRPr="003F6924">
        <w:rPr>
          <w:rFonts w:eastAsiaTheme="minorHAnsi"/>
          <w:color w:val="000000" w:themeColor="text1"/>
          <w:sz w:val="26"/>
          <w:szCs w:val="26"/>
          <w:lang w:val="en-US"/>
        </w:rPr>
        <w:t>(1), 990. https://doi.org/10.1057/s41599-025-05319-4</w:t>
      </w:r>
    </w:p>
    <w:p w14:paraId="2507047C"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Yang, J., &amp; Chen, X. (2025). Digital transformation of commercial banks with innovative credit structure. </w:t>
      </w:r>
      <w:r w:rsidRPr="003F6924">
        <w:rPr>
          <w:rFonts w:eastAsiaTheme="minorHAnsi"/>
          <w:i/>
          <w:iCs/>
          <w:color w:val="000000" w:themeColor="text1"/>
          <w:sz w:val="26"/>
          <w:szCs w:val="26"/>
          <w:lang w:val="en-US"/>
        </w:rPr>
        <w:t>Journal of Innovation &amp; Knowledge</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10</w:t>
      </w:r>
      <w:r w:rsidRPr="003F6924">
        <w:rPr>
          <w:rFonts w:eastAsiaTheme="minorHAnsi"/>
          <w:color w:val="000000" w:themeColor="text1"/>
          <w:sz w:val="26"/>
          <w:szCs w:val="26"/>
          <w:lang w:val="en-US"/>
        </w:rPr>
        <w:t>(3), 100703. https://doi.org/10.1016/j.jik.2025.100703</w:t>
      </w:r>
    </w:p>
    <w:p w14:paraId="1943D7F3"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Yigitbasioglu, O. M. (2015). The role of institutional pressures and top management support in the intention to adopt cloud computing solutions. </w:t>
      </w:r>
      <w:r w:rsidRPr="003F6924">
        <w:rPr>
          <w:rFonts w:eastAsiaTheme="minorHAnsi"/>
          <w:i/>
          <w:iCs/>
          <w:color w:val="000000" w:themeColor="text1"/>
          <w:sz w:val="26"/>
          <w:szCs w:val="26"/>
          <w:lang w:val="en-US"/>
        </w:rPr>
        <w:t>Journal of Enterprise Information Management</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28</w:t>
      </w:r>
      <w:r w:rsidRPr="003F6924">
        <w:rPr>
          <w:rFonts w:eastAsiaTheme="minorHAnsi"/>
          <w:color w:val="000000" w:themeColor="text1"/>
          <w:sz w:val="26"/>
          <w:szCs w:val="26"/>
          <w:lang w:val="en-US"/>
        </w:rPr>
        <w:t>(4), 579–594. https://doi.org/10.1108/JEIM-09-2014-0087</w:t>
      </w:r>
    </w:p>
    <w:p w14:paraId="5AC04304"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Zhang, Y., &amp; Wang, J. (2024). Research on influencing factors and path of digital transformation of manufacturing enterprises. </w:t>
      </w:r>
      <w:r w:rsidRPr="003F6924">
        <w:rPr>
          <w:rFonts w:eastAsiaTheme="minorHAnsi"/>
          <w:i/>
          <w:iCs/>
          <w:color w:val="000000" w:themeColor="text1"/>
          <w:sz w:val="26"/>
          <w:szCs w:val="26"/>
          <w:lang w:val="en-US"/>
        </w:rPr>
        <w:t>Kybernetes</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53</w:t>
      </w:r>
      <w:r w:rsidRPr="003F6924">
        <w:rPr>
          <w:rFonts w:eastAsiaTheme="minorHAnsi"/>
          <w:color w:val="000000" w:themeColor="text1"/>
          <w:sz w:val="26"/>
          <w:szCs w:val="26"/>
          <w:lang w:val="en-US"/>
        </w:rPr>
        <w:t>(2), 752–762. https://doi.org/10.1108/K-06-2023-1042</w:t>
      </w:r>
    </w:p>
    <w:p w14:paraId="1CD7E412" w14:textId="77777777" w:rsidR="00893D1B" w:rsidRPr="003F6924" w:rsidRDefault="00893D1B" w:rsidP="00893D1B">
      <w:pPr>
        <w:pStyle w:val="af9"/>
        <w:snapToGrid w:val="0"/>
        <w:spacing w:line="300" w:lineRule="auto"/>
        <w:rPr>
          <w:rFonts w:eastAsiaTheme="minorHAnsi"/>
          <w:color w:val="000000" w:themeColor="text1"/>
          <w:sz w:val="26"/>
          <w:szCs w:val="26"/>
          <w:lang w:val="en-US"/>
        </w:rPr>
      </w:pPr>
      <w:r w:rsidRPr="003F6924">
        <w:rPr>
          <w:rFonts w:eastAsiaTheme="minorHAnsi"/>
          <w:color w:val="000000" w:themeColor="text1"/>
          <w:sz w:val="26"/>
          <w:szCs w:val="26"/>
          <w:lang w:val="en-US"/>
        </w:rPr>
        <w:t xml:space="preserve">Zhu, K., Kraemer, K. L., &amp; Xu, S. (2006). The process of innovation assimilation by firms in different countries: A technology diffusion perspective on e-business. </w:t>
      </w:r>
      <w:r w:rsidRPr="003F6924">
        <w:rPr>
          <w:rFonts w:eastAsiaTheme="minorHAnsi"/>
          <w:i/>
          <w:iCs/>
          <w:color w:val="000000" w:themeColor="text1"/>
          <w:sz w:val="26"/>
          <w:szCs w:val="26"/>
          <w:lang w:val="en-US"/>
        </w:rPr>
        <w:t>Management Science</w:t>
      </w:r>
      <w:r w:rsidRPr="003F6924">
        <w:rPr>
          <w:rFonts w:eastAsiaTheme="minorHAnsi"/>
          <w:color w:val="000000" w:themeColor="text1"/>
          <w:sz w:val="26"/>
          <w:szCs w:val="26"/>
          <w:lang w:val="en-US"/>
        </w:rPr>
        <w:t xml:space="preserve">, </w:t>
      </w:r>
      <w:r w:rsidRPr="003F6924">
        <w:rPr>
          <w:rFonts w:eastAsiaTheme="minorHAnsi"/>
          <w:i/>
          <w:iCs/>
          <w:color w:val="000000" w:themeColor="text1"/>
          <w:sz w:val="26"/>
          <w:szCs w:val="26"/>
          <w:lang w:val="en-US"/>
        </w:rPr>
        <w:t>52</w:t>
      </w:r>
      <w:r w:rsidRPr="003F6924">
        <w:rPr>
          <w:rFonts w:eastAsiaTheme="minorHAnsi"/>
          <w:color w:val="000000" w:themeColor="text1"/>
          <w:sz w:val="26"/>
          <w:szCs w:val="26"/>
          <w:lang w:val="en-US"/>
        </w:rPr>
        <w:t>(10), 1557–1576. https://doi.org/10.1287/mnsc.1050.0487</w:t>
      </w:r>
    </w:p>
    <w:p w14:paraId="7D697A5A" w14:textId="2155446F" w:rsidR="007E1FAD" w:rsidRPr="003F6924" w:rsidRDefault="00893D1B" w:rsidP="00893D1B">
      <w:pPr>
        <w:snapToGrid w:val="0"/>
        <w:spacing w:after="0" w:line="300" w:lineRule="auto"/>
        <w:rPr>
          <w:rFonts w:ascii="Times New Roman" w:hAnsi="Times New Roman" w:cs="Times New Roman"/>
          <w:color w:val="000000" w:themeColor="text1"/>
          <w:sz w:val="26"/>
          <w:szCs w:val="26"/>
          <w:lang w:val="en-US"/>
        </w:rPr>
      </w:pPr>
      <w:r w:rsidRPr="003F6924">
        <w:rPr>
          <w:rFonts w:ascii="Times New Roman" w:hAnsi="Times New Roman" w:cs="Times New Roman"/>
          <w:color w:val="000000" w:themeColor="text1"/>
          <w:sz w:val="26"/>
          <w:szCs w:val="26"/>
          <w:lang w:val="en-US"/>
        </w:rPr>
        <w:fldChar w:fldCharType="end"/>
      </w:r>
    </w:p>
    <w:p w14:paraId="3D97F0A2" w14:textId="77777777" w:rsidR="00887AC7" w:rsidRPr="003F6924" w:rsidRDefault="00887AC7" w:rsidP="00887AC7">
      <w:pPr>
        <w:snapToGrid w:val="0"/>
        <w:spacing w:after="0" w:line="300" w:lineRule="auto"/>
        <w:rPr>
          <w:rFonts w:ascii="Times New Roman" w:hAnsi="Times New Roman" w:cs="Times New Roman"/>
          <w:b/>
          <w:bCs/>
          <w:color w:val="000000" w:themeColor="text1"/>
          <w:sz w:val="26"/>
          <w:szCs w:val="26"/>
          <w:lang w:val="en-US"/>
        </w:rPr>
      </w:pPr>
    </w:p>
    <w:p w14:paraId="08F73FFC" w14:textId="29550E24" w:rsidR="00887AC7" w:rsidRPr="003F6924" w:rsidRDefault="00B543E4" w:rsidP="00887AC7">
      <w:pPr>
        <w:snapToGrid w:val="0"/>
        <w:spacing w:after="0" w:line="300" w:lineRule="auto"/>
        <w:jc w:val="both"/>
        <w:rPr>
          <w:rFonts w:ascii="Times New Roman" w:hAnsi="Times New Roman" w:cs="Times New Roman"/>
          <w:color w:val="000000" w:themeColor="text1"/>
          <w:sz w:val="26"/>
          <w:szCs w:val="26"/>
          <w:lang w:val="vi-VN"/>
        </w:rPr>
      </w:pPr>
      <w:r w:rsidRPr="003F6924">
        <w:rPr>
          <w:rFonts w:ascii="Times New Roman" w:hAnsi="Times New Roman" w:cs="Times New Roman"/>
          <w:b/>
          <w:bCs/>
          <w:color w:val="000000" w:themeColor="text1"/>
          <w:sz w:val="26"/>
          <w:szCs w:val="26"/>
          <w:lang w:val="en-US"/>
        </w:rPr>
        <w:t xml:space="preserve">Dr. </w:t>
      </w:r>
      <w:proofErr w:type="spellStart"/>
      <w:r w:rsidRPr="003F6924">
        <w:rPr>
          <w:rFonts w:ascii="Times New Roman" w:hAnsi="Times New Roman" w:cs="Times New Roman"/>
          <w:b/>
          <w:bCs/>
          <w:color w:val="000000" w:themeColor="text1"/>
          <w:sz w:val="26"/>
          <w:szCs w:val="26"/>
          <w:lang w:val="en-US"/>
        </w:rPr>
        <w:t>Huyen</w:t>
      </w:r>
      <w:proofErr w:type="spellEnd"/>
      <w:r w:rsidRPr="003F6924">
        <w:rPr>
          <w:rFonts w:ascii="Times New Roman" w:hAnsi="Times New Roman" w:cs="Times New Roman"/>
          <w:b/>
          <w:bCs/>
          <w:color w:val="000000" w:themeColor="text1"/>
          <w:sz w:val="26"/>
          <w:szCs w:val="26"/>
          <w:lang w:val="vi-VN"/>
        </w:rPr>
        <w:t xml:space="preserve"> Trang Le</w:t>
      </w:r>
      <w:r w:rsidRPr="003F6924">
        <w:rPr>
          <w:rFonts w:ascii="Times New Roman" w:hAnsi="Times New Roman" w:cs="Times New Roman"/>
          <w:color w:val="000000" w:themeColor="text1"/>
          <w:sz w:val="26"/>
          <w:szCs w:val="26"/>
          <w:lang w:val="en-US"/>
        </w:rPr>
        <w:t xml:space="preserve"> </w:t>
      </w:r>
      <w:r w:rsidRPr="003F6924">
        <w:rPr>
          <w:rFonts w:ascii="Times New Roman" w:eastAsia="新細明體" w:hAnsi="Times New Roman" w:cs="Times New Roman"/>
          <w:b/>
          <w:color w:val="000000" w:themeColor="text1"/>
          <w:sz w:val="26"/>
          <w:szCs w:val="26"/>
        </w:rPr>
        <w:t xml:space="preserve">(Corresponding </w:t>
      </w:r>
      <w:r w:rsidR="00E0239C" w:rsidRPr="003F6924">
        <w:rPr>
          <w:rFonts w:ascii="Times New Roman" w:eastAsia="新細明體" w:hAnsi="Times New Roman" w:cs="Times New Roman"/>
          <w:b/>
          <w:color w:val="000000" w:themeColor="text1"/>
          <w:sz w:val="26"/>
          <w:szCs w:val="26"/>
        </w:rPr>
        <w:t>Author</w:t>
      </w:r>
      <w:r w:rsidRPr="003F6924">
        <w:rPr>
          <w:rFonts w:ascii="Times New Roman" w:eastAsia="新細明體" w:hAnsi="Times New Roman" w:cs="Times New Roman"/>
          <w:b/>
          <w:color w:val="000000" w:themeColor="text1"/>
          <w:sz w:val="26"/>
          <w:szCs w:val="26"/>
        </w:rPr>
        <w:t>)</w:t>
      </w:r>
      <w:r w:rsidRPr="003F6924">
        <w:rPr>
          <w:rFonts w:ascii="Times New Roman" w:eastAsia="標楷體" w:hAnsi="Times New Roman" w:cs="Times New Roman"/>
          <w:color w:val="000000" w:themeColor="text1"/>
          <w:sz w:val="26"/>
          <w:szCs w:val="26"/>
        </w:rPr>
        <w:t xml:space="preserve"> </w:t>
      </w:r>
      <w:r w:rsidRPr="003F6924">
        <w:rPr>
          <w:rFonts w:ascii="Times New Roman" w:hAnsi="Times New Roman" w:cs="Times New Roman"/>
          <w:color w:val="000000" w:themeColor="text1"/>
          <w:sz w:val="26"/>
          <w:szCs w:val="26"/>
          <w:lang w:val="en-US"/>
        </w:rPr>
        <w:t xml:space="preserve">is currently a </w:t>
      </w:r>
      <w:r w:rsidR="00E0239C" w:rsidRPr="003F6924">
        <w:rPr>
          <w:rFonts w:ascii="Times New Roman" w:hAnsi="Times New Roman" w:cs="Times New Roman"/>
          <w:color w:val="000000" w:themeColor="text1"/>
          <w:sz w:val="26"/>
          <w:szCs w:val="26"/>
          <w:lang w:val="en-US"/>
        </w:rPr>
        <w:t xml:space="preserve">Researcher </w:t>
      </w:r>
      <w:r w:rsidRPr="003F6924">
        <w:rPr>
          <w:rFonts w:ascii="Times New Roman" w:hAnsi="Times New Roman" w:cs="Times New Roman"/>
          <w:color w:val="000000" w:themeColor="text1"/>
          <w:sz w:val="26"/>
          <w:szCs w:val="26"/>
          <w:lang w:val="en-US"/>
        </w:rPr>
        <w:t xml:space="preserve">and </w:t>
      </w:r>
      <w:r w:rsidR="00E0239C" w:rsidRPr="003F6924">
        <w:rPr>
          <w:rFonts w:ascii="Times New Roman" w:hAnsi="Times New Roman" w:cs="Times New Roman"/>
          <w:color w:val="000000" w:themeColor="text1"/>
          <w:sz w:val="26"/>
          <w:szCs w:val="26"/>
          <w:lang w:val="en-US"/>
        </w:rPr>
        <w:t xml:space="preserve">Lecturer </w:t>
      </w:r>
      <w:r w:rsidRPr="003F6924">
        <w:rPr>
          <w:rFonts w:ascii="Times New Roman" w:hAnsi="Times New Roman" w:cs="Times New Roman"/>
          <w:color w:val="000000" w:themeColor="text1"/>
          <w:sz w:val="26"/>
          <w:szCs w:val="26"/>
          <w:lang w:val="en-US"/>
        </w:rPr>
        <w:t xml:space="preserve">in the Faculty of Economics and Management at Thang Long University, Hanoi, Vietnam. Her research interests include digitalization, online business, consumer behavior in e-commerce, corporate culture, and corporate social responsibility (CSR). </w:t>
      </w:r>
      <w:r w:rsidR="00E0239C">
        <w:rPr>
          <w:rFonts w:ascii="Times New Roman" w:hAnsi="Times New Roman" w:cs="Times New Roman" w:hint="eastAsia"/>
          <w:color w:val="000000" w:themeColor="text1"/>
          <w:sz w:val="26"/>
          <w:szCs w:val="26"/>
          <w:lang w:val="en-US" w:eastAsia="zh-TW"/>
        </w:rPr>
        <w:t>Sh</w:t>
      </w:r>
      <w:r w:rsidR="00E0239C">
        <w:rPr>
          <w:rFonts w:ascii="Times New Roman" w:hAnsi="Times New Roman" w:cs="Times New Roman"/>
          <w:color w:val="000000" w:themeColor="text1"/>
          <w:sz w:val="26"/>
          <w:szCs w:val="26"/>
          <w:lang w:val="en-US" w:eastAsia="zh-TW"/>
        </w:rPr>
        <w:t>e</w:t>
      </w:r>
      <w:r w:rsidRPr="003F6924">
        <w:rPr>
          <w:rFonts w:ascii="Times New Roman" w:hAnsi="Times New Roman" w:cs="Times New Roman"/>
          <w:color w:val="000000" w:themeColor="text1"/>
          <w:sz w:val="26"/>
          <w:szCs w:val="26"/>
          <w:lang w:val="en-US"/>
        </w:rPr>
        <w:t xml:space="preserve"> has published several articles in academic journals</w:t>
      </w:r>
      <w:r w:rsidR="00E70046">
        <w:rPr>
          <w:rFonts w:ascii="Times New Roman" w:hAnsi="Times New Roman" w:cs="Times New Roman"/>
          <w:color w:val="000000" w:themeColor="text1"/>
          <w:sz w:val="26"/>
          <w:szCs w:val="26"/>
          <w:lang w:val="en-US"/>
        </w:rPr>
        <w:t>,</w:t>
      </w:r>
      <w:r w:rsidRPr="003F6924">
        <w:rPr>
          <w:rFonts w:ascii="Times New Roman" w:hAnsi="Times New Roman" w:cs="Times New Roman"/>
          <w:color w:val="000000" w:themeColor="text1"/>
          <w:sz w:val="26"/>
          <w:szCs w:val="26"/>
          <w:lang w:val="en-US"/>
        </w:rPr>
        <w:t xml:space="preserve"> such as the Agricultural and Resource Economics: International Scientific E-Journal and the Asian Economic and Financial Review</w:t>
      </w:r>
      <w:r w:rsidR="00137571" w:rsidRPr="003F6924">
        <w:rPr>
          <w:rFonts w:ascii="Times New Roman" w:hAnsi="Times New Roman" w:cs="Times New Roman"/>
          <w:color w:val="000000" w:themeColor="text1"/>
          <w:sz w:val="26"/>
          <w:szCs w:val="26"/>
          <w:lang w:val="vi-VN"/>
        </w:rPr>
        <w:t>.</w:t>
      </w:r>
    </w:p>
    <w:p w14:paraId="105E64D1" w14:textId="77777777" w:rsidR="00137571" w:rsidRPr="003F6924" w:rsidRDefault="00137571" w:rsidP="00887AC7">
      <w:pPr>
        <w:snapToGrid w:val="0"/>
        <w:spacing w:after="0" w:line="300" w:lineRule="auto"/>
        <w:jc w:val="both"/>
        <w:rPr>
          <w:rFonts w:ascii="Times New Roman" w:hAnsi="Times New Roman" w:cs="Times New Roman"/>
          <w:color w:val="000000" w:themeColor="text1"/>
          <w:sz w:val="26"/>
          <w:szCs w:val="26"/>
          <w:lang w:val="vi-VN"/>
        </w:rPr>
      </w:pPr>
    </w:p>
    <w:p w14:paraId="104E573B" w14:textId="3E03A932" w:rsidR="00887AC7" w:rsidRDefault="00B543E4" w:rsidP="00887AC7">
      <w:pPr>
        <w:snapToGrid w:val="0"/>
        <w:spacing w:after="0" w:line="300" w:lineRule="auto"/>
        <w:jc w:val="both"/>
        <w:rPr>
          <w:rFonts w:ascii="Times New Roman" w:hAnsi="Times New Roman" w:cs="Times New Roman"/>
          <w:color w:val="000000" w:themeColor="text1"/>
          <w:sz w:val="26"/>
          <w:szCs w:val="26"/>
          <w:lang w:val="en-US"/>
        </w:rPr>
      </w:pPr>
      <w:r w:rsidRPr="003F6924">
        <w:rPr>
          <w:rFonts w:ascii="Times New Roman" w:hAnsi="Times New Roman" w:cs="Times New Roman"/>
          <w:b/>
          <w:bCs/>
          <w:color w:val="000000" w:themeColor="text1"/>
          <w:sz w:val="26"/>
          <w:szCs w:val="26"/>
          <w:lang w:val="vi-VN"/>
        </w:rPr>
        <w:t>Duy Le Bui</w:t>
      </w:r>
      <w:r w:rsidRPr="003F6924">
        <w:rPr>
          <w:rFonts w:ascii="Times New Roman" w:hAnsi="Times New Roman" w:cs="Times New Roman"/>
          <w:color w:val="000000" w:themeColor="text1"/>
          <w:sz w:val="26"/>
          <w:szCs w:val="26"/>
          <w:lang w:val="en-US"/>
        </w:rPr>
        <w:t xml:space="preserve"> is currently working at the</w:t>
      </w:r>
      <w:r w:rsidR="00137571" w:rsidRPr="003F6924">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State Bank of Vietnam</w:t>
      </w:r>
      <w:r w:rsidR="00E70046">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and is a</w:t>
      </w:r>
      <w:r w:rsidR="00E70046">
        <w:rPr>
          <w:rFonts w:ascii="Times New Roman" w:hAnsi="Times New Roman" w:cs="Times New Roman"/>
          <w:color w:val="000000" w:themeColor="text1"/>
          <w:sz w:val="26"/>
          <w:szCs w:val="26"/>
          <w:lang w:val="en-US"/>
        </w:rPr>
        <w:t xml:space="preserve"> </w:t>
      </w:r>
      <w:r w:rsidRPr="003F6924">
        <w:rPr>
          <w:rFonts w:ascii="Times New Roman" w:hAnsi="Times New Roman" w:cs="Times New Roman"/>
          <w:color w:val="000000" w:themeColor="text1"/>
          <w:sz w:val="26"/>
          <w:szCs w:val="26"/>
          <w:lang w:val="en-US"/>
        </w:rPr>
        <w:t>Ph.D. candidate in Business Administration at Thang Long University, Hanoi, Vietnam. His research interests include digitalization and online business.</w:t>
      </w:r>
    </w:p>
    <w:p w14:paraId="2D7EC0C0" w14:textId="77777777" w:rsidR="00E70046" w:rsidRPr="003F6924" w:rsidRDefault="00E70046" w:rsidP="00887AC7">
      <w:pPr>
        <w:snapToGrid w:val="0"/>
        <w:spacing w:after="0" w:line="300" w:lineRule="auto"/>
        <w:jc w:val="both"/>
        <w:rPr>
          <w:rFonts w:ascii="Times New Roman" w:hAnsi="Times New Roman" w:cs="Times New Roman"/>
          <w:color w:val="000000" w:themeColor="text1"/>
          <w:sz w:val="26"/>
          <w:szCs w:val="26"/>
          <w:lang w:val="en-US"/>
        </w:rPr>
      </w:pPr>
    </w:p>
    <w:p w14:paraId="01CD5CBC" w14:textId="5D517FE5" w:rsidR="003C79ED" w:rsidRPr="003F6924" w:rsidRDefault="00B543E4" w:rsidP="000A240D">
      <w:pPr>
        <w:snapToGrid w:val="0"/>
        <w:spacing w:after="0" w:line="300" w:lineRule="auto"/>
        <w:jc w:val="both"/>
        <w:rPr>
          <w:rFonts w:ascii="Times New Roman" w:hAnsi="Times New Roman" w:cs="Times New Roman"/>
          <w:color w:val="000000" w:themeColor="text1"/>
          <w:sz w:val="26"/>
          <w:szCs w:val="26"/>
          <w:lang w:val="en-US"/>
        </w:rPr>
      </w:pPr>
      <w:r w:rsidRPr="003F6924">
        <w:rPr>
          <w:rFonts w:ascii="Times New Roman" w:hAnsi="Times New Roman" w:cs="Times New Roman"/>
          <w:b/>
          <w:bCs/>
          <w:color w:val="000000" w:themeColor="text1"/>
          <w:sz w:val="26"/>
          <w:szCs w:val="26"/>
          <w:lang w:val="vi-VN"/>
        </w:rPr>
        <w:t>Dr. Thi Van Anh Pham</w:t>
      </w:r>
      <w:r w:rsidRPr="003F6924">
        <w:rPr>
          <w:rFonts w:ascii="Times New Roman" w:hAnsi="Times New Roman" w:cs="Times New Roman"/>
          <w:color w:val="000000" w:themeColor="text1"/>
          <w:sz w:val="26"/>
          <w:szCs w:val="26"/>
          <w:lang w:val="vi-VN"/>
        </w:rPr>
        <w:t xml:space="preserve"> is cu</w:t>
      </w:r>
      <w:proofErr w:type="spellStart"/>
      <w:r w:rsidRPr="003F6924">
        <w:rPr>
          <w:rFonts w:ascii="Times New Roman" w:hAnsi="Times New Roman" w:cs="Times New Roman"/>
          <w:color w:val="000000" w:themeColor="text1"/>
          <w:sz w:val="26"/>
          <w:szCs w:val="26"/>
          <w:lang w:val="en-US"/>
        </w:rPr>
        <w:t>rrently</w:t>
      </w:r>
      <w:proofErr w:type="spellEnd"/>
      <w:r w:rsidRPr="003F6924">
        <w:rPr>
          <w:rFonts w:ascii="Times New Roman" w:hAnsi="Times New Roman" w:cs="Times New Roman"/>
          <w:color w:val="000000" w:themeColor="text1"/>
          <w:sz w:val="26"/>
          <w:szCs w:val="26"/>
          <w:lang w:val="en-US"/>
        </w:rPr>
        <w:t xml:space="preserve"> a </w:t>
      </w:r>
      <w:r w:rsidR="00E0239C" w:rsidRPr="003F6924">
        <w:rPr>
          <w:rFonts w:ascii="Times New Roman" w:hAnsi="Times New Roman" w:cs="Times New Roman"/>
          <w:color w:val="000000" w:themeColor="text1"/>
          <w:sz w:val="26"/>
          <w:szCs w:val="26"/>
          <w:lang w:val="en-US"/>
        </w:rPr>
        <w:t xml:space="preserve">Researcher </w:t>
      </w:r>
      <w:r w:rsidRPr="003F6924">
        <w:rPr>
          <w:rFonts w:ascii="Times New Roman" w:hAnsi="Times New Roman" w:cs="Times New Roman"/>
          <w:color w:val="000000" w:themeColor="text1"/>
          <w:sz w:val="26"/>
          <w:szCs w:val="26"/>
          <w:lang w:val="en-US"/>
        </w:rPr>
        <w:t xml:space="preserve">and </w:t>
      </w:r>
      <w:r w:rsidR="00E0239C" w:rsidRPr="003F6924">
        <w:rPr>
          <w:rFonts w:ascii="Times New Roman" w:hAnsi="Times New Roman" w:cs="Times New Roman"/>
          <w:color w:val="000000" w:themeColor="text1"/>
          <w:sz w:val="26"/>
          <w:szCs w:val="26"/>
          <w:lang w:val="en-US"/>
        </w:rPr>
        <w:t xml:space="preserve">Lecturer </w:t>
      </w:r>
      <w:r w:rsidRPr="003F6924">
        <w:rPr>
          <w:rFonts w:ascii="Times New Roman" w:hAnsi="Times New Roman" w:cs="Times New Roman"/>
          <w:color w:val="000000" w:themeColor="text1"/>
          <w:sz w:val="26"/>
          <w:szCs w:val="26"/>
          <w:lang w:val="en-US"/>
        </w:rPr>
        <w:t xml:space="preserve">at the Faculty of Economics and Management, Thang Long University, Hanoi, Vietnam. Her research interests include digitalization, online business, and consumer behavior in e-commerce. She has published articles in </w:t>
      </w:r>
      <w:r w:rsidR="00E0239C" w:rsidRPr="00E0239C">
        <w:rPr>
          <w:rFonts w:ascii="Times New Roman" w:hAnsi="Times New Roman" w:cs="Times New Roman"/>
          <w:color w:val="000000" w:themeColor="text1"/>
          <w:sz w:val="26"/>
          <w:szCs w:val="26"/>
          <w:lang w:val="en-US"/>
        </w:rPr>
        <w:t>several</w:t>
      </w:r>
      <w:r w:rsidRPr="003F6924">
        <w:rPr>
          <w:rFonts w:ascii="Times New Roman" w:hAnsi="Times New Roman" w:cs="Times New Roman"/>
          <w:color w:val="000000" w:themeColor="text1"/>
          <w:sz w:val="26"/>
          <w:szCs w:val="26"/>
          <w:lang w:val="en-US"/>
        </w:rPr>
        <w:t xml:space="preserve"> journals, including </w:t>
      </w:r>
      <w:r w:rsidR="00E0239C">
        <w:rPr>
          <w:rFonts w:ascii="Times New Roman" w:hAnsi="Times New Roman" w:cs="Times New Roman"/>
          <w:color w:val="000000" w:themeColor="text1"/>
          <w:sz w:val="26"/>
          <w:szCs w:val="26"/>
          <w:lang w:val="en-US"/>
        </w:rPr>
        <w:t xml:space="preserve">the </w:t>
      </w:r>
      <w:r w:rsidRPr="003F6924">
        <w:rPr>
          <w:rFonts w:ascii="Times New Roman" w:hAnsi="Times New Roman" w:cs="Times New Roman"/>
          <w:color w:val="000000" w:themeColor="text1"/>
          <w:sz w:val="26"/>
          <w:szCs w:val="26"/>
          <w:lang w:val="en-US"/>
        </w:rPr>
        <w:t xml:space="preserve">International Journal of Consumer Studies, Asian Journal of Business Research, and Society and Economy </w:t>
      </w:r>
      <w:r w:rsidR="004A50C1">
        <w:rPr>
          <w:rFonts w:ascii="Times New Roman" w:hAnsi="Times New Roman" w:cs="Times New Roman"/>
          <w:color w:val="000000" w:themeColor="text1"/>
          <w:sz w:val="26"/>
          <w:szCs w:val="26"/>
          <w:lang w:val="en-US"/>
        </w:rPr>
        <w:t>J</w:t>
      </w:r>
      <w:r w:rsidRPr="003F6924">
        <w:rPr>
          <w:rFonts w:ascii="Times New Roman" w:hAnsi="Times New Roman" w:cs="Times New Roman"/>
          <w:color w:val="000000" w:themeColor="text1"/>
          <w:sz w:val="26"/>
          <w:szCs w:val="26"/>
          <w:lang w:val="en-US"/>
        </w:rPr>
        <w:t xml:space="preserve">ournal.  </w:t>
      </w:r>
    </w:p>
    <w:sectPr w:rsidR="003C79ED" w:rsidRPr="003F6924" w:rsidSect="0058062D">
      <w:headerReference w:type="even" r:id="rId14"/>
      <w:headerReference w:type="default" r:id="rId15"/>
      <w:headerReference w:type="first" r:id="rId16"/>
      <w:pgSz w:w="11906" w:h="16838"/>
      <w:pgMar w:top="1440" w:right="1274" w:bottom="1440" w:left="1440" w:header="709" w:footer="709" w:gutter="0"/>
      <w:lnNumType w:countBy="1" w:restart="continuous"/>
      <w:pgNumType w:start="24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853A1" w14:textId="77777777" w:rsidR="004C450C" w:rsidRDefault="004C450C">
      <w:pPr>
        <w:spacing w:after="0" w:line="240" w:lineRule="auto"/>
      </w:pPr>
      <w:r>
        <w:separator/>
      </w:r>
    </w:p>
  </w:endnote>
  <w:endnote w:type="continuationSeparator" w:id="0">
    <w:p w14:paraId="68875BC3" w14:textId="77777777" w:rsidR="004C450C" w:rsidRDefault="004C450C">
      <w:pPr>
        <w:spacing w:after="0" w:line="240" w:lineRule="auto"/>
      </w:pPr>
      <w:r>
        <w:continuationSeparator/>
      </w:r>
    </w:p>
  </w:endnote>
  <w:endnote w:type="continuationNotice" w:id="1">
    <w:p w14:paraId="1F684CAD" w14:textId="77777777" w:rsidR="004C450C" w:rsidRDefault="004C45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53C9C" w14:textId="77777777" w:rsidR="004C450C" w:rsidRDefault="004C450C">
      <w:pPr>
        <w:spacing w:after="0" w:line="240" w:lineRule="auto"/>
      </w:pPr>
      <w:r>
        <w:separator/>
      </w:r>
    </w:p>
  </w:footnote>
  <w:footnote w:type="continuationSeparator" w:id="0">
    <w:p w14:paraId="69263678" w14:textId="77777777" w:rsidR="004C450C" w:rsidRDefault="004C450C">
      <w:pPr>
        <w:spacing w:after="0" w:line="240" w:lineRule="auto"/>
      </w:pPr>
      <w:r>
        <w:continuationSeparator/>
      </w:r>
    </w:p>
  </w:footnote>
  <w:footnote w:type="continuationNotice" w:id="1">
    <w:p w14:paraId="1B4852E8" w14:textId="77777777" w:rsidR="004C450C" w:rsidRDefault="004C45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EE48" w14:textId="77777777" w:rsidR="00F377A7" w:rsidRPr="005B3D57" w:rsidRDefault="00B543E4" w:rsidP="005B3D57">
    <w:pPr>
      <w:pStyle w:val="a8"/>
      <w:rPr>
        <w:rFonts w:ascii="Times New Roman" w:eastAsia="新細明體" w:hAnsi="Times New Roman" w:cs="Arial"/>
        <w:lang w:val="en-US"/>
      </w:rPr>
    </w:pPr>
    <w:r>
      <w:tab/>
    </w:r>
  </w:p>
  <w:p w14:paraId="3E661ABF" w14:textId="402E6489" w:rsidR="00F377A7" w:rsidRPr="00E43A90" w:rsidRDefault="00B543E4" w:rsidP="00BD1CE0">
    <w:pPr>
      <w:widowControl w:val="0"/>
      <w:tabs>
        <w:tab w:val="center" w:pos="4513"/>
        <w:tab w:val="right" w:pos="9026"/>
      </w:tabs>
      <w:snapToGrid w:val="0"/>
      <w:rPr>
        <w:rFonts w:ascii="Times New Roman" w:eastAsia="新細明體" w:hAnsi="Times New Roman" w:cs="Times New Roman"/>
        <w:kern w:val="2"/>
        <w:lang w:val="en-US" w:eastAsia="en-GB"/>
      </w:rPr>
    </w:pPr>
    <w:r w:rsidRPr="005B3D57">
      <w:rPr>
        <w:rFonts w:ascii="Times New Roman" w:eastAsia="新細明體" w:hAnsi="Times New Roman" w:cs="Times New Roman"/>
        <w:kern w:val="2"/>
        <w:lang w:val="en-US" w:eastAsia="en-GB"/>
      </w:rPr>
      <w:fldChar w:fldCharType="begin"/>
    </w:r>
    <w:r w:rsidRPr="005B3D57">
      <w:rPr>
        <w:rFonts w:ascii="Times New Roman" w:eastAsia="新細明體" w:hAnsi="Times New Roman" w:cs="Times New Roman"/>
        <w:kern w:val="2"/>
        <w:lang w:val="en-US" w:eastAsia="en-GB"/>
      </w:rPr>
      <w:instrText>PAGE   \* MERGEFORMAT</w:instrText>
    </w:r>
    <w:r w:rsidRPr="005B3D57">
      <w:rPr>
        <w:rFonts w:ascii="Times New Roman" w:eastAsia="新細明體" w:hAnsi="Times New Roman" w:cs="Times New Roman"/>
        <w:kern w:val="2"/>
        <w:lang w:val="en-US" w:eastAsia="en-GB"/>
      </w:rPr>
      <w:fldChar w:fldCharType="separate"/>
    </w:r>
    <w:r w:rsidRPr="005B3D57">
      <w:rPr>
        <w:rFonts w:ascii="Times New Roman" w:eastAsia="新細明體" w:hAnsi="Times New Roman" w:cs="Times New Roman"/>
        <w:kern w:val="2"/>
        <w:lang w:val="en-US" w:eastAsia="en-GB"/>
      </w:rPr>
      <w:t>154</w:t>
    </w:r>
    <w:r w:rsidRPr="005B3D57">
      <w:rPr>
        <w:rFonts w:ascii="Times New Roman" w:eastAsia="新細明體" w:hAnsi="Times New Roman" w:cs="Times New Roman"/>
        <w:kern w:val="2"/>
        <w:lang w:val="en-US" w:eastAsia="en-GB"/>
      </w:rPr>
      <w:fldChar w:fldCharType="end"/>
    </w:r>
    <w:r w:rsidRPr="005B3D57">
      <w:rPr>
        <w:rFonts w:ascii="Times New Roman" w:eastAsia="新細明體" w:hAnsi="Times New Roman" w:cs="Times New Roman"/>
        <w:noProof/>
        <w:kern w:val="2"/>
        <w:lang w:val="en-US" w:eastAsia="en-GB"/>
      </w:rPr>
      <mc:AlternateContent>
        <mc:Choice Requires="wps">
          <w:drawing>
            <wp:anchor distT="0" distB="0" distL="114300" distR="114300" simplePos="0" relativeHeight="251658240" behindDoc="0" locked="0" layoutInCell="1" allowOverlap="1" wp14:anchorId="592E7BB1" wp14:editId="674C2970">
              <wp:simplePos x="0" y="0"/>
              <wp:positionH relativeFrom="column">
                <wp:posOffset>0</wp:posOffset>
              </wp:positionH>
              <wp:positionV relativeFrom="paragraph">
                <wp:posOffset>146050</wp:posOffset>
              </wp:positionV>
              <wp:extent cx="5943600" cy="0"/>
              <wp:effectExtent l="0" t="0" r="0" b="0"/>
              <wp:wrapNone/>
              <wp:docPr id="26" name="直線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 o:spid="_x0000_s2049" style="mso-height-percent:0;mso-height-relative:page;mso-width-percent:0;mso-width-relative:page;mso-wrap-distance-bottom:0;mso-wrap-distance-left:9pt;mso-wrap-distance-right:9pt;mso-wrap-distance-top:0;mso-wrap-style:square;position:absolute;visibility:visible;z-index:251659264" from="0,11.5pt" to="468pt,11.5pt"/>
          </w:pict>
        </mc:Fallback>
      </mc:AlternateContent>
    </w:r>
    <w:r w:rsidRPr="005B3D57">
      <w:rPr>
        <w:rFonts w:ascii="Times New Roman" w:eastAsia="新細明體" w:hAnsi="Times New Roman" w:cs="Times New Roman"/>
        <w:kern w:val="2"/>
        <w:lang w:val="en-US" w:eastAsia="en-GB"/>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15BFE" w14:textId="77777777" w:rsidR="00F377A7" w:rsidRPr="005B3D57" w:rsidRDefault="00F377A7" w:rsidP="005B3D57">
    <w:pPr>
      <w:tabs>
        <w:tab w:val="center" w:pos="4680"/>
        <w:tab w:val="right" w:pos="9360"/>
      </w:tabs>
      <w:overflowPunct w:val="0"/>
      <w:autoSpaceDE w:val="0"/>
      <w:autoSpaceDN w:val="0"/>
      <w:adjustRightInd w:val="0"/>
      <w:spacing w:after="0" w:line="240" w:lineRule="auto"/>
      <w:textAlignment w:val="baseline"/>
      <w:rPr>
        <w:rFonts w:ascii="Times New Roman" w:eastAsia="新細明體" w:hAnsi="Times New Roman" w:cs="Arial"/>
        <w:lang w:val="en-AU"/>
      </w:rPr>
    </w:pPr>
  </w:p>
  <w:p w14:paraId="54A317AF" w14:textId="66F00906" w:rsidR="00F377A7" w:rsidRPr="00BD1CE0" w:rsidRDefault="00B543E4" w:rsidP="00BD1CE0">
    <w:pPr>
      <w:tabs>
        <w:tab w:val="center" w:pos="4680"/>
        <w:tab w:val="right" w:pos="9360"/>
      </w:tabs>
      <w:overflowPunct w:val="0"/>
      <w:autoSpaceDE w:val="0"/>
      <w:autoSpaceDN w:val="0"/>
      <w:adjustRightInd w:val="0"/>
      <w:spacing w:after="0" w:line="240" w:lineRule="auto"/>
      <w:ind w:right="100"/>
      <w:jc w:val="right"/>
      <w:textAlignment w:val="baseline"/>
      <w:rPr>
        <w:rFonts w:ascii="Times New Roman" w:eastAsia="新細明體" w:hAnsi="Times New Roman" w:cs="Arial"/>
        <w:lang w:val="en-AU"/>
      </w:rPr>
    </w:pPr>
    <w:r w:rsidRPr="005B3D57">
      <w:rPr>
        <w:rFonts w:ascii="Calibri" w:eastAsia="新細明體" w:hAnsi="Calibri" w:cs="Arial"/>
        <w:noProof/>
        <w:lang w:val="en-US" w:bidi="fa-IR"/>
      </w:rPr>
      <mc:AlternateContent>
        <mc:Choice Requires="wps">
          <w:drawing>
            <wp:anchor distT="0" distB="0" distL="114300" distR="114300" simplePos="0" relativeHeight="251660288" behindDoc="0" locked="0" layoutInCell="1" allowOverlap="1" wp14:anchorId="6FDE9C5B" wp14:editId="4A2133C3">
              <wp:simplePos x="0" y="0"/>
              <wp:positionH relativeFrom="column">
                <wp:posOffset>0</wp:posOffset>
              </wp:positionH>
              <wp:positionV relativeFrom="paragraph">
                <wp:posOffset>146049</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 o:spid="_x0000_s2050" style="mso-height-percent:0;mso-height-relative:page;mso-width-percent:0;mso-width-relative:page;mso-wrap-distance-bottom:0;mso-wrap-distance-left:9pt;mso-wrap-distance-right:9pt;mso-wrap-distance-top:0;mso-wrap-style:square;position:absolute;visibility:visible;z-index:251661312" from="0,11.5pt" to="468pt,11.5pt"/>
          </w:pict>
        </mc:Fallback>
      </mc:AlternateContent>
    </w:r>
    <w:r w:rsidRPr="005B3D57">
      <w:rPr>
        <w:rFonts w:ascii="Times New Roman" w:eastAsia="新細明體" w:hAnsi="Times New Roman" w:cs="Arial"/>
        <w:noProof/>
        <w:lang w:val="en-US"/>
      </w:rPr>
      <w:t xml:space="preserve">Contemporary Management Research   </w:t>
    </w:r>
    <w:r w:rsidRPr="005B3D57">
      <w:rPr>
        <w:rFonts w:ascii="Times New Roman" w:eastAsia="新細明體" w:hAnsi="Times New Roman" w:cs="Arial"/>
        <w:lang w:val="en-AU"/>
      </w:rPr>
      <w:fldChar w:fldCharType="begin"/>
    </w:r>
    <w:r w:rsidRPr="005B3D57">
      <w:rPr>
        <w:rFonts w:ascii="Times New Roman" w:eastAsia="新細明體" w:hAnsi="Times New Roman" w:cs="Arial"/>
        <w:lang w:val="en-AU"/>
      </w:rPr>
      <w:instrText xml:space="preserve"> PAGE </w:instrText>
    </w:r>
    <w:r w:rsidRPr="005B3D57">
      <w:rPr>
        <w:rFonts w:ascii="Times New Roman" w:eastAsia="新細明體" w:hAnsi="Times New Roman" w:cs="Arial"/>
        <w:lang w:val="en-AU"/>
      </w:rPr>
      <w:fldChar w:fldCharType="separate"/>
    </w:r>
    <w:r w:rsidRPr="005B3D57">
      <w:rPr>
        <w:rFonts w:ascii="Times New Roman" w:eastAsia="新細明體" w:hAnsi="Times New Roman" w:cs="Arial"/>
        <w:lang w:val="en-AU"/>
      </w:rPr>
      <w:t>155</w:t>
    </w:r>
    <w:r w:rsidRPr="005B3D57">
      <w:rPr>
        <w:rFonts w:ascii="Times New Roman" w:eastAsia="新細明體" w:hAnsi="Times New Roman" w:cs="Arial"/>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c"/>
      <w:tblW w:w="3685"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3685"/>
    </w:tblGrid>
    <w:tr w:rsidR="0046229B" w14:paraId="78DE82AD" w14:textId="77777777" w:rsidTr="005E3839">
      <w:trPr>
        <w:trHeight w:val="454"/>
        <w:jc w:val="right"/>
      </w:trPr>
      <w:tc>
        <w:tcPr>
          <w:tcW w:w="3685" w:type="dxa"/>
          <w:tcBorders>
            <w:top w:val="thinThickSmallGap" w:sz="24" w:space="0" w:color="auto"/>
            <w:left w:val="nil"/>
            <w:bottom w:val="thickThinSmallGap" w:sz="24" w:space="0" w:color="auto"/>
            <w:right w:val="nil"/>
          </w:tcBorders>
          <w:vAlign w:val="bottom"/>
          <w:hideMark/>
        </w:tcPr>
        <w:p w14:paraId="49905109" w14:textId="77777777" w:rsidR="00F377A7" w:rsidRPr="005E3839" w:rsidRDefault="00B543E4" w:rsidP="005B3D57">
          <w:pPr>
            <w:pStyle w:val="a8"/>
            <w:rPr>
              <w:rFonts w:ascii="Times New Roman" w:hAnsi="Times New Roman" w:cs="Times New Roman"/>
              <w:lang w:val="en-US"/>
            </w:rPr>
          </w:pPr>
          <w:r w:rsidRPr="005E3839">
            <w:rPr>
              <w:rFonts w:ascii="Times New Roman" w:hAnsi="Times New Roman" w:cs="Times New Roman"/>
              <w:lang w:val="en-US"/>
            </w:rPr>
            <w:t>Contemporary Management Research</w:t>
          </w:r>
        </w:p>
        <w:p w14:paraId="408193E5" w14:textId="770A954B" w:rsidR="00F377A7" w:rsidRPr="005E3839" w:rsidRDefault="00B543E4" w:rsidP="005B3D57">
          <w:pPr>
            <w:pStyle w:val="a8"/>
            <w:rPr>
              <w:rFonts w:ascii="Times New Roman" w:hAnsi="Times New Roman" w:cs="Times New Roman"/>
              <w:lang w:val="en-US"/>
            </w:rPr>
          </w:pPr>
          <w:r w:rsidRPr="005E3839">
            <w:rPr>
              <w:rFonts w:ascii="Times New Roman" w:hAnsi="Times New Roman" w:cs="Times New Roman"/>
              <w:lang w:val="en-US"/>
            </w:rPr>
            <w:t xml:space="preserve">Pages </w:t>
          </w:r>
          <w:r w:rsidR="00D4192A">
            <w:rPr>
              <w:rFonts w:ascii="Times New Roman" w:hAnsi="Times New Roman" w:cs="Times New Roman"/>
              <w:lang w:val="en-US"/>
            </w:rPr>
            <w:t>24</w:t>
          </w:r>
          <w:r w:rsidR="00DB281D">
            <w:rPr>
              <w:rFonts w:ascii="Times New Roman" w:hAnsi="Times New Roman" w:cs="Times New Roman"/>
              <w:lang w:val="en-US"/>
            </w:rPr>
            <w:t>7</w:t>
          </w:r>
          <w:r w:rsidR="00D4192A">
            <w:rPr>
              <w:rFonts w:ascii="Times New Roman" w:hAnsi="Times New Roman" w:cs="Times New Roman"/>
              <w:lang w:val="en-US"/>
            </w:rPr>
            <w:t>-29</w:t>
          </w:r>
          <w:r w:rsidR="00DB281D">
            <w:rPr>
              <w:rFonts w:ascii="Times New Roman" w:hAnsi="Times New Roman" w:cs="Times New Roman"/>
              <w:lang w:val="en-US"/>
            </w:rPr>
            <w:t>7</w:t>
          </w:r>
          <w:r w:rsidRPr="005E3839">
            <w:rPr>
              <w:rFonts w:ascii="Times New Roman" w:hAnsi="Times New Roman" w:cs="Times New Roman"/>
              <w:lang w:val="en-US"/>
            </w:rPr>
            <w:t xml:space="preserve">, Vol. </w:t>
          </w:r>
          <w:r w:rsidR="000146EE">
            <w:rPr>
              <w:rFonts w:ascii="Times New Roman" w:hAnsi="Times New Roman" w:cs="Times New Roman" w:hint="eastAsia"/>
              <w:lang w:val="en-US" w:eastAsia="zh-TW"/>
            </w:rPr>
            <w:t>22</w:t>
          </w:r>
          <w:r w:rsidRPr="005E3839">
            <w:rPr>
              <w:rFonts w:ascii="Times New Roman" w:hAnsi="Times New Roman" w:cs="Times New Roman"/>
              <w:lang w:val="en-US"/>
            </w:rPr>
            <w:t xml:space="preserve">, No. </w:t>
          </w:r>
          <w:r w:rsidR="00D4192A">
            <w:rPr>
              <w:rFonts w:ascii="Times New Roman" w:hAnsi="Times New Roman" w:cs="Times New Roman"/>
              <w:lang w:val="en-US"/>
            </w:rPr>
            <w:t>3</w:t>
          </w:r>
          <w:r w:rsidRPr="005E3839">
            <w:rPr>
              <w:rFonts w:ascii="Times New Roman" w:hAnsi="Times New Roman" w:cs="Times New Roman"/>
              <w:lang w:val="en-US"/>
            </w:rPr>
            <w:t xml:space="preserve">, </w:t>
          </w:r>
          <w:r w:rsidR="000146EE">
            <w:rPr>
              <w:rFonts w:ascii="Times New Roman" w:hAnsi="Times New Roman" w:cs="Times New Roman" w:hint="eastAsia"/>
              <w:lang w:val="en-US" w:eastAsia="zh-TW"/>
            </w:rPr>
            <w:t>2026</w:t>
          </w:r>
        </w:p>
        <w:p w14:paraId="461398EC" w14:textId="77777777" w:rsidR="00F377A7" w:rsidRPr="005E3839" w:rsidRDefault="00B543E4" w:rsidP="005B3D57">
          <w:pPr>
            <w:pStyle w:val="a8"/>
            <w:rPr>
              <w:rFonts w:ascii="Times New Roman" w:hAnsi="Times New Roman" w:cs="Times New Roman"/>
              <w:lang w:val="pt-BR"/>
            </w:rPr>
          </w:pPr>
          <w:r w:rsidRPr="005E3839">
            <w:rPr>
              <w:rFonts w:ascii="Times New Roman" w:hAnsi="Times New Roman" w:cs="Times New Roman"/>
              <w:lang w:val="pt-BR"/>
            </w:rPr>
            <w:t xml:space="preserve">doi: </w:t>
          </w:r>
          <w:r w:rsidR="000146EE" w:rsidRPr="000146EE">
            <w:rPr>
              <w:rFonts w:ascii="Times New Roman" w:hAnsi="Times New Roman" w:cs="Times New Roman"/>
              <w:lang w:val="pt-BR"/>
            </w:rPr>
            <w:t>10.7903/cmr. 24</w:t>
          </w:r>
          <w:r w:rsidR="000146EE">
            <w:rPr>
              <w:rFonts w:ascii="Times New Roman" w:hAnsi="Times New Roman" w:cs="Times New Roman" w:hint="eastAsia"/>
              <w:lang w:val="pt-BR" w:eastAsia="zh-TW"/>
            </w:rPr>
            <w:t>492</w:t>
          </w:r>
        </w:p>
      </w:tc>
    </w:tr>
  </w:tbl>
  <w:p w14:paraId="0B482B1A" w14:textId="77777777" w:rsidR="00F377A7" w:rsidRDefault="00F377A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44C"/>
    <w:multiLevelType w:val="hybridMultilevel"/>
    <w:tmpl w:val="29D67E5E"/>
    <w:lvl w:ilvl="0" w:tplc="94AAAE2A">
      <w:start w:val="1"/>
      <w:numFmt w:val="bullet"/>
      <w:lvlText w:val=""/>
      <w:lvlJc w:val="left"/>
      <w:pPr>
        <w:ind w:left="360" w:hanging="360"/>
      </w:pPr>
      <w:rPr>
        <w:rFonts w:ascii="Wingdings" w:hAnsi="Wingdings" w:hint="default"/>
      </w:rPr>
    </w:lvl>
    <w:lvl w:ilvl="1" w:tplc="090434FE" w:tentative="1">
      <w:start w:val="1"/>
      <w:numFmt w:val="bullet"/>
      <w:lvlText w:val=""/>
      <w:lvlJc w:val="left"/>
      <w:pPr>
        <w:ind w:left="960" w:hanging="480"/>
      </w:pPr>
      <w:rPr>
        <w:rFonts w:ascii="Wingdings" w:hAnsi="Wingdings" w:hint="default"/>
      </w:rPr>
    </w:lvl>
    <w:lvl w:ilvl="2" w:tplc="82FC7004" w:tentative="1">
      <w:start w:val="1"/>
      <w:numFmt w:val="bullet"/>
      <w:lvlText w:val=""/>
      <w:lvlJc w:val="left"/>
      <w:pPr>
        <w:ind w:left="1440" w:hanging="480"/>
      </w:pPr>
      <w:rPr>
        <w:rFonts w:ascii="Wingdings" w:hAnsi="Wingdings" w:hint="default"/>
      </w:rPr>
    </w:lvl>
    <w:lvl w:ilvl="3" w:tplc="D714A6E8" w:tentative="1">
      <w:start w:val="1"/>
      <w:numFmt w:val="bullet"/>
      <w:lvlText w:val=""/>
      <w:lvlJc w:val="left"/>
      <w:pPr>
        <w:ind w:left="1920" w:hanging="480"/>
      </w:pPr>
      <w:rPr>
        <w:rFonts w:ascii="Wingdings" w:hAnsi="Wingdings" w:hint="default"/>
      </w:rPr>
    </w:lvl>
    <w:lvl w:ilvl="4" w:tplc="A5A2A0FC" w:tentative="1">
      <w:start w:val="1"/>
      <w:numFmt w:val="bullet"/>
      <w:lvlText w:val=""/>
      <w:lvlJc w:val="left"/>
      <w:pPr>
        <w:ind w:left="2400" w:hanging="480"/>
      </w:pPr>
      <w:rPr>
        <w:rFonts w:ascii="Wingdings" w:hAnsi="Wingdings" w:hint="default"/>
      </w:rPr>
    </w:lvl>
    <w:lvl w:ilvl="5" w:tplc="8B8CFAB0" w:tentative="1">
      <w:start w:val="1"/>
      <w:numFmt w:val="bullet"/>
      <w:lvlText w:val=""/>
      <w:lvlJc w:val="left"/>
      <w:pPr>
        <w:ind w:left="2880" w:hanging="480"/>
      </w:pPr>
      <w:rPr>
        <w:rFonts w:ascii="Wingdings" w:hAnsi="Wingdings" w:hint="default"/>
      </w:rPr>
    </w:lvl>
    <w:lvl w:ilvl="6" w:tplc="F97EDF00" w:tentative="1">
      <w:start w:val="1"/>
      <w:numFmt w:val="bullet"/>
      <w:lvlText w:val=""/>
      <w:lvlJc w:val="left"/>
      <w:pPr>
        <w:ind w:left="3360" w:hanging="480"/>
      </w:pPr>
      <w:rPr>
        <w:rFonts w:ascii="Wingdings" w:hAnsi="Wingdings" w:hint="default"/>
      </w:rPr>
    </w:lvl>
    <w:lvl w:ilvl="7" w:tplc="93FE1936" w:tentative="1">
      <w:start w:val="1"/>
      <w:numFmt w:val="bullet"/>
      <w:lvlText w:val=""/>
      <w:lvlJc w:val="left"/>
      <w:pPr>
        <w:ind w:left="3840" w:hanging="480"/>
      </w:pPr>
      <w:rPr>
        <w:rFonts w:ascii="Wingdings" w:hAnsi="Wingdings" w:hint="default"/>
      </w:rPr>
    </w:lvl>
    <w:lvl w:ilvl="8" w:tplc="AC305A32" w:tentative="1">
      <w:start w:val="1"/>
      <w:numFmt w:val="bullet"/>
      <w:lvlText w:val=""/>
      <w:lvlJc w:val="left"/>
      <w:pPr>
        <w:ind w:left="4320" w:hanging="480"/>
      </w:pPr>
      <w:rPr>
        <w:rFonts w:ascii="Wingdings" w:hAnsi="Wingdings" w:hint="default"/>
      </w:rPr>
    </w:lvl>
  </w:abstractNum>
  <w:abstractNum w:abstractNumId="1" w15:restartNumberingAfterBreak="0">
    <w:nsid w:val="03A73CFD"/>
    <w:multiLevelType w:val="hybridMultilevel"/>
    <w:tmpl w:val="DC4CECFA"/>
    <w:lvl w:ilvl="0" w:tplc="C14E3EF2">
      <w:start w:val="1"/>
      <w:numFmt w:val="decimal"/>
      <w:lvlText w:val="%1."/>
      <w:lvlJc w:val="left"/>
      <w:pPr>
        <w:ind w:left="720" w:hanging="360"/>
      </w:pPr>
      <w:rPr>
        <w:rFonts w:hint="default"/>
      </w:rPr>
    </w:lvl>
    <w:lvl w:ilvl="1" w:tplc="3AC064F0" w:tentative="1">
      <w:start w:val="1"/>
      <w:numFmt w:val="lowerLetter"/>
      <w:lvlText w:val="%2."/>
      <w:lvlJc w:val="left"/>
      <w:pPr>
        <w:ind w:left="1440" w:hanging="360"/>
      </w:pPr>
    </w:lvl>
    <w:lvl w:ilvl="2" w:tplc="CDB09352" w:tentative="1">
      <w:start w:val="1"/>
      <w:numFmt w:val="lowerRoman"/>
      <w:lvlText w:val="%3."/>
      <w:lvlJc w:val="right"/>
      <w:pPr>
        <w:ind w:left="2160" w:hanging="180"/>
      </w:pPr>
    </w:lvl>
    <w:lvl w:ilvl="3" w:tplc="4714584E" w:tentative="1">
      <w:start w:val="1"/>
      <w:numFmt w:val="decimal"/>
      <w:lvlText w:val="%4."/>
      <w:lvlJc w:val="left"/>
      <w:pPr>
        <w:ind w:left="2880" w:hanging="360"/>
      </w:pPr>
    </w:lvl>
    <w:lvl w:ilvl="4" w:tplc="2F649142" w:tentative="1">
      <w:start w:val="1"/>
      <w:numFmt w:val="lowerLetter"/>
      <w:lvlText w:val="%5."/>
      <w:lvlJc w:val="left"/>
      <w:pPr>
        <w:ind w:left="3600" w:hanging="360"/>
      </w:pPr>
    </w:lvl>
    <w:lvl w:ilvl="5" w:tplc="020A9814" w:tentative="1">
      <w:start w:val="1"/>
      <w:numFmt w:val="lowerRoman"/>
      <w:lvlText w:val="%6."/>
      <w:lvlJc w:val="right"/>
      <w:pPr>
        <w:ind w:left="4320" w:hanging="180"/>
      </w:pPr>
    </w:lvl>
    <w:lvl w:ilvl="6" w:tplc="B9964DCE" w:tentative="1">
      <w:start w:val="1"/>
      <w:numFmt w:val="decimal"/>
      <w:lvlText w:val="%7."/>
      <w:lvlJc w:val="left"/>
      <w:pPr>
        <w:ind w:left="5040" w:hanging="360"/>
      </w:pPr>
    </w:lvl>
    <w:lvl w:ilvl="7" w:tplc="3E1E6938" w:tentative="1">
      <w:start w:val="1"/>
      <w:numFmt w:val="lowerLetter"/>
      <w:lvlText w:val="%8."/>
      <w:lvlJc w:val="left"/>
      <w:pPr>
        <w:ind w:left="5760" w:hanging="360"/>
      </w:pPr>
    </w:lvl>
    <w:lvl w:ilvl="8" w:tplc="EE3C18E8" w:tentative="1">
      <w:start w:val="1"/>
      <w:numFmt w:val="lowerRoman"/>
      <w:lvlText w:val="%9."/>
      <w:lvlJc w:val="right"/>
      <w:pPr>
        <w:ind w:left="6480" w:hanging="180"/>
      </w:pPr>
    </w:lvl>
  </w:abstractNum>
  <w:abstractNum w:abstractNumId="2" w15:restartNumberingAfterBreak="0">
    <w:nsid w:val="055248CD"/>
    <w:multiLevelType w:val="multilevel"/>
    <w:tmpl w:val="54E689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6C0941"/>
    <w:multiLevelType w:val="hybridMultilevel"/>
    <w:tmpl w:val="F8CEA098"/>
    <w:lvl w:ilvl="0" w:tplc="1938E3F0">
      <w:start w:val="1"/>
      <w:numFmt w:val="bullet"/>
      <w:lvlText w:val=""/>
      <w:lvlJc w:val="left"/>
      <w:pPr>
        <w:ind w:left="720" w:hanging="360"/>
      </w:pPr>
      <w:rPr>
        <w:rFonts w:ascii="Symbol" w:hAnsi="Symbol" w:cs="Symbol" w:hint="default"/>
      </w:rPr>
    </w:lvl>
    <w:lvl w:ilvl="1" w:tplc="2B4C4AFC" w:tentative="1">
      <w:start w:val="1"/>
      <w:numFmt w:val="bullet"/>
      <w:lvlText w:val="o"/>
      <w:lvlJc w:val="left"/>
      <w:pPr>
        <w:ind w:left="1440" w:hanging="360"/>
      </w:pPr>
      <w:rPr>
        <w:rFonts w:ascii="Courier New" w:hAnsi="Courier New" w:cs="Courier New" w:hint="default"/>
      </w:rPr>
    </w:lvl>
    <w:lvl w:ilvl="2" w:tplc="2A6E3FD2" w:tentative="1">
      <w:start w:val="1"/>
      <w:numFmt w:val="bullet"/>
      <w:lvlText w:val=""/>
      <w:lvlJc w:val="left"/>
      <w:pPr>
        <w:ind w:left="2160" w:hanging="360"/>
      </w:pPr>
      <w:rPr>
        <w:rFonts w:ascii="Wingdings" w:hAnsi="Wingdings" w:hint="default"/>
      </w:rPr>
    </w:lvl>
    <w:lvl w:ilvl="3" w:tplc="D25A56EE" w:tentative="1">
      <w:start w:val="1"/>
      <w:numFmt w:val="bullet"/>
      <w:lvlText w:val=""/>
      <w:lvlJc w:val="left"/>
      <w:pPr>
        <w:ind w:left="2880" w:hanging="360"/>
      </w:pPr>
      <w:rPr>
        <w:rFonts w:ascii="Symbol" w:hAnsi="Symbol" w:hint="default"/>
      </w:rPr>
    </w:lvl>
    <w:lvl w:ilvl="4" w:tplc="49769736" w:tentative="1">
      <w:start w:val="1"/>
      <w:numFmt w:val="bullet"/>
      <w:lvlText w:val="o"/>
      <w:lvlJc w:val="left"/>
      <w:pPr>
        <w:ind w:left="3600" w:hanging="360"/>
      </w:pPr>
      <w:rPr>
        <w:rFonts w:ascii="Courier New" w:hAnsi="Courier New" w:cs="Courier New" w:hint="default"/>
      </w:rPr>
    </w:lvl>
    <w:lvl w:ilvl="5" w:tplc="9E12AD4E" w:tentative="1">
      <w:start w:val="1"/>
      <w:numFmt w:val="bullet"/>
      <w:lvlText w:val=""/>
      <w:lvlJc w:val="left"/>
      <w:pPr>
        <w:ind w:left="4320" w:hanging="360"/>
      </w:pPr>
      <w:rPr>
        <w:rFonts w:ascii="Wingdings" w:hAnsi="Wingdings" w:hint="default"/>
      </w:rPr>
    </w:lvl>
    <w:lvl w:ilvl="6" w:tplc="2D58E5D2" w:tentative="1">
      <w:start w:val="1"/>
      <w:numFmt w:val="bullet"/>
      <w:lvlText w:val=""/>
      <w:lvlJc w:val="left"/>
      <w:pPr>
        <w:ind w:left="5040" w:hanging="360"/>
      </w:pPr>
      <w:rPr>
        <w:rFonts w:ascii="Symbol" w:hAnsi="Symbol" w:hint="default"/>
      </w:rPr>
    </w:lvl>
    <w:lvl w:ilvl="7" w:tplc="44328798" w:tentative="1">
      <w:start w:val="1"/>
      <w:numFmt w:val="bullet"/>
      <w:lvlText w:val="o"/>
      <w:lvlJc w:val="left"/>
      <w:pPr>
        <w:ind w:left="5760" w:hanging="360"/>
      </w:pPr>
      <w:rPr>
        <w:rFonts w:ascii="Courier New" w:hAnsi="Courier New" w:cs="Courier New" w:hint="default"/>
      </w:rPr>
    </w:lvl>
    <w:lvl w:ilvl="8" w:tplc="5644FA94" w:tentative="1">
      <w:start w:val="1"/>
      <w:numFmt w:val="bullet"/>
      <w:lvlText w:val=""/>
      <w:lvlJc w:val="left"/>
      <w:pPr>
        <w:ind w:left="6480" w:hanging="360"/>
      </w:pPr>
      <w:rPr>
        <w:rFonts w:ascii="Wingdings" w:hAnsi="Wingdings" w:hint="default"/>
      </w:rPr>
    </w:lvl>
  </w:abstractNum>
  <w:abstractNum w:abstractNumId="4" w15:restartNumberingAfterBreak="0">
    <w:nsid w:val="07090825"/>
    <w:multiLevelType w:val="hybridMultilevel"/>
    <w:tmpl w:val="686C7980"/>
    <w:lvl w:ilvl="0" w:tplc="418C25F4">
      <w:start w:val="1"/>
      <w:numFmt w:val="decimal"/>
      <w:lvlText w:val="%1."/>
      <w:lvlJc w:val="left"/>
      <w:pPr>
        <w:ind w:left="720" w:hanging="360"/>
      </w:pPr>
      <w:rPr>
        <w:rFonts w:hint="default"/>
      </w:rPr>
    </w:lvl>
    <w:lvl w:ilvl="1" w:tplc="662863E2" w:tentative="1">
      <w:start w:val="1"/>
      <w:numFmt w:val="lowerLetter"/>
      <w:lvlText w:val="%2."/>
      <w:lvlJc w:val="left"/>
      <w:pPr>
        <w:ind w:left="1440" w:hanging="360"/>
      </w:pPr>
    </w:lvl>
    <w:lvl w:ilvl="2" w:tplc="5FB868C0" w:tentative="1">
      <w:start w:val="1"/>
      <w:numFmt w:val="lowerRoman"/>
      <w:lvlText w:val="%3."/>
      <w:lvlJc w:val="right"/>
      <w:pPr>
        <w:ind w:left="2160" w:hanging="180"/>
      </w:pPr>
    </w:lvl>
    <w:lvl w:ilvl="3" w:tplc="2578E96E" w:tentative="1">
      <w:start w:val="1"/>
      <w:numFmt w:val="decimal"/>
      <w:lvlText w:val="%4."/>
      <w:lvlJc w:val="left"/>
      <w:pPr>
        <w:ind w:left="2880" w:hanging="360"/>
      </w:pPr>
    </w:lvl>
    <w:lvl w:ilvl="4" w:tplc="D0A876C4" w:tentative="1">
      <w:start w:val="1"/>
      <w:numFmt w:val="lowerLetter"/>
      <w:lvlText w:val="%5."/>
      <w:lvlJc w:val="left"/>
      <w:pPr>
        <w:ind w:left="3600" w:hanging="360"/>
      </w:pPr>
    </w:lvl>
    <w:lvl w:ilvl="5" w:tplc="B748DE1A" w:tentative="1">
      <w:start w:val="1"/>
      <w:numFmt w:val="lowerRoman"/>
      <w:lvlText w:val="%6."/>
      <w:lvlJc w:val="right"/>
      <w:pPr>
        <w:ind w:left="4320" w:hanging="180"/>
      </w:pPr>
    </w:lvl>
    <w:lvl w:ilvl="6" w:tplc="3E84BE44" w:tentative="1">
      <w:start w:val="1"/>
      <w:numFmt w:val="decimal"/>
      <w:lvlText w:val="%7."/>
      <w:lvlJc w:val="left"/>
      <w:pPr>
        <w:ind w:left="5040" w:hanging="360"/>
      </w:pPr>
    </w:lvl>
    <w:lvl w:ilvl="7" w:tplc="C59452D2" w:tentative="1">
      <w:start w:val="1"/>
      <w:numFmt w:val="lowerLetter"/>
      <w:lvlText w:val="%8."/>
      <w:lvlJc w:val="left"/>
      <w:pPr>
        <w:ind w:left="5760" w:hanging="360"/>
      </w:pPr>
    </w:lvl>
    <w:lvl w:ilvl="8" w:tplc="A9721EF4" w:tentative="1">
      <w:start w:val="1"/>
      <w:numFmt w:val="lowerRoman"/>
      <w:lvlText w:val="%9."/>
      <w:lvlJc w:val="right"/>
      <w:pPr>
        <w:ind w:left="6480" w:hanging="180"/>
      </w:pPr>
    </w:lvl>
  </w:abstractNum>
  <w:abstractNum w:abstractNumId="5" w15:restartNumberingAfterBreak="0">
    <w:nsid w:val="10856041"/>
    <w:multiLevelType w:val="hybridMultilevel"/>
    <w:tmpl w:val="11380CFE"/>
    <w:lvl w:ilvl="0" w:tplc="D59ECAF2">
      <w:start w:val="5"/>
      <w:numFmt w:val="bullet"/>
      <w:lvlText w:val="-"/>
      <w:lvlJc w:val="left"/>
      <w:pPr>
        <w:ind w:left="720" w:hanging="360"/>
      </w:pPr>
      <w:rPr>
        <w:rFonts w:ascii="Times New Roman" w:eastAsiaTheme="minorHAnsi" w:hAnsi="Times New Roman" w:cs="Times New Roman" w:hint="default"/>
      </w:rPr>
    </w:lvl>
    <w:lvl w:ilvl="1" w:tplc="45BE0978" w:tentative="1">
      <w:start w:val="1"/>
      <w:numFmt w:val="bullet"/>
      <w:lvlText w:val="o"/>
      <w:lvlJc w:val="left"/>
      <w:pPr>
        <w:ind w:left="1440" w:hanging="360"/>
      </w:pPr>
      <w:rPr>
        <w:rFonts w:ascii="Courier New" w:hAnsi="Courier New" w:cs="Courier New" w:hint="default"/>
      </w:rPr>
    </w:lvl>
    <w:lvl w:ilvl="2" w:tplc="A24A7C60" w:tentative="1">
      <w:start w:val="1"/>
      <w:numFmt w:val="bullet"/>
      <w:lvlText w:val=""/>
      <w:lvlJc w:val="left"/>
      <w:pPr>
        <w:ind w:left="2160" w:hanging="360"/>
      </w:pPr>
      <w:rPr>
        <w:rFonts w:ascii="Wingdings" w:hAnsi="Wingdings" w:hint="default"/>
      </w:rPr>
    </w:lvl>
    <w:lvl w:ilvl="3" w:tplc="E918FFF2" w:tentative="1">
      <w:start w:val="1"/>
      <w:numFmt w:val="bullet"/>
      <w:lvlText w:val=""/>
      <w:lvlJc w:val="left"/>
      <w:pPr>
        <w:ind w:left="2880" w:hanging="360"/>
      </w:pPr>
      <w:rPr>
        <w:rFonts w:ascii="Symbol" w:hAnsi="Symbol" w:hint="default"/>
      </w:rPr>
    </w:lvl>
    <w:lvl w:ilvl="4" w:tplc="90A80E0A" w:tentative="1">
      <w:start w:val="1"/>
      <w:numFmt w:val="bullet"/>
      <w:lvlText w:val="o"/>
      <w:lvlJc w:val="left"/>
      <w:pPr>
        <w:ind w:left="3600" w:hanging="360"/>
      </w:pPr>
      <w:rPr>
        <w:rFonts w:ascii="Courier New" w:hAnsi="Courier New" w:cs="Courier New" w:hint="default"/>
      </w:rPr>
    </w:lvl>
    <w:lvl w:ilvl="5" w:tplc="0FAA41CA" w:tentative="1">
      <w:start w:val="1"/>
      <w:numFmt w:val="bullet"/>
      <w:lvlText w:val=""/>
      <w:lvlJc w:val="left"/>
      <w:pPr>
        <w:ind w:left="4320" w:hanging="360"/>
      </w:pPr>
      <w:rPr>
        <w:rFonts w:ascii="Wingdings" w:hAnsi="Wingdings" w:hint="default"/>
      </w:rPr>
    </w:lvl>
    <w:lvl w:ilvl="6" w:tplc="662E4776" w:tentative="1">
      <w:start w:val="1"/>
      <w:numFmt w:val="bullet"/>
      <w:lvlText w:val=""/>
      <w:lvlJc w:val="left"/>
      <w:pPr>
        <w:ind w:left="5040" w:hanging="360"/>
      </w:pPr>
      <w:rPr>
        <w:rFonts w:ascii="Symbol" w:hAnsi="Symbol" w:hint="default"/>
      </w:rPr>
    </w:lvl>
    <w:lvl w:ilvl="7" w:tplc="11C64EF0" w:tentative="1">
      <w:start w:val="1"/>
      <w:numFmt w:val="bullet"/>
      <w:lvlText w:val="o"/>
      <w:lvlJc w:val="left"/>
      <w:pPr>
        <w:ind w:left="5760" w:hanging="360"/>
      </w:pPr>
      <w:rPr>
        <w:rFonts w:ascii="Courier New" w:hAnsi="Courier New" w:cs="Courier New" w:hint="default"/>
      </w:rPr>
    </w:lvl>
    <w:lvl w:ilvl="8" w:tplc="AE9E791E" w:tentative="1">
      <w:start w:val="1"/>
      <w:numFmt w:val="bullet"/>
      <w:lvlText w:val=""/>
      <w:lvlJc w:val="left"/>
      <w:pPr>
        <w:ind w:left="6480" w:hanging="360"/>
      </w:pPr>
      <w:rPr>
        <w:rFonts w:ascii="Wingdings" w:hAnsi="Wingdings" w:hint="default"/>
      </w:rPr>
    </w:lvl>
  </w:abstractNum>
  <w:abstractNum w:abstractNumId="6" w15:restartNumberingAfterBreak="0">
    <w:nsid w:val="109B3808"/>
    <w:multiLevelType w:val="hybridMultilevel"/>
    <w:tmpl w:val="6442ADC4"/>
    <w:lvl w:ilvl="0" w:tplc="3000ECDE">
      <w:start w:val="1"/>
      <w:numFmt w:val="decimal"/>
      <w:lvlText w:val="%1."/>
      <w:lvlJc w:val="left"/>
      <w:pPr>
        <w:ind w:left="720" w:hanging="360"/>
      </w:pPr>
      <w:rPr>
        <w:rFonts w:hint="default"/>
      </w:rPr>
    </w:lvl>
    <w:lvl w:ilvl="1" w:tplc="89E0B6D8" w:tentative="1">
      <w:start w:val="1"/>
      <w:numFmt w:val="lowerLetter"/>
      <w:lvlText w:val="%2."/>
      <w:lvlJc w:val="left"/>
      <w:pPr>
        <w:ind w:left="1440" w:hanging="360"/>
      </w:pPr>
    </w:lvl>
    <w:lvl w:ilvl="2" w:tplc="04A69946" w:tentative="1">
      <w:start w:val="1"/>
      <w:numFmt w:val="lowerRoman"/>
      <w:lvlText w:val="%3."/>
      <w:lvlJc w:val="right"/>
      <w:pPr>
        <w:ind w:left="2160" w:hanging="180"/>
      </w:pPr>
    </w:lvl>
    <w:lvl w:ilvl="3" w:tplc="9CA62DEC" w:tentative="1">
      <w:start w:val="1"/>
      <w:numFmt w:val="decimal"/>
      <w:lvlText w:val="%4."/>
      <w:lvlJc w:val="left"/>
      <w:pPr>
        <w:ind w:left="2880" w:hanging="360"/>
      </w:pPr>
    </w:lvl>
    <w:lvl w:ilvl="4" w:tplc="0908D0FC" w:tentative="1">
      <w:start w:val="1"/>
      <w:numFmt w:val="lowerLetter"/>
      <w:lvlText w:val="%5."/>
      <w:lvlJc w:val="left"/>
      <w:pPr>
        <w:ind w:left="3600" w:hanging="360"/>
      </w:pPr>
    </w:lvl>
    <w:lvl w:ilvl="5" w:tplc="F9909AA4" w:tentative="1">
      <w:start w:val="1"/>
      <w:numFmt w:val="lowerRoman"/>
      <w:lvlText w:val="%6."/>
      <w:lvlJc w:val="right"/>
      <w:pPr>
        <w:ind w:left="4320" w:hanging="180"/>
      </w:pPr>
    </w:lvl>
    <w:lvl w:ilvl="6" w:tplc="16087AD8" w:tentative="1">
      <w:start w:val="1"/>
      <w:numFmt w:val="decimal"/>
      <w:lvlText w:val="%7."/>
      <w:lvlJc w:val="left"/>
      <w:pPr>
        <w:ind w:left="5040" w:hanging="360"/>
      </w:pPr>
    </w:lvl>
    <w:lvl w:ilvl="7" w:tplc="35A46370" w:tentative="1">
      <w:start w:val="1"/>
      <w:numFmt w:val="lowerLetter"/>
      <w:lvlText w:val="%8."/>
      <w:lvlJc w:val="left"/>
      <w:pPr>
        <w:ind w:left="5760" w:hanging="360"/>
      </w:pPr>
    </w:lvl>
    <w:lvl w:ilvl="8" w:tplc="21541476" w:tentative="1">
      <w:start w:val="1"/>
      <w:numFmt w:val="lowerRoman"/>
      <w:lvlText w:val="%9."/>
      <w:lvlJc w:val="right"/>
      <w:pPr>
        <w:ind w:left="6480" w:hanging="180"/>
      </w:pPr>
    </w:lvl>
  </w:abstractNum>
  <w:abstractNum w:abstractNumId="7" w15:restartNumberingAfterBreak="0">
    <w:nsid w:val="152B4675"/>
    <w:multiLevelType w:val="hybridMultilevel"/>
    <w:tmpl w:val="56E62F5C"/>
    <w:lvl w:ilvl="0" w:tplc="307A1CD4">
      <w:start w:val="1"/>
      <w:numFmt w:val="bullet"/>
      <w:lvlText w:val=""/>
      <w:lvlJc w:val="left"/>
      <w:pPr>
        <w:ind w:left="480" w:hanging="480"/>
      </w:pPr>
      <w:rPr>
        <w:rFonts w:ascii="Wingdings" w:hAnsi="Wingdings" w:hint="default"/>
      </w:rPr>
    </w:lvl>
    <w:lvl w:ilvl="1" w:tplc="6296B324" w:tentative="1">
      <w:start w:val="1"/>
      <w:numFmt w:val="bullet"/>
      <w:lvlText w:val=""/>
      <w:lvlJc w:val="left"/>
      <w:pPr>
        <w:ind w:left="960" w:hanging="480"/>
      </w:pPr>
      <w:rPr>
        <w:rFonts w:ascii="Wingdings" w:hAnsi="Wingdings" w:hint="default"/>
      </w:rPr>
    </w:lvl>
    <w:lvl w:ilvl="2" w:tplc="F74CD57E" w:tentative="1">
      <w:start w:val="1"/>
      <w:numFmt w:val="bullet"/>
      <w:lvlText w:val=""/>
      <w:lvlJc w:val="left"/>
      <w:pPr>
        <w:ind w:left="1440" w:hanging="480"/>
      </w:pPr>
      <w:rPr>
        <w:rFonts w:ascii="Wingdings" w:hAnsi="Wingdings" w:hint="default"/>
      </w:rPr>
    </w:lvl>
    <w:lvl w:ilvl="3" w:tplc="BBC27516" w:tentative="1">
      <w:start w:val="1"/>
      <w:numFmt w:val="bullet"/>
      <w:lvlText w:val=""/>
      <w:lvlJc w:val="left"/>
      <w:pPr>
        <w:ind w:left="1920" w:hanging="480"/>
      </w:pPr>
      <w:rPr>
        <w:rFonts w:ascii="Wingdings" w:hAnsi="Wingdings" w:hint="default"/>
      </w:rPr>
    </w:lvl>
    <w:lvl w:ilvl="4" w:tplc="282A6106" w:tentative="1">
      <w:start w:val="1"/>
      <w:numFmt w:val="bullet"/>
      <w:lvlText w:val=""/>
      <w:lvlJc w:val="left"/>
      <w:pPr>
        <w:ind w:left="2400" w:hanging="480"/>
      </w:pPr>
      <w:rPr>
        <w:rFonts w:ascii="Wingdings" w:hAnsi="Wingdings" w:hint="default"/>
      </w:rPr>
    </w:lvl>
    <w:lvl w:ilvl="5" w:tplc="A94A154C" w:tentative="1">
      <w:start w:val="1"/>
      <w:numFmt w:val="bullet"/>
      <w:lvlText w:val=""/>
      <w:lvlJc w:val="left"/>
      <w:pPr>
        <w:ind w:left="2880" w:hanging="480"/>
      </w:pPr>
      <w:rPr>
        <w:rFonts w:ascii="Wingdings" w:hAnsi="Wingdings" w:hint="default"/>
      </w:rPr>
    </w:lvl>
    <w:lvl w:ilvl="6" w:tplc="5E0EA278" w:tentative="1">
      <w:start w:val="1"/>
      <w:numFmt w:val="bullet"/>
      <w:lvlText w:val=""/>
      <w:lvlJc w:val="left"/>
      <w:pPr>
        <w:ind w:left="3360" w:hanging="480"/>
      </w:pPr>
      <w:rPr>
        <w:rFonts w:ascii="Wingdings" w:hAnsi="Wingdings" w:hint="default"/>
      </w:rPr>
    </w:lvl>
    <w:lvl w:ilvl="7" w:tplc="53EA9408" w:tentative="1">
      <w:start w:val="1"/>
      <w:numFmt w:val="bullet"/>
      <w:lvlText w:val=""/>
      <w:lvlJc w:val="left"/>
      <w:pPr>
        <w:ind w:left="3840" w:hanging="480"/>
      </w:pPr>
      <w:rPr>
        <w:rFonts w:ascii="Wingdings" w:hAnsi="Wingdings" w:hint="default"/>
      </w:rPr>
    </w:lvl>
    <w:lvl w:ilvl="8" w:tplc="85EC1EDC" w:tentative="1">
      <w:start w:val="1"/>
      <w:numFmt w:val="bullet"/>
      <w:lvlText w:val=""/>
      <w:lvlJc w:val="left"/>
      <w:pPr>
        <w:ind w:left="4320" w:hanging="480"/>
      </w:pPr>
      <w:rPr>
        <w:rFonts w:ascii="Wingdings" w:hAnsi="Wingdings" w:hint="default"/>
      </w:rPr>
    </w:lvl>
  </w:abstractNum>
  <w:abstractNum w:abstractNumId="8" w15:restartNumberingAfterBreak="0">
    <w:nsid w:val="172B0977"/>
    <w:multiLevelType w:val="hybridMultilevel"/>
    <w:tmpl w:val="61208BF8"/>
    <w:lvl w:ilvl="0" w:tplc="95BA7B20">
      <w:numFmt w:val="bullet"/>
      <w:lvlText w:val="-"/>
      <w:lvlJc w:val="left"/>
      <w:pPr>
        <w:ind w:left="720" w:hanging="360"/>
      </w:pPr>
      <w:rPr>
        <w:rFonts w:ascii="Calibri" w:eastAsiaTheme="minorHAnsi" w:hAnsi="Calibri" w:cstheme="minorBidi" w:hint="default"/>
      </w:rPr>
    </w:lvl>
    <w:lvl w:ilvl="1" w:tplc="FB323142" w:tentative="1">
      <w:start w:val="1"/>
      <w:numFmt w:val="bullet"/>
      <w:lvlText w:val="o"/>
      <w:lvlJc w:val="left"/>
      <w:pPr>
        <w:ind w:left="1440" w:hanging="360"/>
      </w:pPr>
      <w:rPr>
        <w:rFonts w:ascii="Courier New" w:hAnsi="Courier New" w:cs="Courier New" w:hint="default"/>
      </w:rPr>
    </w:lvl>
    <w:lvl w:ilvl="2" w:tplc="10F634C4" w:tentative="1">
      <w:start w:val="1"/>
      <w:numFmt w:val="bullet"/>
      <w:lvlText w:val=""/>
      <w:lvlJc w:val="left"/>
      <w:pPr>
        <w:ind w:left="2160" w:hanging="360"/>
      </w:pPr>
      <w:rPr>
        <w:rFonts w:ascii="Wingdings" w:hAnsi="Wingdings" w:hint="default"/>
      </w:rPr>
    </w:lvl>
    <w:lvl w:ilvl="3" w:tplc="8A6CB8DA" w:tentative="1">
      <w:start w:val="1"/>
      <w:numFmt w:val="bullet"/>
      <w:lvlText w:val=""/>
      <w:lvlJc w:val="left"/>
      <w:pPr>
        <w:ind w:left="2880" w:hanging="360"/>
      </w:pPr>
      <w:rPr>
        <w:rFonts w:ascii="Symbol" w:hAnsi="Symbol" w:hint="default"/>
      </w:rPr>
    </w:lvl>
    <w:lvl w:ilvl="4" w:tplc="0D2A4CFE" w:tentative="1">
      <w:start w:val="1"/>
      <w:numFmt w:val="bullet"/>
      <w:lvlText w:val="o"/>
      <w:lvlJc w:val="left"/>
      <w:pPr>
        <w:ind w:left="3600" w:hanging="360"/>
      </w:pPr>
      <w:rPr>
        <w:rFonts w:ascii="Courier New" w:hAnsi="Courier New" w:cs="Courier New" w:hint="default"/>
      </w:rPr>
    </w:lvl>
    <w:lvl w:ilvl="5" w:tplc="13029B4E" w:tentative="1">
      <w:start w:val="1"/>
      <w:numFmt w:val="bullet"/>
      <w:lvlText w:val=""/>
      <w:lvlJc w:val="left"/>
      <w:pPr>
        <w:ind w:left="4320" w:hanging="360"/>
      </w:pPr>
      <w:rPr>
        <w:rFonts w:ascii="Wingdings" w:hAnsi="Wingdings" w:hint="default"/>
      </w:rPr>
    </w:lvl>
    <w:lvl w:ilvl="6" w:tplc="7CB46DD8" w:tentative="1">
      <w:start w:val="1"/>
      <w:numFmt w:val="bullet"/>
      <w:lvlText w:val=""/>
      <w:lvlJc w:val="left"/>
      <w:pPr>
        <w:ind w:left="5040" w:hanging="360"/>
      </w:pPr>
      <w:rPr>
        <w:rFonts w:ascii="Symbol" w:hAnsi="Symbol" w:hint="default"/>
      </w:rPr>
    </w:lvl>
    <w:lvl w:ilvl="7" w:tplc="50288B34" w:tentative="1">
      <w:start w:val="1"/>
      <w:numFmt w:val="bullet"/>
      <w:lvlText w:val="o"/>
      <w:lvlJc w:val="left"/>
      <w:pPr>
        <w:ind w:left="5760" w:hanging="360"/>
      </w:pPr>
      <w:rPr>
        <w:rFonts w:ascii="Courier New" w:hAnsi="Courier New" w:cs="Courier New" w:hint="default"/>
      </w:rPr>
    </w:lvl>
    <w:lvl w:ilvl="8" w:tplc="E342F7CC" w:tentative="1">
      <w:start w:val="1"/>
      <w:numFmt w:val="bullet"/>
      <w:lvlText w:val=""/>
      <w:lvlJc w:val="left"/>
      <w:pPr>
        <w:ind w:left="6480" w:hanging="360"/>
      </w:pPr>
      <w:rPr>
        <w:rFonts w:ascii="Wingdings" w:hAnsi="Wingdings" w:hint="default"/>
      </w:rPr>
    </w:lvl>
  </w:abstractNum>
  <w:abstractNum w:abstractNumId="9" w15:restartNumberingAfterBreak="0">
    <w:nsid w:val="2B686362"/>
    <w:multiLevelType w:val="hybridMultilevel"/>
    <w:tmpl w:val="F21A515A"/>
    <w:lvl w:ilvl="0" w:tplc="2208D344">
      <w:start w:val="1"/>
      <w:numFmt w:val="decimal"/>
      <w:lvlText w:val="(%1)"/>
      <w:lvlJc w:val="left"/>
      <w:pPr>
        <w:ind w:left="720" w:hanging="360"/>
      </w:pPr>
      <w:rPr>
        <w:rFonts w:hint="default"/>
      </w:rPr>
    </w:lvl>
    <w:lvl w:ilvl="1" w:tplc="7754631E" w:tentative="1">
      <w:start w:val="1"/>
      <w:numFmt w:val="lowerLetter"/>
      <w:lvlText w:val="%2."/>
      <w:lvlJc w:val="left"/>
      <w:pPr>
        <w:ind w:left="1440" w:hanging="360"/>
      </w:pPr>
    </w:lvl>
    <w:lvl w:ilvl="2" w:tplc="F1DC3C38" w:tentative="1">
      <w:start w:val="1"/>
      <w:numFmt w:val="lowerRoman"/>
      <w:lvlText w:val="%3."/>
      <w:lvlJc w:val="right"/>
      <w:pPr>
        <w:ind w:left="2160" w:hanging="180"/>
      </w:pPr>
    </w:lvl>
    <w:lvl w:ilvl="3" w:tplc="B1BACCEC" w:tentative="1">
      <w:start w:val="1"/>
      <w:numFmt w:val="decimal"/>
      <w:lvlText w:val="%4."/>
      <w:lvlJc w:val="left"/>
      <w:pPr>
        <w:ind w:left="2880" w:hanging="360"/>
      </w:pPr>
    </w:lvl>
    <w:lvl w:ilvl="4" w:tplc="122C6A74" w:tentative="1">
      <w:start w:val="1"/>
      <w:numFmt w:val="lowerLetter"/>
      <w:lvlText w:val="%5."/>
      <w:lvlJc w:val="left"/>
      <w:pPr>
        <w:ind w:left="3600" w:hanging="360"/>
      </w:pPr>
    </w:lvl>
    <w:lvl w:ilvl="5" w:tplc="4802EF5A" w:tentative="1">
      <w:start w:val="1"/>
      <w:numFmt w:val="lowerRoman"/>
      <w:lvlText w:val="%6."/>
      <w:lvlJc w:val="right"/>
      <w:pPr>
        <w:ind w:left="4320" w:hanging="180"/>
      </w:pPr>
    </w:lvl>
    <w:lvl w:ilvl="6" w:tplc="F452875C" w:tentative="1">
      <w:start w:val="1"/>
      <w:numFmt w:val="decimal"/>
      <w:lvlText w:val="%7."/>
      <w:lvlJc w:val="left"/>
      <w:pPr>
        <w:ind w:left="5040" w:hanging="360"/>
      </w:pPr>
    </w:lvl>
    <w:lvl w:ilvl="7" w:tplc="41BE725E" w:tentative="1">
      <w:start w:val="1"/>
      <w:numFmt w:val="lowerLetter"/>
      <w:lvlText w:val="%8."/>
      <w:lvlJc w:val="left"/>
      <w:pPr>
        <w:ind w:left="5760" w:hanging="360"/>
      </w:pPr>
    </w:lvl>
    <w:lvl w:ilvl="8" w:tplc="23003D38" w:tentative="1">
      <w:start w:val="1"/>
      <w:numFmt w:val="lowerRoman"/>
      <w:lvlText w:val="%9."/>
      <w:lvlJc w:val="right"/>
      <w:pPr>
        <w:ind w:left="6480" w:hanging="180"/>
      </w:pPr>
    </w:lvl>
  </w:abstractNum>
  <w:abstractNum w:abstractNumId="10" w15:restartNumberingAfterBreak="0">
    <w:nsid w:val="2CAE43BF"/>
    <w:multiLevelType w:val="hybridMultilevel"/>
    <w:tmpl w:val="D86E962E"/>
    <w:lvl w:ilvl="0" w:tplc="39F245D0">
      <w:start w:val="1"/>
      <w:numFmt w:val="decimal"/>
      <w:lvlText w:val="%1."/>
      <w:lvlJc w:val="left"/>
      <w:pPr>
        <w:ind w:left="720" w:hanging="360"/>
      </w:pPr>
      <w:rPr>
        <w:rFonts w:hint="default"/>
      </w:rPr>
    </w:lvl>
    <w:lvl w:ilvl="1" w:tplc="ADB6C4DA" w:tentative="1">
      <w:start w:val="1"/>
      <w:numFmt w:val="lowerLetter"/>
      <w:lvlText w:val="%2."/>
      <w:lvlJc w:val="left"/>
      <w:pPr>
        <w:ind w:left="1440" w:hanging="360"/>
      </w:pPr>
    </w:lvl>
    <w:lvl w:ilvl="2" w:tplc="510E00F6" w:tentative="1">
      <w:start w:val="1"/>
      <w:numFmt w:val="lowerRoman"/>
      <w:lvlText w:val="%3."/>
      <w:lvlJc w:val="right"/>
      <w:pPr>
        <w:ind w:left="2160" w:hanging="180"/>
      </w:pPr>
    </w:lvl>
    <w:lvl w:ilvl="3" w:tplc="34449C5E" w:tentative="1">
      <w:start w:val="1"/>
      <w:numFmt w:val="decimal"/>
      <w:lvlText w:val="%4."/>
      <w:lvlJc w:val="left"/>
      <w:pPr>
        <w:ind w:left="2880" w:hanging="360"/>
      </w:pPr>
    </w:lvl>
    <w:lvl w:ilvl="4" w:tplc="5BF41AB2" w:tentative="1">
      <w:start w:val="1"/>
      <w:numFmt w:val="lowerLetter"/>
      <w:lvlText w:val="%5."/>
      <w:lvlJc w:val="left"/>
      <w:pPr>
        <w:ind w:left="3600" w:hanging="360"/>
      </w:pPr>
    </w:lvl>
    <w:lvl w:ilvl="5" w:tplc="65CEFD28" w:tentative="1">
      <w:start w:val="1"/>
      <w:numFmt w:val="lowerRoman"/>
      <w:lvlText w:val="%6."/>
      <w:lvlJc w:val="right"/>
      <w:pPr>
        <w:ind w:left="4320" w:hanging="180"/>
      </w:pPr>
    </w:lvl>
    <w:lvl w:ilvl="6" w:tplc="7B98FC0A" w:tentative="1">
      <w:start w:val="1"/>
      <w:numFmt w:val="decimal"/>
      <w:lvlText w:val="%7."/>
      <w:lvlJc w:val="left"/>
      <w:pPr>
        <w:ind w:left="5040" w:hanging="360"/>
      </w:pPr>
    </w:lvl>
    <w:lvl w:ilvl="7" w:tplc="A37AF73A" w:tentative="1">
      <w:start w:val="1"/>
      <w:numFmt w:val="lowerLetter"/>
      <w:lvlText w:val="%8."/>
      <w:lvlJc w:val="left"/>
      <w:pPr>
        <w:ind w:left="5760" w:hanging="360"/>
      </w:pPr>
    </w:lvl>
    <w:lvl w:ilvl="8" w:tplc="084215DC" w:tentative="1">
      <w:start w:val="1"/>
      <w:numFmt w:val="lowerRoman"/>
      <w:lvlText w:val="%9."/>
      <w:lvlJc w:val="right"/>
      <w:pPr>
        <w:ind w:left="6480" w:hanging="180"/>
      </w:pPr>
    </w:lvl>
  </w:abstractNum>
  <w:abstractNum w:abstractNumId="11" w15:restartNumberingAfterBreak="0">
    <w:nsid w:val="33D077F8"/>
    <w:multiLevelType w:val="hybridMultilevel"/>
    <w:tmpl w:val="DC4CECFA"/>
    <w:lvl w:ilvl="0" w:tplc="F9A4BBDE">
      <w:start w:val="1"/>
      <w:numFmt w:val="decimal"/>
      <w:lvlText w:val="%1."/>
      <w:lvlJc w:val="left"/>
      <w:pPr>
        <w:ind w:left="720" w:hanging="360"/>
      </w:pPr>
      <w:rPr>
        <w:rFonts w:hint="default"/>
      </w:rPr>
    </w:lvl>
    <w:lvl w:ilvl="1" w:tplc="A4642BAC" w:tentative="1">
      <w:start w:val="1"/>
      <w:numFmt w:val="lowerLetter"/>
      <w:lvlText w:val="%2."/>
      <w:lvlJc w:val="left"/>
      <w:pPr>
        <w:ind w:left="1440" w:hanging="360"/>
      </w:pPr>
    </w:lvl>
    <w:lvl w:ilvl="2" w:tplc="C30C5A18" w:tentative="1">
      <w:start w:val="1"/>
      <w:numFmt w:val="lowerRoman"/>
      <w:lvlText w:val="%3."/>
      <w:lvlJc w:val="right"/>
      <w:pPr>
        <w:ind w:left="2160" w:hanging="180"/>
      </w:pPr>
    </w:lvl>
    <w:lvl w:ilvl="3" w:tplc="CAFCBFE0" w:tentative="1">
      <w:start w:val="1"/>
      <w:numFmt w:val="decimal"/>
      <w:lvlText w:val="%4."/>
      <w:lvlJc w:val="left"/>
      <w:pPr>
        <w:ind w:left="2880" w:hanging="360"/>
      </w:pPr>
    </w:lvl>
    <w:lvl w:ilvl="4" w:tplc="9C5E3BE8" w:tentative="1">
      <w:start w:val="1"/>
      <w:numFmt w:val="lowerLetter"/>
      <w:lvlText w:val="%5."/>
      <w:lvlJc w:val="left"/>
      <w:pPr>
        <w:ind w:left="3600" w:hanging="360"/>
      </w:pPr>
    </w:lvl>
    <w:lvl w:ilvl="5" w:tplc="7EF2AA22" w:tentative="1">
      <w:start w:val="1"/>
      <w:numFmt w:val="lowerRoman"/>
      <w:lvlText w:val="%6."/>
      <w:lvlJc w:val="right"/>
      <w:pPr>
        <w:ind w:left="4320" w:hanging="180"/>
      </w:pPr>
    </w:lvl>
    <w:lvl w:ilvl="6" w:tplc="5B869B58" w:tentative="1">
      <w:start w:val="1"/>
      <w:numFmt w:val="decimal"/>
      <w:lvlText w:val="%7."/>
      <w:lvlJc w:val="left"/>
      <w:pPr>
        <w:ind w:left="5040" w:hanging="360"/>
      </w:pPr>
    </w:lvl>
    <w:lvl w:ilvl="7" w:tplc="18B8B624" w:tentative="1">
      <w:start w:val="1"/>
      <w:numFmt w:val="lowerLetter"/>
      <w:lvlText w:val="%8."/>
      <w:lvlJc w:val="left"/>
      <w:pPr>
        <w:ind w:left="5760" w:hanging="360"/>
      </w:pPr>
    </w:lvl>
    <w:lvl w:ilvl="8" w:tplc="206E8118" w:tentative="1">
      <w:start w:val="1"/>
      <w:numFmt w:val="lowerRoman"/>
      <w:lvlText w:val="%9."/>
      <w:lvlJc w:val="right"/>
      <w:pPr>
        <w:ind w:left="6480" w:hanging="180"/>
      </w:pPr>
    </w:lvl>
  </w:abstractNum>
  <w:abstractNum w:abstractNumId="12" w15:restartNumberingAfterBreak="0">
    <w:nsid w:val="35F47F59"/>
    <w:multiLevelType w:val="hybridMultilevel"/>
    <w:tmpl w:val="DF9270D6"/>
    <w:lvl w:ilvl="0" w:tplc="F3B65318">
      <w:start w:val="1"/>
      <w:numFmt w:val="decimal"/>
      <w:lvlText w:val="%1."/>
      <w:lvlJc w:val="left"/>
      <w:pPr>
        <w:ind w:left="720" w:hanging="360"/>
      </w:pPr>
      <w:rPr>
        <w:rFonts w:hint="default"/>
      </w:rPr>
    </w:lvl>
    <w:lvl w:ilvl="1" w:tplc="4D422D4C" w:tentative="1">
      <w:start w:val="1"/>
      <w:numFmt w:val="lowerLetter"/>
      <w:lvlText w:val="%2."/>
      <w:lvlJc w:val="left"/>
      <w:pPr>
        <w:ind w:left="1440" w:hanging="360"/>
      </w:pPr>
    </w:lvl>
    <w:lvl w:ilvl="2" w:tplc="00C87A04" w:tentative="1">
      <w:start w:val="1"/>
      <w:numFmt w:val="lowerRoman"/>
      <w:lvlText w:val="%3."/>
      <w:lvlJc w:val="right"/>
      <w:pPr>
        <w:ind w:left="2160" w:hanging="180"/>
      </w:pPr>
    </w:lvl>
    <w:lvl w:ilvl="3" w:tplc="53986578" w:tentative="1">
      <w:start w:val="1"/>
      <w:numFmt w:val="decimal"/>
      <w:lvlText w:val="%4."/>
      <w:lvlJc w:val="left"/>
      <w:pPr>
        <w:ind w:left="2880" w:hanging="360"/>
      </w:pPr>
    </w:lvl>
    <w:lvl w:ilvl="4" w:tplc="3F0405E0" w:tentative="1">
      <w:start w:val="1"/>
      <w:numFmt w:val="lowerLetter"/>
      <w:lvlText w:val="%5."/>
      <w:lvlJc w:val="left"/>
      <w:pPr>
        <w:ind w:left="3600" w:hanging="360"/>
      </w:pPr>
    </w:lvl>
    <w:lvl w:ilvl="5" w:tplc="B74C8BF4" w:tentative="1">
      <w:start w:val="1"/>
      <w:numFmt w:val="lowerRoman"/>
      <w:lvlText w:val="%6."/>
      <w:lvlJc w:val="right"/>
      <w:pPr>
        <w:ind w:left="4320" w:hanging="180"/>
      </w:pPr>
    </w:lvl>
    <w:lvl w:ilvl="6" w:tplc="AF840A66" w:tentative="1">
      <w:start w:val="1"/>
      <w:numFmt w:val="decimal"/>
      <w:lvlText w:val="%7."/>
      <w:lvlJc w:val="left"/>
      <w:pPr>
        <w:ind w:left="5040" w:hanging="360"/>
      </w:pPr>
    </w:lvl>
    <w:lvl w:ilvl="7" w:tplc="48182322" w:tentative="1">
      <w:start w:val="1"/>
      <w:numFmt w:val="lowerLetter"/>
      <w:lvlText w:val="%8."/>
      <w:lvlJc w:val="left"/>
      <w:pPr>
        <w:ind w:left="5760" w:hanging="360"/>
      </w:pPr>
    </w:lvl>
    <w:lvl w:ilvl="8" w:tplc="48FC6E3A" w:tentative="1">
      <w:start w:val="1"/>
      <w:numFmt w:val="lowerRoman"/>
      <w:lvlText w:val="%9."/>
      <w:lvlJc w:val="right"/>
      <w:pPr>
        <w:ind w:left="6480" w:hanging="180"/>
      </w:pPr>
    </w:lvl>
  </w:abstractNum>
  <w:abstractNum w:abstractNumId="13" w15:restartNumberingAfterBreak="0">
    <w:nsid w:val="3A23065D"/>
    <w:multiLevelType w:val="hybridMultilevel"/>
    <w:tmpl w:val="D86E962E"/>
    <w:lvl w:ilvl="0" w:tplc="619C0D9E">
      <w:start w:val="1"/>
      <w:numFmt w:val="decimal"/>
      <w:lvlText w:val="%1."/>
      <w:lvlJc w:val="left"/>
      <w:pPr>
        <w:ind w:left="720" w:hanging="360"/>
      </w:pPr>
      <w:rPr>
        <w:rFonts w:hint="default"/>
      </w:rPr>
    </w:lvl>
    <w:lvl w:ilvl="1" w:tplc="DF44F712" w:tentative="1">
      <w:start w:val="1"/>
      <w:numFmt w:val="lowerLetter"/>
      <w:lvlText w:val="%2."/>
      <w:lvlJc w:val="left"/>
      <w:pPr>
        <w:ind w:left="1440" w:hanging="360"/>
      </w:pPr>
    </w:lvl>
    <w:lvl w:ilvl="2" w:tplc="265C1856" w:tentative="1">
      <w:start w:val="1"/>
      <w:numFmt w:val="lowerRoman"/>
      <w:lvlText w:val="%3."/>
      <w:lvlJc w:val="right"/>
      <w:pPr>
        <w:ind w:left="2160" w:hanging="180"/>
      </w:pPr>
    </w:lvl>
    <w:lvl w:ilvl="3" w:tplc="10C009A2" w:tentative="1">
      <w:start w:val="1"/>
      <w:numFmt w:val="decimal"/>
      <w:lvlText w:val="%4."/>
      <w:lvlJc w:val="left"/>
      <w:pPr>
        <w:ind w:left="2880" w:hanging="360"/>
      </w:pPr>
    </w:lvl>
    <w:lvl w:ilvl="4" w:tplc="E22C4574" w:tentative="1">
      <w:start w:val="1"/>
      <w:numFmt w:val="lowerLetter"/>
      <w:lvlText w:val="%5."/>
      <w:lvlJc w:val="left"/>
      <w:pPr>
        <w:ind w:left="3600" w:hanging="360"/>
      </w:pPr>
    </w:lvl>
    <w:lvl w:ilvl="5" w:tplc="D9C86F3E" w:tentative="1">
      <w:start w:val="1"/>
      <w:numFmt w:val="lowerRoman"/>
      <w:lvlText w:val="%6."/>
      <w:lvlJc w:val="right"/>
      <w:pPr>
        <w:ind w:left="4320" w:hanging="180"/>
      </w:pPr>
    </w:lvl>
    <w:lvl w:ilvl="6" w:tplc="3A1EE8A6" w:tentative="1">
      <w:start w:val="1"/>
      <w:numFmt w:val="decimal"/>
      <w:lvlText w:val="%7."/>
      <w:lvlJc w:val="left"/>
      <w:pPr>
        <w:ind w:left="5040" w:hanging="360"/>
      </w:pPr>
    </w:lvl>
    <w:lvl w:ilvl="7" w:tplc="ACE8CB8A" w:tentative="1">
      <w:start w:val="1"/>
      <w:numFmt w:val="lowerLetter"/>
      <w:lvlText w:val="%8."/>
      <w:lvlJc w:val="left"/>
      <w:pPr>
        <w:ind w:left="5760" w:hanging="360"/>
      </w:pPr>
    </w:lvl>
    <w:lvl w:ilvl="8" w:tplc="FB30E5F6" w:tentative="1">
      <w:start w:val="1"/>
      <w:numFmt w:val="lowerRoman"/>
      <w:lvlText w:val="%9."/>
      <w:lvlJc w:val="right"/>
      <w:pPr>
        <w:ind w:left="6480" w:hanging="180"/>
      </w:pPr>
    </w:lvl>
  </w:abstractNum>
  <w:abstractNum w:abstractNumId="14" w15:restartNumberingAfterBreak="0">
    <w:nsid w:val="44D431B0"/>
    <w:multiLevelType w:val="multilevel"/>
    <w:tmpl w:val="B40E1B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24463A"/>
    <w:multiLevelType w:val="multilevel"/>
    <w:tmpl w:val="B40E1B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D3D5735"/>
    <w:multiLevelType w:val="multilevel"/>
    <w:tmpl w:val="B40E1B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10323B3"/>
    <w:multiLevelType w:val="multilevel"/>
    <w:tmpl w:val="A890272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0FC7E69"/>
    <w:multiLevelType w:val="multilevel"/>
    <w:tmpl w:val="54E689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3C83E78"/>
    <w:multiLevelType w:val="hybridMultilevel"/>
    <w:tmpl w:val="8F38F830"/>
    <w:lvl w:ilvl="0" w:tplc="7CE60556">
      <w:start w:val="3"/>
      <w:numFmt w:val="decimal"/>
      <w:lvlText w:val="%1."/>
      <w:lvlJc w:val="left"/>
      <w:pPr>
        <w:ind w:left="720" w:hanging="360"/>
      </w:pPr>
      <w:rPr>
        <w:rFonts w:hint="default"/>
      </w:rPr>
    </w:lvl>
    <w:lvl w:ilvl="1" w:tplc="032878BE" w:tentative="1">
      <w:start w:val="1"/>
      <w:numFmt w:val="lowerLetter"/>
      <w:lvlText w:val="%2."/>
      <w:lvlJc w:val="left"/>
      <w:pPr>
        <w:ind w:left="1440" w:hanging="360"/>
      </w:pPr>
    </w:lvl>
    <w:lvl w:ilvl="2" w:tplc="7DBE4464" w:tentative="1">
      <w:start w:val="1"/>
      <w:numFmt w:val="lowerRoman"/>
      <w:lvlText w:val="%3."/>
      <w:lvlJc w:val="right"/>
      <w:pPr>
        <w:ind w:left="2160" w:hanging="180"/>
      </w:pPr>
    </w:lvl>
    <w:lvl w:ilvl="3" w:tplc="4332479A" w:tentative="1">
      <w:start w:val="1"/>
      <w:numFmt w:val="decimal"/>
      <w:lvlText w:val="%4."/>
      <w:lvlJc w:val="left"/>
      <w:pPr>
        <w:ind w:left="2880" w:hanging="360"/>
      </w:pPr>
    </w:lvl>
    <w:lvl w:ilvl="4" w:tplc="6E3209D2" w:tentative="1">
      <w:start w:val="1"/>
      <w:numFmt w:val="lowerLetter"/>
      <w:lvlText w:val="%5."/>
      <w:lvlJc w:val="left"/>
      <w:pPr>
        <w:ind w:left="3600" w:hanging="360"/>
      </w:pPr>
    </w:lvl>
    <w:lvl w:ilvl="5" w:tplc="0702491C" w:tentative="1">
      <w:start w:val="1"/>
      <w:numFmt w:val="lowerRoman"/>
      <w:lvlText w:val="%6."/>
      <w:lvlJc w:val="right"/>
      <w:pPr>
        <w:ind w:left="4320" w:hanging="180"/>
      </w:pPr>
    </w:lvl>
    <w:lvl w:ilvl="6" w:tplc="47CCCAC0" w:tentative="1">
      <w:start w:val="1"/>
      <w:numFmt w:val="decimal"/>
      <w:lvlText w:val="%7."/>
      <w:lvlJc w:val="left"/>
      <w:pPr>
        <w:ind w:left="5040" w:hanging="360"/>
      </w:pPr>
    </w:lvl>
    <w:lvl w:ilvl="7" w:tplc="A16ACE8C" w:tentative="1">
      <w:start w:val="1"/>
      <w:numFmt w:val="lowerLetter"/>
      <w:lvlText w:val="%8."/>
      <w:lvlJc w:val="left"/>
      <w:pPr>
        <w:ind w:left="5760" w:hanging="360"/>
      </w:pPr>
    </w:lvl>
    <w:lvl w:ilvl="8" w:tplc="6AA6D708" w:tentative="1">
      <w:start w:val="1"/>
      <w:numFmt w:val="lowerRoman"/>
      <w:lvlText w:val="%9."/>
      <w:lvlJc w:val="right"/>
      <w:pPr>
        <w:ind w:left="6480" w:hanging="180"/>
      </w:pPr>
    </w:lvl>
  </w:abstractNum>
  <w:abstractNum w:abstractNumId="20" w15:restartNumberingAfterBreak="0">
    <w:nsid w:val="75C26CCE"/>
    <w:multiLevelType w:val="hybridMultilevel"/>
    <w:tmpl w:val="CF3000D6"/>
    <w:lvl w:ilvl="0" w:tplc="CAFE2004">
      <w:start w:val="1"/>
      <w:numFmt w:val="bullet"/>
      <w:lvlText w:val=""/>
      <w:lvlJc w:val="left"/>
      <w:pPr>
        <w:ind w:left="720" w:hanging="360"/>
      </w:pPr>
      <w:rPr>
        <w:rFonts w:ascii="Symbol" w:hAnsi="Symbol" w:cs="Symbol" w:hint="default"/>
      </w:rPr>
    </w:lvl>
    <w:lvl w:ilvl="1" w:tplc="95EAAEB4" w:tentative="1">
      <w:start w:val="1"/>
      <w:numFmt w:val="bullet"/>
      <w:lvlText w:val="o"/>
      <w:lvlJc w:val="left"/>
      <w:pPr>
        <w:ind w:left="1440" w:hanging="360"/>
      </w:pPr>
      <w:rPr>
        <w:rFonts w:ascii="Courier New" w:hAnsi="Courier New" w:cs="Courier New" w:hint="default"/>
      </w:rPr>
    </w:lvl>
    <w:lvl w:ilvl="2" w:tplc="C65C5452" w:tentative="1">
      <w:start w:val="1"/>
      <w:numFmt w:val="bullet"/>
      <w:lvlText w:val=""/>
      <w:lvlJc w:val="left"/>
      <w:pPr>
        <w:ind w:left="2160" w:hanging="360"/>
      </w:pPr>
      <w:rPr>
        <w:rFonts w:ascii="Wingdings" w:hAnsi="Wingdings" w:hint="default"/>
      </w:rPr>
    </w:lvl>
    <w:lvl w:ilvl="3" w:tplc="6858511C" w:tentative="1">
      <w:start w:val="1"/>
      <w:numFmt w:val="bullet"/>
      <w:lvlText w:val=""/>
      <w:lvlJc w:val="left"/>
      <w:pPr>
        <w:ind w:left="2880" w:hanging="360"/>
      </w:pPr>
      <w:rPr>
        <w:rFonts w:ascii="Symbol" w:hAnsi="Symbol" w:hint="default"/>
      </w:rPr>
    </w:lvl>
    <w:lvl w:ilvl="4" w:tplc="F042B6C2" w:tentative="1">
      <w:start w:val="1"/>
      <w:numFmt w:val="bullet"/>
      <w:lvlText w:val="o"/>
      <w:lvlJc w:val="left"/>
      <w:pPr>
        <w:ind w:left="3600" w:hanging="360"/>
      </w:pPr>
      <w:rPr>
        <w:rFonts w:ascii="Courier New" w:hAnsi="Courier New" w:cs="Courier New" w:hint="default"/>
      </w:rPr>
    </w:lvl>
    <w:lvl w:ilvl="5" w:tplc="E962056E" w:tentative="1">
      <w:start w:val="1"/>
      <w:numFmt w:val="bullet"/>
      <w:lvlText w:val=""/>
      <w:lvlJc w:val="left"/>
      <w:pPr>
        <w:ind w:left="4320" w:hanging="360"/>
      </w:pPr>
      <w:rPr>
        <w:rFonts w:ascii="Wingdings" w:hAnsi="Wingdings" w:hint="default"/>
      </w:rPr>
    </w:lvl>
    <w:lvl w:ilvl="6" w:tplc="9732D258" w:tentative="1">
      <w:start w:val="1"/>
      <w:numFmt w:val="bullet"/>
      <w:lvlText w:val=""/>
      <w:lvlJc w:val="left"/>
      <w:pPr>
        <w:ind w:left="5040" w:hanging="360"/>
      </w:pPr>
      <w:rPr>
        <w:rFonts w:ascii="Symbol" w:hAnsi="Symbol" w:hint="default"/>
      </w:rPr>
    </w:lvl>
    <w:lvl w:ilvl="7" w:tplc="338E2910" w:tentative="1">
      <w:start w:val="1"/>
      <w:numFmt w:val="bullet"/>
      <w:lvlText w:val="o"/>
      <w:lvlJc w:val="left"/>
      <w:pPr>
        <w:ind w:left="5760" w:hanging="360"/>
      </w:pPr>
      <w:rPr>
        <w:rFonts w:ascii="Courier New" w:hAnsi="Courier New" w:cs="Courier New" w:hint="default"/>
      </w:rPr>
    </w:lvl>
    <w:lvl w:ilvl="8" w:tplc="8DD48796"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3"/>
  </w:num>
  <w:num w:numId="4">
    <w:abstractNumId w:val="11"/>
  </w:num>
  <w:num w:numId="5">
    <w:abstractNumId w:val="12"/>
  </w:num>
  <w:num w:numId="6">
    <w:abstractNumId w:val="2"/>
  </w:num>
  <w:num w:numId="7">
    <w:abstractNumId w:val="1"/>
  </w:num>
  <w:num w:numId="8">
    <w:abstractNumId w:val="19"/>
  </w:num>
  <w:num w:numId="9">
    <w:abstractNumId w:val="18"/>
  </w:num>
  <w:num w:numId="10">
    <w:abstractNumId w:val="17"/>
  </w:num>
  <w:num w:numId="11">
    <w:abstractNumId w:val="4"/>
  </w:num>
  <w:num w:numId="12">
    <w:abstractNumId w:val="6"/>
  </w:num>
  <w:num w:numId="13">
    <w:abstractNumId w:val="16"/>
  </w:num>
  <w:num w:numId="14">
    <w:abstractNumId w:val="3"/>
  </w:num>
  <w:num w:numId="15">
    <w:abstractNumId w:val="9"/>
  </w:num>
  <w:num w:numId="16">
    <w:abstractNumId w:val="5"/>
  </w:num>
  <w:num w:numId="17">
    <w:abstractNumId w:val="20"/>
  </w:num>
  <w:num w:numId="18">
    <w:abstractNumId w:val="15"/>
  </w:num>
  <w:num w:numId="19">
    <w:abstractNumId w:val="14"/>
  </w:num>
  <w:num w:numId="20">
    <w:abstractNumId w:val="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bordersDoNotSurroundHeader/>
  <w:bordersDoNotSurroundFooter/>
  <w:hideSpellingErrors/>
  <w:hideGrammaticalErrors/>
  <w:proofState w:spelling="clean" w:grammar="clean"/>
  <w:defaultTabStop w:val="708"/>
  <w:hyphenationZone w:val="425"/>
  <w:evenAndOddHeaders/>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EwtTAzMrMwMTUxMjFU0lEKTi0uzszPAykwrQUAdivbiSwAAAA="/>
  </w:docVars>
  <w:rsids>
    <w:rsidRoot w:val="002C565E"/>
    <w:rsid w:val="000007EA"/>
    <w:rsid w:val="00000BDE"/>
    <w:rsid w:val="0000227F"/>
    <w:rsid w:val="000030FB"/>
    <w:rsid w:val="00004A27"/>
    <w:rsid w:val="00005012"/>
    <w:rsid w:val="0000722F"/>
    <w:rsid w:val="0001086E"/>
    <w:rsid w:val="0001378E"/>
    <w:rsid w:val="000137D6"/>
    <w:rsid w:val="000146EE"/>
    <w:rsid w:val="000156A7"/>
    <w:rsid w:val="00016356"/>
    <w:rsid w:val="00016909"/>
    <w:rsid w:val="00017440"/>
    <w:rsid w:val="00021314"/>
    <w:rsid w:val="00021AE6"/>
    <w:rsid w:val="0002224C"/>
    <w:rsid w:val="00026069"/>
    <w:rsid w:val="00027DEC"/>
    <w:rsid w:val="00031B3A"/>
    <w:rsid w:val="00031DF5"/>
    <w:rsid w:val="00033937"/>
    <w:rsid w:val="00033BB2"/>
    <w:rsid w:val="000402CE"/>
    <w:rsid w:val="00040C65"/>
    <w:rsid w:val="0004511F"/>
    <w:rsid w:val="00050970"/>
    <w:rsid w:val="000558BB"/>
    <w:rsid w:val="00060882"/>
    <w:rsid w:val="00061EC0"/>
    <w:rsid w:val="00062CD9"/>
    <w:rsid w:val="000631D0"/>
    <w:rsid w:val="000711B1"/>
    <w:rsid w:val="00071B69"/>
    <w:rsid w:val="00073898"/>
    <w:rsid w:val="0007675A"/>
    <w:rsid w:val="00077F0A"/>
    <w:rsid w:val="00080AD1"/>
    <w:rsid w:val="00082D05"/>
    <w:rsid w:val="000834CC"/>
    <w:rsid w:val="0009157B"/>
    <w:rsid w:val="000957EE"/>
    <w:rsid w:val="00097ABF"/>
    <w:rsid w:val="000A240D"/>
    <w:rsid w:val="000A32B2"/>
    <w:rsid w:val="000B04A3"/>
    <w:rsid w:val="000B2CC2"/>
    <w:rsid w:val="000B35EC"/>
    <w:rsid w:val="000B635B"/>
    <w:rsid w:val="000B79AC"/>
    <w:rsid w:val="000C06F3"/>
    <w:rsid w:val="000C1328"/>
    <w:rsid w:val="000C46D7"/>
    <w:rsid w:val="000D0724"/>
    <w:rsid w:val="000D40EF"/>
    <w:rsid w:val="000D4F96"/>
    <w:rsid w:val="000D597B"/>
    <w:rsid w:val="000D64EE"/>
    <w:rsid w:val="000E16E1"/>
    <w:rsid w:val="000E191F"/>
    <w:rsid w:val="000E1F2C"/>
    <w:rsid w:val="000E54E0"/>
    <w:rsid w:val="000E6BC0"/>
    <w:rsid w:val="000E6F26"/>
    <w:rsid w:val="000F1DC2"/>
    <w:rsid w:val="000F45C9"/>
    <w:rsid w:val="000F7496"/>
    <w:rsid w:val="00101019"/>
    <w:rsid w:val="00103554"/>
    <w:rsid w:val="00104AC0"/>
    <w:rsid w:val="00105916"/>
    <w:rsid w:val="001065B5"/>
    <w:rsid w:val="00106D48"/>
    <w:rsid w:val="001072BC"/>
    <w:rsid w:val="00107822"/>
    <w:rsid w:val="00107BDD"/>
    <w:rsid w:val="001104E3"/>
    <w:rsid w:val="00111513"/>
    <w:rsid w:val="00111BC5"/>
    <w:rsid w:val="0011216E"/>
    <w:rsid w:val="00112E16"/>
    <w:rsid w:val="00112F88"/>
    <w:rsid w:val="00113FF9"/>
    <w:rsid w:val="00114582"/>
    <w:rsid w:val="00115D05"/>
    <w:rsid w:val="001179DE"/>
    <w:rsid w:val="00121F23"/>
    <w:rsid w:val="001230C1"/>
    <w:rsid w:val="001263DE"/>
    <w:rsid w:val="00135067"/>
    <w:rsid w:val="00137571"/>
    <w:rsid w:val="00137F3E"/>
    <w:rsid w:val="0014064D"/>
    <w:rsid w:val="00140C97"/>
    <w:rsid w:val="001418E6"/>
    <w:rsid w:val="00143C2C"/>
    <w:rsid w:val="001547F9"/>
    <w:rsid w:val="00156D13"/>
    <w:rsid w:val="001577F3"/>
    <w:rsid w:val="001664BF"/>
    <w:rsid w:val="0016653E"/>
    <w:rsid w:val="00172E85"/>
    <w:rsid w:val="001734DB"/>
    <w:rsid w:val="00174352"/>
    <w:rsid w:val="001821C1"/>
    <w:rsid w:val="0018356A"/>
    <w:rsid w:val="00185E3C"/>
    <w:rsid w:val="00187AFC"/>
    <w:rsid w:val="001906CF"/>
    <w:rsid w:val="00190F90"/>
    <w:rsid w:val="001914AD"/>
    <w:rsid w:val="00195E72"/>
    <w:rsid w:val="001966EF"/>
    <w:rsid w:val="001A02D5"/>
    <w:rsid w:val="001A0595"/>
    <w:rsid w:val="001A2F1B"/>
    <w:rsid w:val="001A39C2"/>
    <w:rsid w:val="001A4FBF"/>
    <w:rsid w:val="001C12DD"/>
    <w:rsid w:val="001C181D"/>
    <w:rsid w:val="001C258F"/>
    <w:rsid w:val="001C4E18"/>
    <w:rsid w:val="001C53C9"/>
    <w:rsid w:val="001C6C7A"/>
    <w:rsid w:val="001D5AE4"/>
    <w:rsid w:val="001E0641"/>
    <w:rsid w:val="001E0AD8"/>
    <w:rsid w:val="001E4A0E"/>
    <w:rsid w:val="001E7DC7"/>
    <w:rsid w:val="001E7F1B"/>
    <w:rsid w:val="001F46DD"/>
    <w:rsid w:val="001F483A"/>
    <w:rsid w:val="00212314"/>
    <w:rsid w:val="00212CEA"/>
    <w:rsid w:val="00215DA2"/>
    <w:rsid w:val="00220DDC"/>
    <w:rsid w:val="00223B69"/>
    <w:rsid w:val="00226F8B"/>
    <w:rsid w:val="002301F2"/>
    <w:rsid w:val="0023764C"/>
    <w:rsid w:val="00242731"/>
    <w:rsid w:val="00243B21"/>
    <w:rsid w:val="002442B5"/>
    <w:rsid w:val="00244A20"/>
    <w:rsid w:val="00245277"/>
    <w:rsid w:val="002454FB"/>
    <w:rsid w:val="00252034"/>
    <w:rsid w:val="00256830"/>
    <w:rsid w:val="0025775B"/>
    <w:rsid w:val="00260DDE"/>
    <w:rsid w:val="00264E94"/>
    <w:rsid w:val="00266B2A"/>
    <w:rsid w:val="002724DC"/>
    <w:rsid w:val="00272960"/>
    <w:rsid w:val="00275964"/>
    <w:rsid w:val="00275A88"/>
    <w:rsid w:val="00280924"/>
    <w:rsid w:val="002845C8"/>
    <w:rsid w:val="00285F47"/>
    <w:rsid w:val="002969AD"/>
    <w:rsid w:val="00297149"/>
    <w:rsid w:val="002A66C8"/>
    <w:rsid w:val="002A7A01"/>
    <w:rsid w:val="002B5090"/>
    <w:rsid w:val="002B72DB"/>
    <w:rsid w:val="002C1424"/>
    <w:rsid w:val="002C1D37"/>
    <w:rsid w:val="002C49D0"/>
    <w:rsid w:val="002C565E"/>
    <w:rsid w:val="002C5CF7"/>
    <w:rsid w:val="002C5EB4"/>
    <w:rsid w:val="002C6D88"/>
    <w:rsid w:val="002C7B93"/>
    <w:rsid w:val="002C7DD1"/>
    <w:rsid w:val="002D005D"/>
    <w:rsid w:val="002D498A"/>
    <w:rsid w:val="002D50B4"/>
    <w:rsid w:val="002D77D0"/>
    <w:rsid w:val="002E1409"/>
    <w:rsid w:val="002E1A38"/>
    <w:rsid w:val="002E5712"/>
    <w:rsid w:val="002E5D15"/>
    <w:rsid w:val="002E7101"/>
    <w:rsid w:val="002F0CD8"/>
    <w:rsid w:val="002F2645"/>
    <w:rsid w:val="00301974"/>
    <w:rsid w:val="00301A76"/>
    <w:rsid w:val="00301B93"/>
    <w:rsid w:val="00302FB8"/>
    <w:rsid w:val="003069D5"/>
    <w:rsid w:val="00306EFC"/>
    <w:rsid w:val="00316531"/>
    <w:rsid w:val="00320A33"/>
    <w:rsid w:val="00321027"/>
    <w:rsid w:val="00321A8C"/>
    <w:rsid w:val="003274CE"/>
    <w:rsid w:val="003318FD"/>
    <w:rsid w:val="00332241"/>
    <w:rsid w:val="00336DD6"/>
    <w:rsid w:val="003374EF"/>
    <w:rsid w:val="00337FB0"/>
    <w:rsid w:val="003400A1"/>
    <w:rsid w:val="00341B39"/>
    <w:rsid w:val="00350902"/>
    <w:rsid w:val="0035269A"/>
    <w:rsid w:val="00352FFA"/>
    <w:rsid w:val="003537EF"/>
    <w:rsid w:val="00353DEA"/>
    <w:rsid w:val="0036147A"/>
    <w:rsid w:val="00362DDE"/>
    <w:rsid w:val="00363008"/>
    <w:rsid w:val="00364DC4"/>
    <w:rsid w:val="00367878"/>
    <w:rsid w:val="003707F8"/>
    <w:rsid w:val="0037089D"/>
    <w:rsid w:val="003731DB"/>
    <w:rsid w:val="00373214"/>
    <w:rsid w:val="0037359E"/>
    <w:rsid w:val="00376812"/>
    <w:rsid w:val="003816B5"/>
    <w:rsid w:val="003818F1"/>
    <w:rsid w:val="00382C62"/>
    <w:rsid w:val="003901D2"/>
    <w:rsid w:val="00393E96"/>
    <w:rsid w:val="003949E2"/>
    <w:rsid w:val="00396D8F"/>
    <w:rsid w:val="003A0B68"/>
    <w:rsid w:val="003A4A6E"/>
    <w:rsid w:val="003A7971"/>
    <w:rsid w:val="003B40BD"/>
    <w:rsid w:val="003B4C7F"/>
    <w:rsid w:val="003B4D3A"/>
    <w:rsid w:val="003B584A"/>
    <w:rsid w:val="003B68E8"/>
    <w:rsid w:val="003B703A"/>
    <w:rsid w:val="003C11FF"/>
    <w:rsid w:val="003C1C18"/>
    <w:rsid w:val="003C219F"/>
    <w:rsid w:val="003C6295"/>
    <w:rsid w:val="003C79ED"/>
    <w:rsid w:val="003D10ED"/>
    <w:rsid w:val="003D31C8"/>
    <w:rsid w:val="003D4EEC"/>
    <w:rsid w:val="003D510A"/>
    <w:rsid w:val="003D5415"/>
    <w:rsid w:val="003D5889"/>
    <w:rsid w:val="003D6013"/>
    <w:rsid w:val="003E6AC3"/>
    <w:rsid w:val="003F0646"/>
    <w:rsid w:val="003F0C76"/>
    <w:rsid w:val="003F19E4"/>
    <w:rsid w:val="003F21FB"/>
    <w:rsid w:val="003F6647"/>
    <w:rsid w:val="003F6924"/>
    <w:rsid w:val="003F6ED5"/>
    <w:rsid w:val="004000D4"/>
    <w:rsid w:val="0040056B"/>
    <w:rsid w:val="00400A44"/>
    <w:rsid w:val="00401480"/>
    <w:rsid w:val="0040700E"/>
    <w:rsid w:val="00414ADF"/>
    <w:rsid w:val="00414E5C"/>
    <w:rsid w:val="004159AA"/>
    <w:rsid w:val="004170CD"/>
    <w:rsid w:val="004212F2"/>
    <w:rsid w:val="00422619"/>
    <w:rsid w:val="00425C1B"/>
    <w:rsid w:val="00426033"/>
    <w:rsid w:val="00427C4E"/>
    <w:rsid w:val="0043542A"/>
    <w:rsid w:val="00437119"/>
    <w:rsid w:val="004373D8"/>
    <w:rsid w:val="00437990"/>
    <w:rsid w:val="00444316"/>
    <w:rsid w:val="00445444"/>
    <w:rsid w:val="00446326"/>
    <w:rsid w:val="004466FC"/>
    <w:rsid w:val="00446F3C"/>
    <w:rsid w:val="00451787"/>
    <w:rsid w:val="0045433F"/>
    <w:rsid w:val="00455DE5"/>
    <w:rsid w:val="004575FF"/>
    <w:rsid w:val="0046229B"/>
    <w:rsid w:val="00462487"/>
    <w:rsid w:val="004651DC"/>
    <w:rsid w:val="00470D3D"/>
    <w:rsid w:val="00471A9D"/>
    <w:rsid w:val="00471D6B"/>
    <w:rsid w:val="0047256B"/>
    <w:rsid w:val="00472C65"/>
    <w:rsid w:val="0047438D"/>
    <w:rsid w:val="00476355"/>
    <w:rsid w:val="00477193"/>
    <w:rsid w:val="00477E4A"/>
    <w:rsid w:val="00480715"/>
    <w:rsid w:val="004823F3"/>
    <w:rsid w:val="0049300C"/>
    <w:rsid w:val="00493052"/>
    <w:rsid w:val="004945DE"/>
    <w:rsid w:val="004A3F45"/>
    <w:rsid w:val="004A4AC9"/>
    <w:rsid w:val="004A50C1"/>
    <w:rsid w:val="004A63F5"/>
    <w:rsid w:val="004B1200"/>
    <w:rsid w:val="004B3394"/>
    <w:rsid w:val="004B385F"/>
    <w:rsid w:val="004B4030"/>
    <w:rsid w:val="004C1240"/>
    <w:rsid w:val="004C2F17"/>
    <w:rsid w:val="004C376D"/>
    <w:rsid w:val="004C398B"/>
    <w:rsid w:val="004C450C"/>
    <w:rsid w:val="004D37DB"/>
    <w:rsid w:val="004D4F03"/>
    <w:rsid w:val="004D53CC"/>
    <w:rsid w:val="004D69AB"/>
    <w:rsid w:val="004E0921"/>
    <w:rsid w:val="004E331F"/>
    <w:rsid w:val="004E3ABD"/>
    <w:rsid w:val="004E4DFD"/>
    <w:rsid w:val="004F1DD3"/>
    <w:rsid w:val="004F4D3F"/>
    <w:rsid w:val="004F58E0"/>
    <w:rsid w:val="004F7B98"/>
    <w:rsid w:val="00504C45"/>
    <w:rsid w:val="0050765E"/>
    <w:rsid w:val="0052236A"/>
    <w:rsid w:val="0052243A"/>
    <w:rsid w:val="00522A61"/>
    <w:rsid w:val="00523FC2"/>
    <w:rsid w:val="005250E2"/>
    <w:rsid w:val="005330B2"/>
    <w:rsid w:val="0053351C"/>
    <w:rsid w:val="0053383D"/>
    <w:rsid w:val="0054243B"/>
    <w:rsid w:val="00545EF5"/>
    <w:rsid w:val="00550277"/>
    <w:rsid w:val="00550302"/>
    <w:rsid w:val="005536C5"/>
    <w:rsid w:val="00553AED"/>
    <w:rsid w:val="00554D62"/>
    <w:rsid w:val="00556CF4"/>
    <w:rsid w:val="00562D6A"/>
    <w:rsid w:val="00564FC4"/>
    <w:rsid w:val="00567666"/>
    <w:rsid w:val="0057031F"/>
    <w:rsid w:val="00570734"/>
    <w:rsid w:val="00570F63"/>
    <w:rsid w:val="005713A9"/>
    <w:rsid w:val="00571EDF"/>
    <w:rsid w:val="005721C5"/>
    <w:rsid w:val="005723B1"/>
    <w:rsid w:val="0058034D"/>
    <w:rsid w:val="005805C3"/>
    <w:rsid w:val="0058062D"/>
    <w:rsid w:val="005843C1"/>
    <w:rsid w:val="00584E9D"/>
    <w:rsid w:val="00590D3F"/>
    <w:rsid w:val="005913F2"/>
    <w:rsid w:val="00591D2D"/>
    <w:rsid w:val="005920B2"/>
    <w:rsid w:val="00592676"/>
    <w:rsid w:val="005937FF"/>
    <w:rsid w:val="005947EB"/>
    <w:rsid w:val="00594A2A"/>
    <w:rsid w:val="00597148"/>
    <w:rsid w:val="005A15EB"/>
    <w:rsid w:val="005A273F"/>
    <w:rsid w:val="005A3582"/>
    <w:rsid w:val="005A404A"/>
    <w:rsid w:val="005A52D7"/>
    <w:rsid w:val="005A5DFE"/>
    <w:rsid w:val="005B14A6"/>
    <w:rsid w:val="005B2B7A"/>
    <w:rsid w:val="005B3D57"/>
    <w:rsid w:val="005B4CEC"/>
    <w:rsid w:val="005C097A"/>
    <w:rsid w:val="005C22C3"/>
    <w:rsid w:val="005C4328"/>
    <w:rsid w:val="005C4A08"/>
    <w:rsid w:val="005D0BD1"/>
    <w:rsid w:val="005D7341"/>
    <w:rsid w:val="005D79EA"/>
    <w:rsid w:val="005E3839"/>
    <w:rsid w:val="005F22D1"/>
    <w:rsid w:val="005F2B45"/>
    <w:rsid w:val="005F3932"/>
    <w:rsid w:val="005F4130"/>
    <w:rsid w:val="005F5DD4"/>
    <w:rsid w:val="006008D4"/>
    <w:rsid w:val="00610E4F"/>
    <w:rsid w:val="00610F90"/>
    <w:rsid w:val="00615A3F"/>
    <w:rsid w:val="006212B5"/>
    <w:rsid w:val="00623F0C"/>
    <w:rsid w:val="00627002"/>
    <w:rsid w:val="00630109"/>
    <w:rsid w:val="0063017A"/>
    <w:rsid w:val="00635072"/>
    <w:rsid w:val="00640A16"/>
    <w:rsid w:val="0064197C"/>
    <w:rsid w:val="006445B5"/>
    <w:rsid w:val="006445DD"/>
    <w:rsid w:val="00645E51"/>
    <w:rsid w:val="00647C98"/>
    <w:rsid w:val="00653357"/>
    <w:rsid w:val="00654846"/>
    <w:rsid w:val="00660055"/>
    <w:rsid w:val="006665A9"/>
    <w:rsid w:val="00666973"/>
    <w:rsid w:val="00670ABD"/>
    <w:rsid w:val="00671523"/>
    <w:rsid w:val="00671B9E"/>
    <w:rsid w:val="00673588"/>
    <w:rsid w:val="00673E03"/>
    <w:rsid w:val="00674DB0"/>
    <w:rsid w:val="00677563"/>
    <w:rsid w:val="00680336"/>
    <w:rsid w:val="00682A7C"/>
    <w:rsid w:val="00684A04"/>
    <w:rsid w:val="00686CB8"/>
    <w:rsid w:val="00686D51"/>
    <w:rsid w:val="00690622"/>
    <w:rsid w:val="0069452C"/>
    <w:rsid w:val="00697B97"/>
    <w:rsid w:val="006A095E"/>
    <w:rsid w:val="006A5888"/>
    <w:rsid w:val="006A5F26"/>
    <w:rsid w:val="006A75C4"/>
    <w:rsid w:val="006B497F"/>
    <w:rsid w:val="006B6C8A"/>
    <w:rsid w:val="006C35ED"/>
    <w:rsid w:val="006C6597"/>
    <w:rsid w:val="006C7155"/>
    <w:rsid w:val="006D1772"/>
    <w:rsid w:val="006D2340"/>
    <w:rsid w:val="006D6283"/>
    <w:rsid w:val="006D72B0"/>
    <w:rsid w:val="006E0197"/>
    <w:rsid w:val="006E5286"/>
    <w:rsid w:val="006E65F6"/>
    <w:rsid w:val="006E7F23"/>
    <w:rsid w:val="006F1916"/>
    <w:rsid w:val="006F2E0C"/>
    <w:rsid w:val="006F3519"/>
    <w:rsid w:val="006F5DC1"/>
    <w:rsid w:val="00701D12"/>
    <w:rsid w:val="00704188"/>
    <w:rsid w:val="007045A5"/>
    <w:rsid w:val="0071369D"/>
    <w:rsid w:val="00714E51"/>
    <w:rsid w:val="0071621E"/>
    <w:rsid w:val="00716696"/>
    <w:rsid w:val="00725ACC"/>
    <w:rsid w:val="00726257"/>
    <w:rsid w:val="007269FD"/>
    <w:rsid w:val="00731B7F"/>
    <w:rsid w:val="00732B43"/>
    <w:rsid w:val="00734D04"/>
    <w:rsid w:val="00740F8E"/>
    <w:rsid w:val="00743FD5"/>
    <w:rsid w:val="00744BCD"/>
    <w:rsid w:val="00747D7C"/>
    <w:rsid w:val="007531DD"/>
    <w:rsid w:val="00754C16"/>
    <w:rsid w:val="00760B51"/>
    <w:rsid w:val="00762241"/>
    <w:rsid w:val="007635D6"/>
    <w:rsid w:val="00764A40"/>
    <w:rsid w:val="0076664D"/>
    <w:rsid w:val="00767C9C"/>
    <w:rsid w:val="00771F8A"/>
    <w:rsid w:val="00777DD9"/>
    <w:rsid w:val="00782803"/>
    <w:rsid w:val="00786E37"/>
    <w:rsid w:val="00791B7B"/>
    <w:rsid w:val="00794E60"/>
    <w:rsid w:val="0079622D"/>
    <w:rsid w:val="007A231E"/>
    <w:rsid w:val="007A55DE"/>
    <w:rsid w:val="007B0E8B"/>
    <w:rsid w:val="007B362D"/>
    <w:rsid w:val="007B4C05"/>
    <w:rsid w:val="007B587B"/>
    <w:rsid w:val="007C48FE"/>
    <w:rsid w:val="007D30A1"/>
    <w:rsid w:val="007D4401"/>
    <w:rsid w:val="007D4835"/>
    <w:rsid w:val="007D6394"/>
    <w:rsid w:val="007E07DB"/>
    <w:rsid w:val="007E1FAD"/>
    <w:rsid w:val="007E709C"/>
    <w:rsid w:val="007F5203"/>
    <w:rsid w:val="00800619"/>
    <w:rsid w:val="00801405"/>
    <w:rsid w:val="00802D4A"/>
    <w:rsid w:val="00803F7A"/>
    <w:rsid w:val="00807B4B"/>
    <w:rsid w:val="0081163D"/>
    <w:rsid w:val="00812B43"/>
    <w:rsid w:val="00812ED7"/>
    <w:rsid w:val="008301E0"/>
    <w:rsid w:val="00830768"/>
    <w:rsid w:val="008401B1"/>
    <w:rsid w:val="00844F19"/>
    <w:rsid w:val="00846B71"/>
    <w:rsid w:val="00855C76"/>
    <w:rsid w:val="00856AA4"/>
    <w:rsid w:val="008578D9"/>
    <w:rsid w:val="00863784"/>
    <w:rsid w:val="008660E8"/>
    <w:rsid w:val="00873C6E"/>
    <w:rsid w:val="00874365"/>
    <w:rsid w:val="00880291"/>
    <w:rsid w:val="00880D1F"/>
    <w:rsid w:val="008844A6"/>
    <w:rsid w:val="008867DD"/>
    <w:rsid w:val="00887AC7"/>
    <w:rsid w:val="00891CAC"/>
    <w:rsid w:val="008933A4"/>
    <w:rsid w:val="00893D1B"/>
    <w:rsid w:val="008A4A62"/>
    <w:rsid w:val="008A5698"/>
    <w:rsid w:val="008A5C65"/>
    <w:rsid w:val="008B1D57"/>
    <w:rsid w:val="008B66D7"/>
    <w:rsid w:val="008B6FDC"/>
    <w:rsid w:val="008C38AB"/>
    <w:rsid w:val="008D7F47"/>
    <w:rsid w:val="008E378C"/>
    <w:rsid w:val="008E4404"/>
    <w:rsid w:val="008E45F9"/>
    <w:rsid w:val="008F170F"/>
    <w:rsid w:val="008F1886"/>
    <w:rsid w:val="008F1921"/>
    <w:rsid w:val="0090658F"/>
    <w:rsid w:val="009110B6"/>
    <w:rsid w:val="00912434"/>
    <w:rsid w:val="009129EB"/>
    <w:rsid w:val="00916E87"/>
    <w:rsid w:val="00920C65"/>
    <w:rsid w:val="0092221F"/>
    <w:rsid w:val="009278CF"/>
    <w:rsid w:val="00927DBC"/>
    <w:rsid w:val="00934E45"/>
    <w:rsid w:val="009368A4"/>
    <w:rsid w:val="00936FFB"/>
    <w:rsid w:val="00943EA3"/>
    <w:rsid w:val="00946D95"/>
    <w:rsid w:val="00950C97"/>
    <w:rsid w:val="009519CC"/>
    <w:rsid w:val="009529B2"/>
    <w:rsid w:val="00973BF4"/>
    <w:rsid w:val="00976207"/>
    <w:rsid w:val="00982475"/>
    <w:rsid w:val="00983BFE"/>
    <w:rsid w:val="00985509"/>
    <w:rsid w:val="0099130F"/>
    <w:rsid w:val="009917CB"/>
    <w:rsid w:val="00994235"/>
    <w:rsid w:val="009954DC"/>
    <w:rsid w:val="0099620E"/>
    <w:rsid w:val="00997F9D"/>
    <w:rsid w:val="009A5EA9"/>
    <w:rsid w:val="009B2381"/>
    <w:rsid w:val="009B2C29"/>
    <w:rsid w:val="009B46F9"/>
    <w:rsid w:val="009C0DCF"/>
    <w:rsid w:val="009C1C65"/>
    <w:rsid w:val="009C27BE"/>
    <w:rsid w:val="009C533F"/>
    <w:rsid w:val="009C5BC1"/>
    <w:rsid w:val="009C6B02"/>
    <w:rsid w:val="009D0CBD"/>
    <w:rsid w:val="009D227F"/>
    <w:rsid w:val="009D343B"/>
    <w:rsid w:val="009D714E"/>
    <w:rsid w:val="009E238B"/>
    <w:rsid w:val="009E322C"/>
    <w:rsid w:val="009E3AD5"/>
    <w:rsid w:val="009E71D6"/>
    <w:rsid w:val="009E7EC6"/>
    <w:rsid w:val="009F004D"/>
    <w:rsid w:val="00A056AE"/>
    <w:rsid w:val="00A06602"/>
    <w:rsid w:val="00A125AD"/>
    <w:rsid w:val="00A2621C"/>
    <w:rsid w:val="00A276B8"/>
    <w:rsid w:val="00A32BF2"/>
    <w:rsid w:val="00A364AC"/>
    <w:rsid w:val="00A4223E"/>
    <w:rsid w:val="00A433B9"/>
    <w:rsid w:val="00A43B62"/>
    <w:rsid w:val="00A45307"/>
    <w:rsid w:val="00A6203F"/>
    <w:rsid w:val="00A6631F"/>
    <w:rsid w:val="00A67A0B"/>
    <w:rsid w:val="00A707BA"/>
    <w:rsid w:val="00A75005"/>
    <w:rsid w:val="00A771CC"/>
    <w:rsid w:val="00A80496"/>
    <w:rsid w:val="00A816C5"/>
    <w:rsid w:val="00A85274"/>
    <w:rsid w:val="00A86399"/>
    <w:rsid w:val="00A9098B"/>
    <w:rsid w:val="00A951C2"/>
    <w:rsid w:val="00A956FF"/>
    <w:rsid w:val="00A964C3"/>
    <w:rsid w:val="00A96D85"/>
    <w:rsid w:val="00A9768B"/>
    <w:rsid w:val="00AA56CC"/>
    <w:rsid w:val="00AA7A8F"/>
    <w:rsid w:val="00AB1353"/>
    <w:rsid w:val="00AB6556"/>
    <w:rsid w:val="00AB78D2"/>
    <w:rsid w:val="00AC01FD"/>
    <w:rsid w:val="00AC05A4"/>
    <w:rsid w:val="00AC0E1B"/>
    <w:rsid w:val="00AC11CF"/>
    <w:rsid w:val="00AC30FB"/>
    <w:rsid w:val="00AC66A1"/>
    <w:rsid w:val="00AC735D"/>
    <w:rsid w:val="00AD01E2"/>
    <w:rsid w:val="00AD036F"/>
    <w:rsid w:val="00AD2A88"/>
    <w:rsid w:val="00AD3F6C"/>
    <w:rsid w:val="00AD56A4"/>
    <w:rsid w:val="00AE0A72"/>
    <w:rsid w:val="00AE13F8"/>
    <w:rsid w:val="00AE335A"/>
    <w:rsid w:val="00AF484F"/>
    <w:rsid w:val="00B005A4"/>
    <w:rsid w:val="00B00B66"/>
    <w:rsid w:val="00B00E0B"/>
    <w:rsid w:val="00B014F2"/>
    <w:rsid w:val="00B023C4"/>
    <w:rsid w:val="00B03510"/>
    <w:rsid w:val="00B052CC"/>
    <w:rsid w:val="00B06927"/>
    <w:rsid w:val="00B10253"/>
    <w:rsid w:val="00B1045C"/>
    <w:rsid w:val="00B167A2"/>
    <w:rsid w:val="00B22BC7"/>
    <w:rsid w:val="00B23EBF"/>
    <w:rsid w:val="00B25D0D"/>
    <w:rsid w:val="00B327FA"/>
    <w:rsid w:val="00B352C7"/>
    <w:rsid w:val="00B35555"/>
    <w:rsid w:val="00B40818"/>
    <w:rsid w:val="00B410AF"/>
    <w:rsid w:val="00B41A6E"/>
    <w:rsid w:val="00B42468"/>
    <w:rsid w:val="00B46F4B"/>
    <w:rsid w:val="00B5099B"/>
    <w:rsid w:val="00B51F9A"/>
    <w:rsid w:val="00B53F49"/>
    <w:rsid w:val="00B543E4"/>
    <w:rsid w:val="00B6169D"/>
    <w:rsid w:val="00B62360"/>
    <w:rsid w:val="00B6272A"/>
    <w:rsid w:val="00B62CB8"/>
    <w:rsid w:val="00B66EDA"/>
    <w:rsid w:val="00B70268"/>
    <w:rsid w:val="00B7215C"/>
    <w:rsid w:val="00B72C8A"/>
    <w:rsid w:val="00B74304"/>
    <w:rsid w:val="00B85248"/>
    <w:rsid w:val="00B85FAF"/>
    <w:rsid w:val="00B92C02"/>
    <w:rsid w:val="00B9683B"/>
    <w:rsid w:val="00BA73FE"/>
    <w:rsid w:val="00BB1064"/>
    <w:rsid w:val="00BB3250"/>
    <w:rsid w:val="00BB5FF0"/>
    <w:rsid w:val="00BB727A"/>
    <w:rsid w:val="00BC1B6E"/>
    <w:rsid w:val="00BC1E47"/>
    <w:rsid w:val="00BC2619"/>
    <w:rsid w:val="00BC494D"/>
    <w:rsid w:val="00BC6961"/>
    <w:rsid w:val="00BC79AA"/>
    <w:rsid w:val="00BD1CE0"/>
    <w:rsid w:val="00BD3F9E"/>
    <w:rsid w:val="00BD412E"/>
    <w:rsid w:val="00BD5DB9"/>
    <w:rsid w:val="00BE48A5"/>
    <w:rsid w:val="00BE5DB6"/>
    <w:rsid w:val="00BE7752"/>
    <w:rsid w:val="00BE7E49"/>
    <w:rsid w:val="00BF01B4"/>
    <w:rsid w:val="00BF050C"/>
    <w:rsid w:val="00BF088E"/>
    <w:rsid w:val="00BF1936"/>
    <w:rsid w:val="00BF199F"/>
    <w:rsid w:val="00BF2672"/>
    <w:rsid w:val="00BF4C2C"/>
    <w:rsid w:val="00C00C17"/>
    <w:rsid w:val="00C01830"/>
    <w:rsid w:val="00C02AEE"/>
    <w:rsid w:val="00C0461E"/>
    <w:rsid w:val="00C046C8"/>
    <w:rsid w:val="00C07686"/>
    <w:rsid w:val="00C07760"/>
    <w:rsid w:val="00C101FF"/>
    <w:rsid w:val="00C10A1A"/>
    <w:rsid w:val="00C11260"/>
    <w:rsid w:val="00C12695"/>
    <w:rsid w:val="00C16193"/>
    <w:rsid w:val="00C20464"/>
    <w:rsid w:val="00C25CCB"/>
    <w:rsid w:val="00C3028E"/>
    <w:rsid w:val="00C320D1"/>
    <w:rsid w:val="00C35611"/>
    <w:rsid w:val="00C41C04"/>
    <w:rsid w:val="00C42D34"/>
    <w:rsid w:val="00C47BD8"/>
    <w:rsid w:val="00C514B2"/>
    <w:rsid w:val="00C51C1C"/>
    <w:rsid w:val="00C61B51"/>
    <w:rsid w:val="00C643AF"/>
    <w:rsid w:val="00C66609"/>
    <w:rsid w:val="00C72B93"/>
    <w:rsid w:val="00C75B4B"/>
    <w:rsid w:val="00C76A9B"/>
    <w:rsid w:val="00C8308E"/>
    <w:rsid w:val="00C855B0"/>
    <w:rsid w:val="00C8576D"/>
    <w:rsid w:val="00C85DA5"/>
    <w:rsid w:val="00C86538"/>
    <w:rsid w:val="00C95462"/>
    <w:rsid w:val="00C96078"/>
    <w:rsid w:val="00C965ED"/>
    <w:rsid w:val="00CA39B7"/>
    <w:rsid w:val="00CA6AEA"/>
    <w:rsid w:val="00CA6FC1"/>
    <w:rsid w:val="00CB10CD"/>
    <w:rsid w:val="00CB6D18"/>
    <w:rsid w:val="00CC04B8"/>
    <w:rsid w:val="00CC2664"/>
    <w:rsid w:val="00CC44BB"/>
    <w:rsid w:val="00CC4810"/>
    <w:rsid w:val="00CD167C"/>
    <w:rsid w:val="00CD1A94"/>
    <w:rsid w:val="00CD4F8B"/>
    <w:rsid w:val="00CD65CB"/>
    <w:rsid w:val="00CD7A01"/>
    <w:rsid w:val="00CF0442"/>
    <w:rsid w:val="00CF115A"/>
    <w:rsid w:val="00D030CC"/>
    <w:rsid w:val="00D06646"/>
    <w:rsid w:val="00D07D59"/>
    <w:rsid w:val="00D10E3F"/>
    <w:rsid w:val="00D1446A"/>
    <w:rsid w:val="00D234E8"/>
    <w:rsid w:val="00D23FAF"/>
    <w:rsid w:val="00D2451B"/>
    <w:rsid w:val="00D25171"/>
    <w:rsid w:val="00D25F17"/>
    <w:rsid w:val="00D268B2"/>
    <w:rsid w:val="00D27AB6"/>
    <w:rsid w:val="00D31544"/>
    <w:rsid w:val="00D3704E"/>
    <w:rsid w:val="00D4192A"/>
    <w:rsid w:val="00D44442"/>
    <w:rsid w:val="00D44985"/>
    <w:rsid w:val="00D44DBD"/>
    <w:rsid w:val="00D503E5"/>
    <w:rsid w:val="00D517D3"/>
    <w:rsid w:val="00D524F0"/>
    <w:rsid w:val="00D53A92"/>
    <w:rsid w:val="00D54826"/>
    <w:rsid w:val="00D54C09"/>
    <w:rsid w:val="00D55894"/>
    <w:rsid w:val="00D55FE8"/>
    <w:rsid w:val="00D60BF6"/>
    <w:rsid w:val="00D61CF8"/>
    <w:rsid w:val="00D62953"/>
    <w:rsid w:val="00D7130E"/>
    <w:rsid w:val="00D74EA1"/>
    <w:rsid w:val="00D7799A"/>
    <w:rsid w:val="00D82D3C"/>
    <w:rsid w:val="00D85193"/>
    <w:rsid w:val="00D8520E"/>
    <w:rsid w:val="00D90EE9"/>
    <w:rsid w:val="00D91D58"/>
    <w:rsid w:val="00D93B8A"/>
    <w:rsid w:val="00DA0FDF"/>
    <w:rsid w:val="00DA47A8"/>
    <w:rsid w:val="00DA60BD"/>
    <w:rsid w:val="00DA7D0A"/>
    <w:rsid w:val="00DB281D"/>
    <w:rsid w:val="00DB2C13"/>
    <w:rsid w:val="00DB370C"/>
    <w:rsid w:val="00DB5E08"/>
    <w:rsid w:val="00DB71FE"/>
    <w:rsid w:val="00DB76AD"/>
    <w:rsid w:val="00DC1344"/>
    <w:rsid w:val="00DC5F00"/>
    <w:rsid w:val="00DD01C9"/>
    <w:rsid w:val="00DD0A35"/>
    <w:rsid w:val="00DD2AC2"/>
    <w:rsid w:val="00DD55BB"/>
    <w:rsid w:val="00DE013B"/>
    <w:rsid w:val="00DE1120"/>
    <w:rsid w:val="00DF2DB6"/>
    <w:rsid w:val="00DF5C60"/>
    <w:rsid w:val="00E010C3"/>
    <w:rsid w:val="00E0112C"/>
    <w:rsid w:val="00E02199"/>
    <w:rsid w:val="00E021C5"/>
    <w:rsid w:val="00E0239C"/>
    <w:rsid w:val="00E02F48"/>
    <w:rsid w:val="00E0719B"/>
    <w:rsid w:val="00E079CF"/>
    <w:rsid w:val="00E1017E"/>
    <w:rsid w:val="00E13F84"/>
    <w:rsid w:val="00E14787"/>
    <w:rsid w:val="00E2118D"/>
    <w:rsid w:val="00E233C3"/>
    <w:rsid w:val="00E26534"/>
    <w:rsid w:val="00E35109"/>
    <w:rsid w:val="00E352EA"/>
    <w:rsid w:val="00E40721"/>
    <w:rsid w:val="00E425EF"/>
    <w:rsid w:val="00E42D0D"/>
    <w:rsid w:val="00E43A90"/>
    <w:rsid w:val="00E456B1"/>
    <w:rsid w:val="00E52F5A"/>
    <w:rsid w:val="00E533B9"/>
    <w:rsid w:val="00E555F0"/>
    <w:rsid w:val="00E56B73"/>
    <w:rsid w:val="00E60CE3"/>
    <w:rsid w:val="00E636CD"/>
    <w:rsid w:val="00E644C6"/>
    <w:rsid w:val="00E65AC7"/>
    <w:rsid w:val="00E70046"/>
    <w:rsid w:val="00E70E3C"/>
    <w:rsid w:val="00E74DA1"/>
    <w:rsid w:val="00E751BE"/>
    <w:rsid w:val="00E815B1"/>
    <w:rsid w:val="00E81CEA"/>
    <w:rsid w:val="00E85FCF"/>
    <w:rsid w:val="00E872E9"/>
    <w:rsid w:val="00E8757B"/>
    <w:rsid w:val="00E87B28"/>
    <w:rsid w:val="00E920C4"/>
    <w:rsid w:val="00E92754"/>
    <w:rsid w:val="00E933D0"/>
    <w:rsid w:val="00E95DAF"/>
    <w:rsid w:val="00E96F81"/>
    <w:rsid w:val="00EA4F17"/>
    <w:rsid w:val="00EA6D63"/>
    <w:rsid w:val="00EB025C"/>
    <w:rsid w:val="00EB171C"/>
    <w:rsid w:val="00EB1AC9"/>
    <w:rsid w:val="00EB23FE"/>
    <w:rsid w:val="00EB4C09"/>
    <w:rsid w:val="00ED08A8"/>
    <w:rsid w:val="00ED4BDD"/>
    <w:rsid w:val="00EE26D8"/>
    <w:rsid w:val="00EE2E30"/>
    <w:rsid w:val="00EE468A"/>
    <w:rsid w:val="00EE482D"/>
    <w:rsid w:val="00EE4BD4"/>
    <w:rsid w:val="00EE5DD2"/>
    <w:rsid w:val="00EE6F90"/>
    <w:rsid w:val="00EE72F5"/>
    <w:rsid w:val="00EE7E96"/>
    <w:rsid w:val="00EF488C"/>
    <w:rsid w:val="00EF50AD"/>
    <w:rsid w:val="00EF6E62"/>
    <w:rsid w:val="00F00B1A"/>
    <w:rsid w:val="00F02489"/>
    <w:rsid w:val="00F0318D"/>
    <w:rsid w:val="00F0449E"/>
    <w:rsid w:val="00F05707"/>
    <w:rsid w:val="00F1011A"/>
    <w:rsid w:val="00F112D7"/>
    <w:rsid w:val="00F117D5"/>
    <w:rsid w:val="00F1306B"/>
    <w:rsid w:val="00F13E79"/>
    <w:rsid w:val="00F15354"/>
    <w:rsid w:val="00F1681F"/>
    <w:rsid w:val="00F23BB9"/>
    <w:rsid w:val="00F25BB8"/>
    <w:rsid w:val="00F31F09"/>
    <w:rsid w:val="00F3331A"/>
    <w:rsid w:val="00F335D5"/>
    <w:rsid w:val="00F377A7"/>
    <w:rsid w:val="00F41852"/>
    <w:rsid w:val="00F50DF2"/>
    <w:rsid w:val="00F52626"/>
    <w:rsid w:val="00F53CDC"/>
    <w:rsid w:val="00F546BC"/>
    <w:rsid w:val="00F60165"/>
    <w:rsid w:val="00F60E13"/>
    <w:rsid w:val="00F63CCB"/>
    <w:rsid w:val="00F65F90"/>
    <w:rsid w:val="00F66A0A"/>
    <w:rsid w:val="00F676F6"/>
    <w:rsid w:val="00F71491"/>
    <w:rsid w:val="00F73231"/>
    <w:rsid w:val="00F75141"/>
    <w:rsid w:val="00F854D2"/>
    <w:rsid w:val="00F873AC"/>
    <w:rsid w:val="00F87488"/>
    <w:rsid w:val="00F87AC1"/>
    <w:rsid w:val="00F9099A"/>
    <w:rsid w:val="00F90A01"/>
    <w:rsid w:val="00F93913"/>
    <w:rsid w:val="00F94640"/>
    <w:rsid w:val="00FA2941"/>
    <w:rsid w:val="00FB1919"/>
    <w:rsid w:val="00FB1AB0"/>
    <w:rsid w:val="00FB2794"/>
    <w:rsid w:val="00FB6AF9"/>
    <w:rsid w:val="00FB7E34"/>
    <w:rsid w:val="00FC3A57"/>
    <w:rsid w:val="00FC7252"/>
    <w:rsid w:val="00FC7E5C"/>
    <w:rsid w:val="00FD0FFB"/>
    <w:rsid w:val="00FD1034"/>
    <w:rsid w:val="00FD64AB"/>
    <w:rsid w:val="00FD6AE3"/>
    <w:rsid w:val="00FE039D"/>
    <w:rsid w:val="00FE111A"/>
    <w:rsid w:val="00FE1131"/>
    <w:rsid w:val="00FE1A2A"/>
    <w:rsid w:val="00FE7FC9"/>
    <w:rsid w:val="00FF291B"/>
    <w:rsid w:val="00FF35DB"/>
    <w:rsid w:val="00FF378A"/>
    <w:rsid w:val="00FF6280"/>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8B719A"/>
  <w15:docId w15:val="{7B6EC26C-4BB8-0C49-9CE7-E9FB7F28D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65E"/>
    <w:rPr>
      <w:lang w:val="es-PE"/>
    </w:rPr>
  </w:style>
  <w:style w:type="paragraph" w:styleId="1">
    <w:name w:val="heading 1"/>
    <w:basedOn w:val="a"/>
    <w:next w:val="a"/>
    <w:link w:val="10"/>
    <w:qFormat/>
    <w:rsid w:val="00D25171"/>
    <w:pPr>
      <w:keepNext/>
      <w:spacing w:after="0" w:line="360" w:lineRule="auto"/>
      <w:jc w:val="both"/>
      <w:outlineLvl w:val="0"/>
    </w:pPr>
    <w:rPr>
      <w:rFonts w:ascii="Times New Roman" w:eastAsia="Times New Roman" w:hAnsi="Times New Roman" w:cs="Times New Roman"/>
      <w:i/>
      <w:i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11FF"/>
    <w:pPr>
      <w:ind w:left="720"/>
      <w:contextualSpacing/>
    </w:pPr>
  </w:style>
  <w:style w:type="character" w:customStyle="1" w:styleId="10">
    <w:name w:val="標題 1 字元"/>
    <w:basedOn w:val="a0"/>
    <w:link w:val="1"/>
    <w:rsid w:val="00D25171"/>
    <w:rPr>
      <w:rFonts w:ascii="Times New Roman" w:eastAsia="Times New Roman" w:hAnsi="Times New Roman" w:cs="Times New Roman"/>
      <w:i/>
      <w:iCs/>
      <w:sz w:val="24"/>
      <w:szCs w:val="24"/>
      <w:lang w:val="en-US"/>
    </w:rPr>
  </w:style>
  <w:style w:type="paragraph" w:styleId="a4">
    <w:name w:val="endnote text"/>
    <w:basedOn w:val="a"/>
    <w:link w:val="a5"/>
    <w:semiHidden/>
    <w:rsid w:val="00062CD9"/>
    <w:pPr>
      <w:spacing w:after="0" w:line="240" w:lineRule="auto"/>
    </w:pPr>
    <w:rPr>
      <w:rFonts w:ascii="Times New Roman" w:eastAsia="Times New Roman" w:hAnsi="Times New Roman" w:cs="Times New Roman"/>
      <w:sz w:val="20"/>
      <w:szCs w:val="20"/>
      <w:lang w:val="es-ES" w:eastAsia="es-ES"/>
    </w:rPr>
  </w:style>
  <w:style w:type="character" w:customStyle="1" w:styleId="a5">
    <w:name w:val="章節附註文字 字元"/>
    <w:basedOn w:val="a0"/>
    <w:link w:val="a4"/>
    <w:semiHidden/>
    <w:rsid w:val="00062CD9"/>
    <w:rPr>
      <w:rFonts w:ascii="Times New Roman" w:eastAsia="Times New Roman" w:hAnsi="Times New Roman" w:cs="Times New Roman"/>
      <w:sz w:val="20"/>
      <w:szCs w:val="20"/>
      <w:lang w:eastAsia="es-ES"/>
    </w:rPr>
  </w:style>
  <w:style w:type="character" w:styleId="a6">
    <w:name w:val="Hyperlink"/>
    <w:basedOn w:val="a0"/>
    <w:unhideWhenUsed/>
    <w:rsid w:val="00844F19"/>
    <w:rPr>
      <w:color w:val="0563C1" w:themeColor="hyperlink"/>
      <w:u w:val="single"/>
    </w:rPr>
  </w:style>
  <w:style w:type="character" w:customStyle="1" w:styleId="11">
    <w:name w:val="未解析的提及1"/>
    <w:basedOn w:val="a0"/>
    <w:uiPriority w:val="99"/>
    <w:semiHidden/>
    <w:unhideWhenUsed/>
    <w:rsid w:val="00477E4A"/>
    <w:rPr>
      <w:color w:val="605E5C"/>
      <w:shd w:val="clear" w:color="auto" w:fill="E1DFDD"/>
    </w:rPr>
  </w:style>
  <w:style w:type="paragraph" w:styleId="HTML">
    <w:name w:val="HTML Preformatted"/>
    <w:basedOn w:val="a"/>
    <w:link w:val="HTML0"/>
    <w:uiPriority w:val="99"/>
    <w:unhideWhenUsed/>
    <w:rsid w:val="00D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0">
    <w:name w:val="HTML 預設格式 字元"/>
    <w:basedOn w:val="a0"/>
    <w:link w:val="HTML"/>
    <w:uiPriority w:val="99"/>
    <w:rsid w:val="00DC5F00"/>
    <w:rPr>
      <w:rFonts w:ascii="Courier New" w:eastAsia="Times New Roman" w:hAnsi="Courier New" w:cs="Courier New"/>
      <w:sz w:val="20"/>
      <w:szCs w:val="20"/>
      <w:lang w:val="es-PE" w:eastAsia="es-PE"/>
    </w:rPr>
  </w:style>
  <w:style w:type="character" w:customStyle="1" w:styleId="y2iqfc">
    <w:name w:val="y2iqfc"/>
    <w:basedOn w:val="a0"/>
    <w:rsid w:val="00DC5F00"/>
  </w:style>
  <w:style w:type="character" w:styleId="a7">
    <w:name w:val="Placeholder Text"/>
    <w:basedOn w:val="a0"/>
    <w:uiPriority w:val="99"/>
    <w:semiHidden/>
    <w:rsid w:val="00480715"/>
    <w:rPr>
      <w:color w:val="808080"/>
    </w:rPr>
  </w:style>
  <w:style w:type="paragraph" w:styleId="a8">
    <w:name w:val="header"/>
    <w:basedOn w:val="a"/>
    <w:link w:val="a9"/>
    <w:uiPriority w:val="99"/>
    <w:unhideWhenUsed/>
    <w:rsid w:val="005C22C3"/>
    <w:pPr>
      <w:tabs>
        <w:tab w:val="center" w:pos="4252"/>
        <w:tab w:val="right" w:pos="8504"/>
      </w:tabs>
      <w:spacing w:after="0" w:line="240" w:lineRule="auto"/>
    </w:pPr>
  </w:style>
  <w:style w:type="character" w:customStyle="1" w:styleId="a9">
    <w:name w:val="頁首 字元"/>
    <w:basedOn w:val="a0"/>
    <w:link w:val="a8"/>
    <w:uiPriority w:val="99"/>
    <w:rsid w:val="005C22C3"/>
    <w:rPr>
      <w:lang w:val="es-PE"/>
    </w:rPr>
  </w:style>
  <w:style w:type="paragraph" w:styleId="aa">
    <w:name w:val="footer"/>
    <w:basedOn w:val="a"/>
    <w:link w:val="ab"/>
    <w:uiPriority w:val="99"/>
    <w:unhideWhenUsed/>
    <w:rsid w:val="005C22C3"/>
    <w:pPr>
      <w:tabs>
        <w:tab w:val="center" w:pos="4252"/>
        <w:tab w:val="right" w:pos="8504"/>
      </w:tabs>
      <w:spacing w:after="0" w:line="240" w:lineRule="auto"/>
    </w:pPr>
  </w:style>
  <w:style w:type="character" w:customStyle="1" w:styleId="ab">
    <w:name w:val="頁尾 字元"/>
    <w:basedOn w:val="a0"/>
    <w:link w:val="aa"/>
    <w:uiPriority w:val="99"/>
    <w:rsid w:val="005C22C3"/>
    <w:rPr>
      <w:lang w:val="es-PE"/>
    </w:rPr>
  </w:style>
  <w:style w:type="table" w:styleId="ac">
    <w:name w:val="Table Grid"/>
    <w:basedOn w:val="a1"/>
    <w:uiPriority w:val="39"/>
    <w:rsid w:val="008C3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F63CCB"/>
    <w:rPr>
      <w:color w:val="954F72" w:themeColor="followedHyperlink"/>
      <w:u w:val="single"/>
    </w:rPr>
  </w:style>
  <w:style w:type="paragraph" w:styleId="ae">
    <w:name w:val="Balloon Text"/>
    <w:basedOn w:val="a"/>
    <w:link w:val="af"/>
    <w:uiPriority w:val="99"/>
    <w:semiHidden/>
    <w:unhideWhenUsed/>
    <w:rsid w:val="00673E03"/>
    <w:pPr>
      <w:spacing w:after="0" w:line="240" w:lineRule="auto"/>
    </w:pPr>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673E03"/>
    <w:rPr>
      <w:rFonts w:asciiTheme="majorHAnsi" w:eastAsiaTheme="majorEastAsia" w:hAnsiTheme="majorHAnsi" w:cstheme="majorBidi"/>
      <w:sz w:val="18"/>
      <w:szCs w:val="18"/>
      <w:lang w:val="es-PE"/>
    </w:rPr>
  </w:style>
  <w:style w:type="paragraph" w:styleId="af0">
    <w:name w:val="Revision"/>
    <w:hidden/>
    <w:uiPriority w:val="99"/>
    <w:semiHidden/>
    <w:rsid w:val="00437990"/>
    <w:pPr>
      <w:spacing w:after="0" w:line="240" w:lineRule="auto"/>
    </w:pPr>
    <w:rPr>
      <w:lang w:val="es-PE"/>
    </w:rPr>
  </w:style>
  <w:style w:type="character" w:customStyle="1" w:styleId="2">
    <w:name w:val="未解析的提及2"/>
    <w:basedOn w:val="a0"/>
    <w:uiPriority w:val="99"/>
    <w:semiHidden/>
    <w:unhideWhenUsed/>
    <w:rsid w:val="00B35555"/>
    <w:rPr>
      <w:color w:val="605E5C"/>
      <w:shd w:val="clear" w:color="auto" w:fill="E1DFDD"/>
    </w:rPr>
  </w:style>
  <w:style w:type="character" w:styleId="af1">
    <w:name w:val="line number"/>
    <w:basedOn w:val="a0"/>
    <w:uiPriority w:val="99"/>
    <w:semiHidden/>
    <w:unhideWhenUsed/>
    <w:rsid w:val="00B35555"/>
  </w:style>
  <w:style w:type="character" w:styleId="af2">
    <w:name w:val="annotation reference"/>
    <w:basedOn w:val="a0"/>
    <w:uiPriority w:val="99"/>
    <w:semiHidden/>
    <w:unhideWhenUsed/>
    <w:rsid w:val="00E456B1"/>
    <w:rPr>
      <w:sz w:val="18"/>
      <w:szCs w:val="18"/>
    </w:rPr>
  </w:style>
  <w:style w:type="paragraph" w:styleId="af3">
    <w:name w:val="annotation text"/>
    <w:basedOn w:val="a"/>
    <w:link w:val="af4"/>
    <w:uiPriority w:val="99"/>
    <w:semiHidden/>
    <w:unhideWhenUsed/>
    <w:rsid w:val="00E456B1"/>
  </w:style>
  <w:style w:type="character" w:customStyle="1" w:styleId="af4">
    <w:name w:val="註解文字 字元"/>
    <w:basedOn w:val="a0"/>
    <w:link w:val="af3"/>
    <w:uiPriority w:val="99"/>
    <w:semiHidden/>
    <w:rsid w:val="00E456B1"/>
    <w:rPr>
      <w:lang w:val="es-PE"/>
    </w:rPr>
  </w:style>
  <w:style w:type="paragraph" w:styleId="af5">
    <w:name w:val="annotation subject"/>
    <w:basedOn w:val="af3"/>
    <w:next w:val="af3"/>
    <w:link w:val="af6"/>
    <w:uiPriority w:val="99"/>
    <w:semiHidden/>
    <w:unhideWhenUsed/>
    <w:rsid w:val="00E456B1"/>
    <w:rPr>
      <w:b/>
      <w:bCs/>
    </w:rPr>
  </w:style>
  <w:style w:type="character" w:customStyle="1" w:styleId="af6">
    <w:name w:val="註解主旨 字元"/>
    <w:basedOn w:val="af4"/>
    <w:link w:val="af5"/>
    <w:uiPriority w:val="99"/>
    <w:semiHidden/>
    <w:rsid w:val="00E456B1"/>
    <w:rPr>
      <w:b/>
      <w:bCs/>
      <w:lang w:val="es-PE"/>
    </w:rPr>
  </w:style>
  <w:style w:type="table" w:styleId="20">
    <w:name w:val="Plain Table 2"/>
    <w:basedOn w:val="a1"/>
    <w:uiPriority w:val="42"/>
    <w:rsid w:val="000E6F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7">
    <w:name w:val="Unresolved Mention"/>
    <w:basedOn w:val="a0"/>
    <w:uiPriority w:val="99"/>
    <w:semiHidden/>
    <w:unhideWhenUsed/>
    <w:rsid w:val="00BC2619"/>
    <w:rPr>
      <w:color w:val="605E5C"/>
      <w:shd w:val="clear" w:color="auto" w:fill="E1DFDD"/>
    </w:rPr>
  </w:style>
  <w:style w:type="paragraph" w:styleId="af8">
    <w:name w:val="caption"/>
    <w:basedOn w:val="a"/>
    <w:next w:val="a"/>
    <w:unhideWhenUsed/>
    <w:qFormat/>
    <w:rsid w:val="00EF6E62"/>
    <w:pPr>
      <w:spacing w:after="200" w:line="240" w:lineRule="auto"/>
    </w:pPr>
    <w:rPr>
      <w:rFonts w:ascii="Times New Roman" w:eastAsia="Times New Roman" w:hAnsi="Times New Roman" w:cs="Times New Roman"/>
      <w:i/>
      <w:iCs/>
      <w:color w:val="44546A" w:themeColor="text2"/>
      <w:sz w:val="18"/>
      <w:szCs w:val="18"/>
    </w:rPr>
  </w:style>
  <w:style w:type="paragraph" w:styleId="Web">
    <w:name w:val="Normal (Web)"/>
    <w:basedOn w:val="a"/>
    <w:uiPriority w:val="99"/>
    <w:unhideWhenUsed/>
    <w:rsid w:val="00EF6E62"/>
    <w:pPr>
      <w:spacing w:before="100" w:beforeAutospacing="1" w:after="100" w:afterAutospacing="1" w:line="240" w:lineRule="auto"/>
    </w:pPr>
    <w:rPr>
      <w:rFonts w:ascii="Times New Roman" w:eastAsia="Times New Roman" w:hAnsi="Times New Roman" w:cs="Times New Roman"/>
      <w:sz w:val="24"/>
      <w:szCs w:val="24"/>
    </w:rPr>
  </w:style>
  <w:style w:type="paragraph" w:styleId="af9">
    <w:name w:val="Bibliography"/>
    <w:basedOn w:val="a"/>
    <w:next w:val="a"/>
    <w:uiPriority w:val="37"/>
    <w:unhideWhenUsed/>
    <w:rsid w:val="00EF6E62"/>
    <w:pPr>
      <w:spacing w:after="0" w:line="480" w:lineRule="auto"/>
      <w:ind w:left="720" w:hanging="720"/>
    </w:pPr>
    <w:rPr>
      <w:rFonts w:ascii="Times New Roman" w:eastAsia="Times New Roman" w:hAnsi="Times New Roman" w:cs="Times New Roman"/>
      <w:sz w:val="24"/>
      <w:szCs w:val="24"/>
    </w:rPr>
  </w:style>
  <w:style w:type="character" w:styleId="afa">
    <w:name w:val="Strong"/>
    <w:basedOn w:val="a0"/>
    <w:uiPriority w:val="22"/>
    <w:qFormat/>
    <w:rsid w:val="00EF6E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28008">
      <w:bodyDiv w:val="1"/>
      <w:marLeft w:val="0"/>
      <w:marRight w:val="0"/>
      <w:marTop w:val="0"/>
      <w:marBottom w:val="0"/>
      <w:divBdr>
        <w:top w:val="none" w:sz="0" w:space="0" w:color="auto"/>
        <w:left w:val="none" w:sz="0" w:space="0" w:color="auto"/>
        <w:bottom w:val="none" w:sz="0" w:space="0" w:color="auto"/>
        <w:right w:val="none" w:sz="0" w:space="0" w:color="auto"/>
      </w:divBdr>
    </w:div>
    <w:div w:id="69546058">
      <w:bodyDiv w:val="1"/>
      <w:marLeft w:val="0"/>
      <w:marRight w:val="0"/>
      <w:marTop w:val="0"/>
      <w:marBottom w:val="0"/>
      <w:divBdr>
        <w:top w:val="none" w:sz="0" w:space="0" w:color="auto"/>
        <w:left w:val="none" w:sz="0" w:space="0" w:color="auto"/>
        <w:bottom w:val="none" w:sz="0" w:space="0" w:color="auto"/>
        <w:right w:val="none" w:sz="0" w:space="0" w:color="auto"/>
      </w:divBdr>
    </w:div>
    <w:div w:id="101917734">
      <w:bodyDiv w:val="1"/>
      <w:marLeft w:val="0"/>
      <w:marRight w:val="0"/>
      <w:marTop w:val="0"/>
      <w:marBottom w:val="0"/>
      <w:divBdr>
        <w:top w:val="none" w:sz="0" w:space="0" w:color="auto"/>
        <w:left w:val="none" w:sz="0" w:space="0" w:color="auto"/>
        <w:bottom w:val="none" w:sz="0" w:space="0" w:color="auto"/>
        <w:right w:val="none" w:sz="0" w:space="0" w:color="auto"/>
      </w:divBdr>
    </w:div>
    <w:div w:id="211887478">
      <w:bodyDiv w:val="1"/>
      <w:marLeft w:val="0"/>
      <w:marRight w:val="0"/>
      <w:marTop w:val="0"/>
      <w:marBottom w:val="0"/>
      <w:divBdr>
        <w:top w:val="none" w:sz="0" w:space="0" w:color="auto"/>
        <w:left w:val="none" w:sz="0" w:space="0" w:color="auto"/>
        <w:bottom w:val="none" w:sz="0" w:space="0" w:color="auto"/>
        <w:right w:val="none" w:sz="0" w:space="0" w:color="auto"/>
      </w:divBdr>
    </w:div>
    <w:div w:id="374239701">
      <w:bodyDiv w:val="1"/>
      <w:marLeft w:val="0"/>
      <w:marRight w:val="0"/>
      <w:marTop w:val="0"/>
      <w:marBottom w:val="0"/>
      <w:divBdr>
        <w:top w:val="none" w:sz="0" w:space="0" w:color="auto"/>
        <w:left w:val="none" w:sz="0" w:space="0" w:color="auto"/>
        <w:bottom w:val="none" w:sz="0" w:space="0" w:color="auto"/>
        <w:right w:val="none" w:sz="0" w:space="0" w:color="auto"/>
      </w:divBdr>
    </w:div>
    <w:div w:id="390464154">
      <w:bodyDiv w:val="1"/>
      <w:marLeft w:val="0"/>
      <w:marRight w:val="0"/>
      <w:marTop w:val="0"/>
      <w:marBottom w:val="0"/>
      <w:divBdr>
        <w:top w:val="none" w:sz="0" w:space="0" w:color="auto"/>
        <w:left w:val="none" w:sz="0" w:space="0" w:color="auto"/>
        <w:bottom w:val="none" w:sz="0" w:space="0" w:color="auto"/>
        <w:right w:val="none" w:sz="0" w:space="0" w:color="auto"/>
      </w:divBdr>
    </w:div>
    <w:div w:id="588732944">
      <w:bodyDiv w:val="1"/>
      <w:marLeft w:val="0"/>
      <w:marRight w:val="0"/>
      <w:marTop w:val="0"/>
      <w:marBottom w:val="0"/>
      <w:divBdr>
        <w:top w:val="none" w:sz="0" w:space="0" w:color="auto"/>
        <w:left w:val="none" w:sz="0" w:space="0" w:color="auto"/>
        <w:bottom w:val="none" w:sz="0" w:space="0" w:color="auto"/>
        <w:right w:val="none" w:sz="0" w:space="0" w:color="auto"/>
      </w:divBdr>
    </w:div>
    <w:div w:id="647779702">
      <w:bodyDiv w:val="1"/>
      <w:marLeft w:val="0"/>
      <w:marRight w:val="0"/>
      <w:marTop w:val="0"/>
      <w:marBottom w:val="0"/>
      <w:divBdr>
        <w:top w:val="none" w:sz="0" w:space="0" w:color="auto"/>
        <w:left w:val="none" w:sz="0" w:space="0" w:color="auto"/>
        <w:bottom w:val="none" w:sz="0" w:space="0" w:color="auto"/>
        <w:right w:val="none" w:sz="0" w:space="0" w:color="auto"/>
      </w:divBdr>
    </w:div>
    <w:div w:id="713231697">
      <w:bodyDiv w:val="1"/>
      <w:marLeft w:val="0"/>
      <w:marRight w:val="0"/>
      <w:marTop w:val="0"/>
      <w:marBottom w:val="0"/>
      <w:divBdr>
        <w:top w:val="none" w:sz="0" w:space="0" w:color="auto"/>
        <w:left w:val="none" w:sz="0" w:space="0" w:color="auto"/>
        <w:bottom w:val="none" w:sz="0" w:space="0" w:color="auto"/>
        <w:right w:val="none" w:sz="0" w:space="0" w:color="auto"/>
      </w:divBdr>
    </w:div>
    <w:div w:id="985626996">
      <w:bodyDiv w:val="1"/>
      <w:marLeft w:val="0"/>
      <w:marRight w:val="0"/>
      <w:marTop w:val="0"/>
      <w:marBottom w:val="0"/>
      <w:divBdr>
        <w:top w:val="none" w:sz="0" w:space="0" w:color="auto"/>
        <w:left w:val="none" w:sz="0" w:space="0" w:color="auto"/>
        <w:bottom w:val="none" w:sz="0" w:space="0" w:color="auto"/>
        <w:right w:val="none" w:sz="0" w:space="0" w:color="auto"/>
      </w:divBdr>
    </w:div>
    <w:div w:id="987443054">
      <w:bodyDiv w:val="1"/>
      <w:marLeft w:val="0"/>
      <w:marRight w:val="0"/>
      <w:marTop w:val="0"/>
      <w:marBottom w:val="0"/>
      <w:divBdr>
        <w:top w:val="none" w:sz="0" w:space="0" w:color="auto"/>
        <w:left w:val="none" w:sz="0" w:space="0" w:color="auto"/>
        <w:bottom w:val="none" w:sz="0" w:space="0" w:color="auto"/>
        <w:right w:val="none" w:sz="0" w:space="0" w:color="auto"/>
      </w:divBdr>
    </w:div>
    <w:div w:id="1027872876">
      <w:bodyDiv w:val="1"/>
      <w:marLeft w:val="0"/>
      <w:marRight w:val="0"/>
      <w:marTop w:val="0"/>
      <w:marBottom w:val="0"/>
      <w:divBdr>
        <w:top w:val="none" w:sz="0" w:space="0" w:color="auto"/>
        <w:left w:val="none" w:sz="0" w:space="0" w:color="auto"/>
        <w:bottom w:val="none" w:sz="0" w:space="0" w:color="auto"/>
        <w:right w:val="none" w:sz="0" w:space="0" w:color="auto"/>
      </w:divBdr>
    </w:div>
    <w:div w:id="1044717725">
      <w:bodyDiv w:val="1"/>
      <w:marLeft w:val="0"/>
      <w:marRight w:val="0"/>
      <w:marTop w:val="0"/>
      <w:marBottom w:val="0"/>
      <w:divBdr>
        <w:top w:val="none" w:sz="0" w:space="0" w:color="auto"/>
        <w:left w:val="none" w:sz="0" w:space="0" w:color="auto"/>
        <w:bottom w:val="none" w:sz="0" w:space="0" w:color="auto"/>
        <w:right w:val="none" w:sz="0" w:space="0" w:color="auto"/>
      </w:divBdr>
    </w:div>
    <w:div w:id="1045984479">
      <w:bodyDiv w:val="1"/>
      <w:marLeft w:val="0"/>
      <w:marRight w:val="0"/>
      <w:marTop w:val="0"/>
      <w:marBottom w:val="0"/>
      <w:divBdr>
        <w:top w:val="none" w:sz="0" w:space="0" w:color="auto"/>
        <w:left w:val="none" w:sz="0" w:space="0" w:color="auto"/>
        <w:bottom w:val="none" w:sz="0" w:space="0" w:color="auto"/>
        <w:right w:val="none" w:sz="0" w:space="0" w:color="auto"/>
      </w:divBdr>
    </w:div>
    <w:div w:id="1202286864">
      <w:bodyDiv w:val="1"/>
      <w:marLeft w:val="0"/>
      <w:marRight w:val="0"/>
      <w:marTop w:val="0"/>
      <w:marBottom w:val="0"/>
      <w:divBdr>
        <w:top w:val="none" w:sz="0" w:space="0" w:color="auto"/>
        <w:left w:val="none" w:sz="0" w:space="0" w:color="auto"/>
        <w:bottom w:val="none" w:sz="0" w:space="0" w:color="auto"/>
        <w:right w:val="none" w:sz="0" w:space="0" w:color="auto"/>
      </w:divBdr>
    </w:div>
    <w:div w:id="1259370620">
      <w:bodyDiv w:val="1"/>
      <w:marLeft w:val="0"/>
      <w:marRight w:val="0"/>
      <w:marTop w:val="0"/>
      <w:marBottom w:val="0"/>
      <w:divBdr>
        <w:top w:val="none" w:sz="0" w:space="0" w:color="auto"/>
        <w:left w:val="none" w:sz="0" w:space="0" w:color="auto"/>
        <w:bottom w:val="none" w:sz="0" w:space="0" w:color="auto"/>
        <w:right w:val="none" w:sz="0" w:space="0" w:color="auto"/>
      </w:divBdr>
    </w:div>
    <w:div w:id="1417359708">
      <w:bodyDiv w:val="1"/>
      <w:marLeft w:val="0"/>
      <w:marRight w:val="0"/>
      <w:marTop w:val="0"/>
      <w:marBottom w:val="0"/>
      <w:divBdr>
        <w:top w:val="none" w:sz="0" w:space="0" w:color="auto"/>
        <w:left w:val="none" w:sz="0" w:space="0" w:color="auto"/>
        <w:bottom w:val="none" w:sz="0" w:space="0" w:color="auto"/>
        <w:right w:val="none" w:sz="0" w:space="0" w:color="auto"/>
      </w:divBdr>
    </w:div>
    <w:div w:id="1728338533">
      <w:bodyDiv w:val="1"/>
      <w:marLeft w:val="0"/>
      <w:marRight w:val="0"/>
      <w:marTop w:val="0"/>
      <w:marBottom w:val="0"/>
      <w:divBdr>
        <w:top w:val="none" w:sz="0" w:space="0" w:color="auto"/>
        <w:left w:val="none" w:sz="0" w:space="0" w:color="auto"/>
        <w:bottom w:val="none" w:sz="0" w:space="0" w:color="auto"/>
        <w:right w:val="none" w:sz="0" w:space="0" w:color="auto"/>
      </w:divBdr>
    </w:div>
    <w:div w:id="1786075071">
      <w:bodyDiv w:val="1"/>
      <w:marLeft w:val="0"/>
      <w:marRight w:val="0"/>
      <w:marTop w:val="0"/>
      <w:marBottom w:val="0"/>
      <w:divBdr>
        <w:top w:val="none" w:sz="0" w:space="0" w:color="auto"/>
        <w:left w:val="none" w:sz="0" w:space="0" w:color="auto"/>
        <w:bottom w:val="none" w:sz="0" w:space="0" w:color="auto"/>
        <w:right w:val="none" w:sz="0" w:space="0" w:color="auto"/>
      </w:divBdr>
    </w:div>
    <w:div w:id="1787433205">
      <w:bodyDiv w:val="1"/>
      <w:marLeft w:val="0"/>
      <w:marRight w:val="0"/>
      <w:marTop w:val="0"/>
      <w:marBottom w:val="0"/>
      <w:divBdr>
        <w:top w:val="none" w:sz="0" w:space="0" w:color="auto"/>
        <w:left w:val="none" w:sz="0" w:space="0" w:color="auto"/>
        <w:bottom w:val="none" w:sz="0" w:space="0" w:color="auto"/>
        <w:right w:val="none" w:sz="0" w:space="0" w:color="auto"/>
      </w:divBdr>
    </w:div>
    <w:div w:id="2003502484">
      <w:bodyDiv w:val="1"/>
      <w:marLeft w:val="0"/>
      <w:marRight w:val="0"/>
      <w:marTop w:val="0"/>
      <w:marBottom w:val="0"/>
      <w:divBdr>
        <w:top w:val="none" w:sz="0" w:space="0" w:color="auto"/>
        <w:left w:val="none" w:sz="0" w:space="0" w:color="auto"/>
        <w:bottom w:val="none" w:sz="0" w:space="0" w:color="auto"/>
        <w:right w:val="none" w:sz="0" w:space="0" w:color="auto"/>
      </w:divBdr>
    </w:div>
    <w:div w:id="2052922416">
      <w:bodyDiv w:val="1"/>
      <w:marLeft w:val="0"/>
      <w:marRight w:val="0"/>
      <w:marTop w:val="0"/>
      <w:marBottom w:val="0"/>
      <w:divBdr>
        <w:top w:val="none" w:sz="0" w:space="0" w:color="auto"/>
        <w:left w:val="none" w:sz="0" w:space="0" w:color="auto"/>
        <w:bottom w:val="none" w:sz="0" w:space="0" w:color="auto"/>
        <w:right w:val="none" w:sz="0" w:space="0" w:color="auto"/>
      </w:divBdr>
    </w:div>
    <w:div w:id="2053839933">
      <w:bodyDiv w:val="1"/>
      <w:marLeft w:val="0"/>
      <w:marRight w:val="0"/>
      <w:marTop w:val="0"/>
      <w:marBottom w:val="0"/>
      <w:divBdr>
        <w:top w:val="none" w:sz="0" w:space="0" w:color="auto"/>
        <w:left w:val="none" w:sz="0" w:space="0" w:color="auto"/>
        <w:bottom w:val="none" w:sz="0" w:space="0" w:color="auto"/>
        <w:right w:val="none" w:sz="0" w:space="0" w:color="auto"/>
      </w:divBdr>
    </w:div>
    <w:div w:id="2104912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anglh@thanglong.edu.vn"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hptv2@thanglong.edu.v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nhptv2@thanglong.edu.vn" TargetMode="External"/><Relationship Id="rId4" Type="http://schemas.openxmlformats.org/officeDocument/2006/relationships/settings" Target="settings.xml"/><Relationship Id="rId9" Type="http://schemas.openxmlformats.org/officeDocument/2006/relationships/hyperlink" Target="mailto:duybl@thanglong.edu.vn"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5FB80-FB75-4197-B495-742A5BDE3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51</Pages>
  <Words>48849</Words>
  <Characters>278444</Characters>
  <Application>Microsoft Office Word</Application>
  <DocSecurity>0</DocSecurity>
  <Lines>2320</Lines>
  <Paragraphs>653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326640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PMGV</dc:creator>
  <cp:lastModifiedBy>anny yang</cp:lastModifiedBy>
  <cp:revision>6</cp:revision>
  <cp:lastPrinted>2026-07-31T16:34:00Z</cp:lastPrinted>
  <dcterms:created xsi:type="dcterms:W3CDTF">2026-07-26T14:30:00Z</dcterms:created>
  <dcterms:modified xsi:type="dcterms:W3CDTF">2026-08-01T13:19:00Z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7b346ccd33c64a623a62941020485aebfb8f79ed44915bdccd0e43e29aca0211</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http://www.zotero.org/styles/nature</vt:lpwstr>
  </property>
  <property fmtid="{D5CDD505-2E9C-101B-9397-08002B2CF9AE}" pid="15" name="Mendeley Recent Style Name 0_1">
    <vt:lpwstr>American Medical Association 11th edition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7th edition</vt:lpwstr>
  </property>
  <property fmtid="{D5CDD505-2E9C-101B-9397-08002B2CF9AE}" pid="18" name="Mendeley Recent Style Name 3_1">
    <vt:lpwstr>American Sociological Association 6th edition</vt:lpwstr>
  </property>
  <property fmtid="{D5CDD505-2E9C-101B-9397-08002B2CF9AE}" pid="19" name="Mendeley Recent Style Name 4_1">
    <vt:lpwstr>Chicago Manual of Style 17th edition (author-date)</vt:lpwstr>
  </property>
  <property fmtid="{D5CDD505-2E9C-101B-9397-08002B2CF9AE}" pid="20" name="Mendeley Recent Style Name 5_1">
    <vt:lpwstr>Cite Them Right 12th edition - Harvard</vt:lpwstr>
  </property>
  <property fmtid="{D5CDD505-2E9C-101B-9397-08002B2CF9AE}" pid="21" name="Mendeley Recent Style Name 6_1">
    <vt:lpwstr>IEEE</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Name 8_1">
    <vt:lpwstr>Modern Language Association 9th edition</vt:lpwstr>
  </property>
  <property fmtid="{D5CDD505-2E9C-101B-9397-08002B2CF9AE}" pid="24" name="Mendeley Recent Style Name 9_1">
    <vt:lpwstr>Nature</vt:lpwstr>
  </property>
  <property fmtid="{D5CDD505-2E9C-101B-9397-08002B2CF9AE}" pid="25" name="Mendeley Unique User Id_1">
    <vt:lpwstr>925ea79d-030b-3fe5-a842-3c38a617e4e8</vt:lpwstr>
  </property>
</Properties>
</file>